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eastAsia="Noto Sans CJK SC"/>
          <w:b/>
          <w:color w:val="17365D"/>
          <w:sz w:val="48"/>
        </w:rPr>
        <w:t>道路雾天能见度估计与雾演化预测</w:t>
      </w:r>
    </w:p>
    <w:p>
      <w:pPr>
        <w:jc w:val="center"/>
      </w:pPr>
      <w:r>
        <w:rPr>
          <w:rFonts w:ascii="Aptos" w:hAnsi="Aptos" w:eastAsia="Noto Sans CJK SC"/>
          <w:b/>
          <w:color w:val="365F91"/>
          <w:sz w:val="34"/>
        </w:rPr>
        <w:t>文献综述与 CRAAP 可信度分析</w:t>
      </w:r>
    </w:p>
    <w:p>
      <w:pPr>
        <w:spacing w:before="360"/>
        <w:jc w:val="center"/>
      </w:pPr>
      <w:r>
        <w:rPr>
          <w:rFonts w:ascii="Aptos" w:hAnsi="Aptos" w:eastAsia="Noto Serif CJK SC"/>
          <w:i/>
          <w:color w:val="666666"/>
          <w:sz w:val="22"/>
        </w:rPr>
        <w:t>研究主题：Road Fog Visibility Estimation + Fog Evolution / Nowcasting</w:t>
      </w:r>
    </w:p>
    <w:tbl>
      <w:tblPr>
        <w:tblW w:type="auto" w:w="0"/>
        <w:jc w:val="center"/>
        <w:tblLayout w:type="fixed"/>
        <w:tblLook w:firstColumn="1" w:firstRow="1" w:lastColumn="0" w:lastRow="0" w:noHBand="0" w:noVBand="1" w:val="04A0"/>
      </w:tblPr>
      <w:tblGrid>
        <w:gridCol w:w="8220"/>
      </w:tblGrid>
      <w:tr>
        <w:tc>
          <w:tcPr>
            <w:tcW w:type="dxa" w:w="9518"/>
            <w:shd w:fill="EEF3F8"/>
            <w:tcMar>
              <w:top w:w="150" w:type="dxa"/>
              <w:start w:w="180" w:type="dxa"/>
              <w:bottom w:w="150" w:type="dxa"/>
              <w:end w:w="180" w:type="dxa"/>
            </w:tcMar>
          </w:tcPr>
          <w:p>
            <w:pPr>
              <w:jc w:val="left"/>
            </w:pPr>
            <w:r>
              <w:rPr>
                <w:rFonts w:ascii="Aptos" w:hAnsi="Aptos" w:eastAsia="Noto Serif CJK SC"/>
                <w:b/>
                <w:color w:val="17365D"/>
                <w:sz w:val="21"/>
              </w:rPr>
              <w:t>研究主线</w:t>
            </w:r>
          </w:p>
          <w:p>
            <w:pPr>
              <w:spacing w:after="0"/>
            </w:pPr>
            <w:r>
              <w:rPr>
                <w:rFonts w:ascii="Aptos" w:hAnsi="Aptos" w:eastAsia="Noto Serif CJK SC"/>
                <w:b/>
                <w:sz w:val="21"/>
              </w:rPr>
              <w:t>Highway Video → Visibility Estimation → Visibility Time Series → Fog Evolution → Threshold-Time Prediction</w:t>
            </w:r>
          </w:p>
        </w:tc>
      </w:tr>
    </w:tbl>
    <w:p>
      <w:pPr>
        <w:spacing w:before="2800"/>
        <w:jc w:val="center"/>
      </w:pPr>
      <w:r>
        <w:rPr>
          <w:rFonts w:ascii="Aptos" w:hAnsi="Aptos" w:eastAsia="Noto Serif CJK SC"/>
          <w:color w:val="777777"/>
          <w:sz w:val="20"/>
        </w:rPr>
        <w:t>Literature Review Draft</w:t>
      </w:r>
    </w:p>
    <w:p>
      <w:r>
        <w:br w:type="page"/>
      </w:r>
    </w:p>
    <w:p>
      <w:pPr>
        <w:pStyle w:val="Heading1"/>
        <w:keepNext/>
        <w:keepLines/>
      </w:pPr>
      <w:r>
        <w:t>1. 研究背景与文献综述框架</w:t>
      </w:r>
    </w:p>
    <w:p>
      <w:pPr>
        <w:spacing w:line="348" w:lineRule="auto" w:after="120"/>
        <w:ind w:firstLine="420"/>
      </w:pPr>
      <w:r>
        <w:rPr>
          <w:rFonts w:ascii="Aptos" w:hAnsi="Aptos" w:eastAsia="Noto Serif CJK SC"/>
          <w:sz w:val="21"/>
        </w:rPr>
        <w:t>雾会通过大气中悬浮水滴对光线的散射和衰减降低场景对比度，从而显著降低道路能见度。对于高速公路交通安全而言，研究问题不仅是判断某一时刻“是否有雾”，更重要的是量化当前气象能见度（Meteorological Optical Range, MOR），并进一步研究能见度随时间的变化，即雾的形成、增强、减弱和消散过程。</w:t>
      </w:r>
    </w:p>
    <w:p>
      <w:pPr>
        <w:spacing w:line="348" w:lineRule="auto" w:after="120"/>
        <w:ind w:firstLine="420"/>
      </w:pPr>
      <w:r>
        <w:rPr>
          <w:rFonts w:ascii="Aptos" w:hAnsi="Aptos" w:eastAsia="Noto Serif CJK SC"/>
          <w:sz w:val="21"/>
        </w:rPr>
        <w:t>因此，本研究可拆分为两个互相衔接的问题：第一，利用道路监控图像或气象观测估计当前 MOR；第二，将连续估计值组成 V(t) 时间序列，判断雾正在加重还是减弱，并预测未来能见度以及达到特定阈值（例如 MOR = 150 m）的时间。</w:t>
      </w:r>
    </w:p>
    <w:p>
      <w:pPr>
        <w:spacing w:before="80" w:after="160"/>
        <w:jc w:val="center"/>
      </w:pPr>
      <w:r>
        <w:rPr>
          <w:rFonts w:ascii="Cambria Math" w:hAnsi="Cambria Math" w:eastAsia="Noto Serif CJK SC"/>
          <w:i/>
          <w:sz w:val="23"/>
        </w:rPr>
        <w:t>Visibility Estimation  →  Visibility Time Series  →  Fog Evolution / Forecasting</w:t>
      </w:r>
    </w:p>
    <w:p>
      <w:pPr>
        <w:spacing w:line="348" w:lineRule="auto" w:after="120"/>
        <w:ind w:firstLine="420"/>
      </w:pPr>
      <w:r>
        <w:rPr>
          <w:rFonts w:ascii="Aptos" w:hAnsi="Aptos" w:eastAsia="Noto Serif CJK SC"/>
          <w:sz w:val="21"/>
        </w:rPr>
        <w:t>已有研究大致形成三条路线：大气光学与图像退化模型、基于传统或深度学习的道路图像能见度估计、基于气象时间序列的雾演化与短临预测。本文按这一逻辑梳理各篇论文对“大雾道路可见度与 evolution”总体研究的具体贡献，并使用 CRAAP 模型评价其可信度。</w:t>
      </w:r>
    </w:p>
    <w:p>
      <w:pPr>
        <w:pStyle w:val="Heading1"/>
        <w:keepNext/>
        <w:keepLines/>
      </w:pPr>
      <w:r>
        <w:t>2. 大气光学与图像能见度估计的理论基础</w:t>
      </w:r>
    </w:p>
    <w:p>
      <w:pPr>
        <w:pStyle w:val="Heading2"/>
        <w:keepNext/>
        <w:keepLines/>
      </w:pPr>
      <w:r>
        <w:t>2.1 Nayar &amp; Narasimhan (1999) — Vision in Bad Weather</w:t>
      </w:r>
    </w:p>
    <w:p>
      <w:pPr>
        <w:spacing w:line="348" w:lineRule="auto" w:after="120"/>
        <w:ind w:firstLine="420"/>
      </w:pPr>
      <w:r>
        <w:rPr>
          <w:rFonts w:ascii="Aptos" w:hAnsi="Aptos" w:eastAsia="Noto Serif CJK SC"/>
          <w:sz w:val="21"/>
        </w:rPr>
        <w:t>Nayar 和 Narasimhan 的研究是恶劣天气计算机视觉的重要基础工作之一。论文从大气光学出发解释了雾、霾等天气如何改变从物体传播到摄像机的光线，并将图像退化描述为物体直接光的衰减与 atmospheric airlight 的共同作用。更重要的是，该研究指出，大气并不只是视觉系统的干扰源，它对光线的调制本身包含关于场景深度和大气状态的信息。</w:t>
      </w:r>
    </w:p>
    <w:p>
      <w:pPr>
        <w:spacing w:line="348" w:lineRule="auto" w:after="120"/>
        <w:ind w:firstLine="420"/>
      </w:pPr>
      <w:r>
        <w:rPr>
          <w:rFonts w:ascii="Aptos" w:hAnsi="Aptos" w:eastAsia="Noto Serif CJK SC"/>
          <w:sz w:val="21"/>
        </w:rPr>
        <w:t>对本研究的贡献：这篇论文建立了“道路图像为什么能反映雾强度”的物理基础。道路中距离摄像机越远的物体，由于传播距离增加，其对比度受衰减越明显，因此不同景深处的亮度与对比度差异可以用来反推大气衰减程度。它主要贡献于 Fog physics → Image degradation model → Visibility estimation，但并未研究雾随时间如何演化，所以对 fog evolution 的直接贡献较弱。</w:t>
      </w:r>
    </w:p>
    <w:p>
      <w:pPr>
        <w:spacing w:before="40" w:after="160"/>
        <w:ind w:left="283"/>
      </w:pPr>
      <w:r>
        <w:rPr>
          <w:rFonts w:ascii="Aptos" w:hAnsi="Aptos" w:eastAsia="Noto Serif CJK SC"/>
          <w:b/>
          <w:color w:val="1F4E79"/>
          <w:sz w:val="20"/>
        </w:rPr>
        <w:t>CRAAP：</w:t>
      </w:r>
      <w:r>
        <w:rPr>
          <w:rFonts w:ascii="Aptos" w:hAnsi="Aptos" w:eastAsia="Noto Serif CJK SC"/>
          <w:b/>
          <w:sz w:val="20"/>
        </w:rPr>
        <w:t>Currency 中；Relevance 高；Authority 很高；Accuracy 高；Purpose 高</w:t>
      </w:r>
      <w:r>
        <w:rPr>
          <w:rFonts w:ascii="Aptos" w:hAnsi="Aptos" w:eastAsia="Noto Serif CJK SC"/>
          <w:sz w:val="20"/>
        </w:rPr>
        <w:t>。虽然发表于 1999 年，但其核心大气光学原理仍是后续图像去雾与能见度估计方法的重要理论基础；作为基础理论文献，其年代并不会显著削弱有效性。</w:t>
      </w:r>
    </w:p>
    <w:p>
      <w:pPr>
        <w:pStyle w:val="Heading2"/>
        <w:keepNext/>
        <w:keepLines/>
      </w:pPr>
      <w:r>
        <w:t>2.2 Hautière et al. (2006) — Automatic Fog Detection and Estimation of Visibility Distance through Use of an Onboard Camera</w:t>
      </w:r>
    </w:p>
    <w:p>
      <w:pPr>
        <w:spacing w:line="348" w:lineRule="auto" w:after="120"/>
        <w:ind w:firstLine="420"/>
      </w:pPr>
      <w:r>
        <w:rPr>
          <w:rFonts w:ascii="Aptos" w:hAnsi="Aptos" w:eastAsia="Noto Serif CJK SC"/>
          <w:sz w:val="21"/>
        </w:rPr>
        <w:t>Hautière 等人的研究把大气光学理论进一步转化为道路能见度测量方法。论文动态应用 Koschmieder 定律，通过道路与天空之间的亮度变化寻找特征位置并估算大气消光系数 k，再依据对比度阈值求得 meteorological visibility distance。</w:t>
      </w:r>
    </w:p>
    <w:p>
      <w:pPr>
        <w:spacing w:before="80" w:after="160"/>
        <w:jc w:val="center"/>
      </w:pPr>
      <w:r>
        <w:rPr>
          <w:rFonts w:ascii="Cambria Math" w:hAnsi="Cambria Math" w:eastAsia="Noto Serif CJK SC"/>
          <w:i/>
          <w:sz w:val="23"/>
        </w:rPr>
        <w:t>C = C₀e^(−kd)</w:t>
      </w:r>
    </w:p>
    <w:p>
      <w:pPr>
        <w:spacing w:before="80" w:after="160"/>
        <w:jc w:val="center"/>
      </w:pPr>
      <w:r>
        <w:rPr>
          <w:rFonts w:ascii="Cambria Math" w:hAnsi="Cambria Math" w:eastAsia="Noto Serif CJK SC"/>
          <w:i/>
          <w:sz w:val="23"/>
        </w:rPr>
        <w:t>V ≈ 3 / k</w:t>
      </w:r>
    </w:p>
    <w:p>
      <w:pPr>
        <w:spacing w:line="348" w:lineRule="auto" w:after="120"/>
        <w:ind w:firstLine="420"/>
      </w:pPr>
      <w:r>
        <w:rPr>
          <w:rFonts w:ascii="Aptos" w:hAnsi="Aptos" w:eastAsia="Noto Serif CJK SC"/>
          <w:sz w:val="21"/>
        </w:rPr>
        <w:t>对本研究的贡献非常直接：它建立了 Road image → contrast attenuation → extinction coefficient k → MOR 的完整路径。与 Nayar &amp; Narasimhan 相比，该工作从“解释图像为什么变模糊”推进到“如何从道路图像计算实际能见度”。它适合作为我们高速公路监控图像算法的传统物理基准。</w:t>
      </w:r>
    </w:p>
    <w:p>
      <w:pPr>
        <w:spacing w:line="348" w:lineRule="auto" w:after="120"/>
        <w:ind w:firstLine="420"/>
      </w:pPr>
      <w:r>
        <w:rPr>
          <w:rFonts w:ascii="Aptos" w:hAnsi="Aptos" w:eastAsia="Noto Serif CJK SC"/>
          <w:sz w:val="21"/>
        </w:rPr>
        <w:t>其局限也很重要：方法依赖道路几何、天空/地平线关系以及白天可见的图像结构；距离增加后，一个像素对应的实际道路范围增大，远距离估计不确定性会增加。因此它主要解决 Single frame → MOR，而不是 MOR(t) → future MOR。对于 evolution，它的价值是提供每个时间点的 Vt，使后续时间序列建模成为可能。</w:t>
      </w:r>
    </w:p>
    <w:p>
      <w:pPr>
        <w:spacing w:before="40" w:after="160"/>
        <w:ind w:left="283"/>
      </w:pPr>
      <w:r>
        <w:rPr>
          <w:rFonts w:ascii="Aptos" w:hAnsi="Aptos" w:eastAsia="Noto Serif CJK SC"/>
          <w:b/>
          <w:color w:val="1F4E79"/>
          <w:sz w:val="20"/>
        </w:rPr>
        <w:t>CRAAP：</w:t>
      </w:r>
      <w:r>
        <w:rPr>
          <w:rFonts w:ascii="Aptos" w:hAnsi="Aptos" w:eastAsia="Noto Serif CJK SC"/>
          <w:b/>
          <w:sz w:val="20"/>
        </w:rPr>
        <w:t>Currency 中；Relevance 很高；Authority 高；Accuracy 很高；Purpose 高</w:t>
      </w:r>
      <w:r>
        <w:rPr>
          <w:rFonts w:ascii="Aptos" w:hAnsi="Aptos" w:eastAsia="Noto Serif CJK SC"/>
          <w:sz w:val="20"/>
        </w:rPr>
        <w:t>。虽然方法较早，但与道路场景高度吻合、物理解释透明，因此非常适合作为可解释的 baseline。</w:t>
      </w:r>
    </w:p>
    <w:p>
      <w:pPr>
        <w:pStyle w:val="Heading2"/>
        <w:keepNext/>
        <w:keepLines/>
      </w:pPr>
      <w:r>
        <w:t>2.3 Tan (2008) — Visibility in Bad Weather from a Single Image</w:t>
      </w:r>
    </w:p>
    <w:p>
      <w:pPr>
        <w:spacing w:line="348" w:lineRule="auto" w:after="120"/>
        <w:ind w:firstLine="420"/>
      </w:pPr>
      <w:r>
        <w:rPr>
          <w:rFonts w:ascii="Aptos" w:hAnsi="Aptos" w:eastAsia="Noto Serif CJK SC"/>
          <w:sz w:val="21"/>
        </w:rPr>
        <w:t>Tan 研究了如何仅使用单张图像恢复恶劣天气下的场景信息。其核心观察包括：清晰场景通常具有更高的局部对比度，atmospheric airlight 会随场景深度变化。该工作证明单帧图像本身已经包含大量与雾有关的信息，因此支持在没有晴天 reference image 的情况下直接分析高速公路视频帧。</w:t>
      </w:r>
    </w:p>
    <w:p>
      <w:pPr>
        <w:spacing w:line="348" w:lineRule="auto" w:after="120"/>
        <w:ind w:firstLine="420"/>
      </w:pPr>
      <w:r>
        <w:rPr>
          <w:rFonts w:ascii="Aptos" w:hAnsi="Aptos" w:eastAsia="Noto Serif CJK SC"/>
          <w:sz w:val="21"/>
        </w:rPr>
        <w:t>但 Tan 的主要目标更接近 single-image dehazing / visibility restoration，而不是严格按照 MOR 定义输出以米为单位的能见度。因此，它对图像特征提取的贡献较高，对 quantitative MOR 的贡献中等，对 fog evolution 的直接贡献较低。</w:t>
      </w:r>
    </w:p>
    <w:p>
      <w:pPr>
        <w:spacing w:before="40" w:after="160"/>
        <w:ind w:left="283"/>
      </w:pPr>
      <w:r>
        <w:rPr>
          <w:rFonts w:ascii="Aptos" w:hAnsi="Aptos" w:eastAsia="Noto Serif CJK SC"/>
          <w:b/>
          <w:color w:val="1F4E79"/>
          <w:sz w:val="20"/>
        </w:rPr>
        <w:t>CRAAP：</w:t>
      </w:r>
      <w:r>
        <w:rPr>
          <w:rFonts w:ascii="Aptos" w:hAnsi="Aptos" w:eastAsia="Noto Serif CJK SC"/>
          <w:b/>
          <w:sz w:val="20"/>
        </w:rPr>
        <w:t>Currency 中；Relevance 中高；Authority 很高；Accuracy 高；Purpose 高</w:t>
      </w:r>
      <w:r>
        <w:rPr>
          <w:rFonts w:ascii="Aptos" w:hAnsi="Aptos" w:eastAsia="Noto Serif CJK SC"/>
          <w:sz w:val="20"/>
        </w:rPr>
        <w:t>。适合解释单幅道路图像为何可以提取雾信息，但不应直接作为 MOR = 150 m 等定量阈值预测的核心证据。</w:t>
      </w:r>
    </w:p>
    <w:p>
      <w:pPr>
        <w:pStyle w:val="Heading1"/>
        <w:keepNext/>
        <w:keepLines/>
      </w:pPr>
      <w:r>
        <w:t>3. 深度学习道路能见度估计</w:t>
      </w:r>
    </w:p>
    <w:p>
      <w:pPr>
        <w:pStyle w:val="Heading2"/>
        <w:keepNext/>
        <w:keepLines/>
      </w:pPr>
      <w:r>
        <w:t>3.1 Xiao et al. (2023) — Highway Visibility Estimation in Foggy Weather via Multi-Scale Fusion Network</w:t>
      </w:r>
    </w:p>
    <w:p>
      <w:pPr>
        <w:spacing w:line="348" w:lineRule="auto" w:after="120"/>
        <w:ind w:firstLine="420"/>
      </w:pPr>
      <w:r>
        <w:rPr>
          <w:rFonts w:ascii="Aptos" w:hAnsi="Aptos" w:eastAsia="Noto Serif CJK SC"/>
          <w:sz w:val="21"/>
        </w:rPr>
        <w:t>Xiao 等人的研究直接以高速公路监控图像为输入估计能见度，并分别提取 structural、spectral 和 scene-depth features，再通过 multi-scale fusion network 融合这些信息。研究使用京沪高速江苏段附近约 30 个监控摄像头采集的真实道路图像，并使用附近交通气象站观测值作为能见度标签。</w:t>
      </w:r>
    </w:p>
    <w:p>
      <w:pPr>
        <w:spacing w:line="348" w:lineRule="auto" w:after="120"/>
        <w:ind w:firstLine="420"/>
      </w:pPr>
      <w:r>
        <w:rPr>
          <w:rFonts w:ascii="Aptos" w:hAnsi="Aptos" w:eastAsia="Noto Serif CJK SC"/>
          <w:sz w:val="21"/>
        </w:rPr>
        <w:t>对本研究的贡献非常高。该工作证明普通高速公路 CCTV 不仅能够判断“有没有雾”，还可以被视作低成本的能见度传感器。对于连续道路截图，可以对每一帧得到 V1, V2, …, Vn，再进入后续的 evolution 分析。</w:t>
      </w:r>
    </w:p>
    <w:p>
      <w:pPr>
        <w:spacing w:before="80" w:after="160"/>
        <w:jc w:val="center"/>
      </w:pPr>
      <w:r>
        <w:rPr>
          <w:rFonts w:ascii="Cambria Math" w:hAnsi="Cambria Math" w:eastAsia="Noto Serif CJK SC"/>
          <w:i/>
          <w:sz w:val="23"/>
        </w:rPr>
        <w:t>Iₜ  →  feature extraction  →  Fₜ  →  visibility model  →  Vₜ</w:t>
      </w:r>
    </w:p>
    <w:p>
      <w:pPr>
        <w:spacing w:line="348" w:lineRule="auto" w:after="120"/>
        <w:ind w:firstLine="420"/>
      </w:pPr>
      <w:r>
        <w:rPr>
          <w:rFonts w:ascii="Aptos" w:hAnsi="Aptos" w:eastAsia="Noto Serif CJK SC"/>
          <w:sz w:val="21"/>
        </w:rPr>
        <w:t>该论文自身主要解决当前能见度的估计，并没有直接建立 P(Vt+Δt | Vt, Vt−1, …) 的时间预测，因此它属于 fog evolution 之前的 observation stage。另一个需要注意的问题是 domain generalization：在江苏道路条件下训练的模型不应未经验证便假定能够在不同道路、摄像机曝光或气候条件下获得相同精度。</w:t>
      </w:r>
    </w:p>
    <w:p>
      <w:pPr>
        <w:spacing w:before="40" w:after="160"/>
        <w:ind w:left="283"/>
      </w:pPr>
      <w:r>
        <w:rPr>
          <w:rFonts w:ascii="Aptos" w:hAnsi="Aptos" w:eastAsia="Noto Serif CJK SC"/>
          <w:b/>
          <w:color w:val="1F4E79"/>
          <w:sz w:val="20"/>
        </w:rPr>
        <w:t>CRAAP：</w:t>
      </w:r>
      <w:r>
        <w:rPr>
          <w:rFonts w:ascii="Aptos" w:hAnsi="Aptos" w:eastAsia="Noto Serif CJK SC"/>
          <w:b/>
          <w:sz w:val="20"/>
        </w:rPr>
        <w:t>Currency 很高；Relevance 很高；Authority 高；Accuracy 高；Purpose 高</w:t>
      </w:r>
      <w:r>
        <w:rPr>
          <w:rFonts w:ascii="Aptos" w:hAnsi="Aptos" w:eastAsia="Noto Serif CJK SC"/>
          <w:sz w:val="20"/>
        </w:rPr>
        <w:t>。数据来自真实高速公路与交通气象站，研究对象与本课题高度一致，是道路视觉估计部分的核心参考文献。</w:t>
      </w:r>
    </w:p>
    <w:p>
      <w:pPr>
        <w:pStyle w:val="Heading2"/>
        <w:keepNext/>
        <w:keepLines/>
      </w:pPr>
      <w:r>
        <w:t>3.2 Yang et al. (2023) — Multi Visual Feature Fusion Based Fog Visibility Estimation for Expressway Surveillance Using Deep Learning Network</w:t>
      </w:r>
    </w:p>
    <w:p>
      <w:pPr>
        <w:spacing w:line="348" w:lineRule="auto" w:after="120"/>
        <w:ind w:firstLine="420"/>
      </w:pPr>
      <w:r>
        <w:rPr>
          <w:rFonts w:ascii="Aptos" w:hAnsi="Aptos" w:eastAsia="Noto Serif CJK SC"/>
          <w:sz w:val="21"/>
        </w:rPr>
        <w:t>Yang 等人提出 VENet，通过 coarse-to-fine 的级联结构先判断雾等级，再进行连续能见度估计，同时融合 RGB、dark-channel 和 edge information，并使用 anchor-based regression 改善回归精度。研究还建立了包含约 15,000 张真实雾场景图像的 FVEI 数据集，并将模型应用于实际高速公路监控系统。</w:t>
      </w:r>
    </w:p>
    <w:p>
      <w:pPr>
        <w:spacing w:line="348" w:lineRule="auto" w:after="120"/>
        <w:ind w:firstLine="420"/>
      </w:pPr>
      <w:r>
        <w:rPr>
          <w:rFonts w:ascii="Aptos" w:hAnsi="Aptos" w:eastAsia="Noto Serif CJK SC"/>
          <w:sz w:val="21"/>
        </w:rPr>
        <w:t>该研究对本项目的价值在于证明真实高速公路 CCTV 的视觉信息可以用于较精细的 quantitative visibility estimation，而且多视觉特征融合比单一物理或颜色特征更加稳健。它进一步强化了“Video → MOR time series”的可行性。</w:t>
      </w:r>
    </w:p>
    <w:p>
      <w:pPr>
        <w:spacing w:line="348" w:lineRule="auto" w:after="120"/>
        <w:ind w:firstLine="420"/>
      </w:pPr>
      <w:r>
        <w:rPr>
          <w:rFonts w:ascii="Aptos" w:hAnsi="Aptos" w:eastAsia="Noto Serif CJK SC"/>
          <w:sz w:val="21"/>
        </w:rPr>
        <w:t>但 VENet 仍主要回答 What is the visibility now? 而不是 What will the visibility be 10/30/60 minutes later? 因此它对 evolution 的贡献仍然主要是提供更可靠的 observation value。</w:t>
      </w:r>
    </w:p>
    <w:p>
      <w:pPr>
        <w:spacing w:before="40" w:after="160"/>
        <w:ind w:left="283"/>
      </w:pPr>
      <w:r>
        <w:rPr>
          <w:rFonts w:ascii="Aptos" w:hAnsi="Aptos" w:eastAsia="Noto Serif CJK SC"/>
          <w:b/>
          <w:color w:val="1F4E79"/>
          <w:sz w:val="20"/>
        </w:rPr>
        <w:t>CRAAP：</w:t>
      </w:r>
      <w:r>
        <w:rPr>
          <w:rFonts w:ascii="Aptos" w:hAnsi="Aptos" w:eastAsia="Noto Serif CJK SC"/>
          <w:b/>
          <w:sz w:val="20"/>
        </w:rPr>
        <w:t>Currency 很高；Relevance 很高；Authority 高；Accuracy 高；Purpose 高</w:t>
      </w:r>
      <w:r>
        <w:rPr>
          <w:rFonts w:ascii="Aptos" w:hAnsi="Aptos" w:eastAsia="Noto Serif CJK SC"/>
          <w:sz w:val="20"/>
        </w:rPr>
        <w:t>。真实高速公路场景、较大规模数据集和部署结果增强了可信度；局限仍是跨地区泛化与摄像机条件差异。</w:t>
      </w:r>
    </w:p>
    <w:p>
      <w:pPr>
        <w:pStyle w:val="Heading1"/>
        <w:keepNext/>
        <w:keepLines/>
      </w:pPr>
      <w:r>
        <w:t>4. 雾环境数据集与模型鲁棒性</w:t>
      </w:r>
    </w:p>
    <w:p>
      <w:pPr>
        <w:pStyle w:val="Heading2"/>
        <w:keepNext/>
        <w:keepLines/>
      </w:pPr>
      <w:r>
        <w:t>4.1 Sakaridis, Dai &amp; Van Gool (2018) — Semantic Foggy Scene Understanding with Synthetic Data</w:t>
      </w:r>
    </w:p>
    <w:p>
      <w:pPr>
        <w:spacing w:line="348" w:lineRule="auto" w:after="120"/>
        <w:ind w:firstLine="420"/>
      </w:pPr>
      <w:r>
        <w:rPr>
          <w:rFonts w:ascii="Aptos" w:hAnsi="Aptos" w:eastAsia="Noto Serif CJK SC"/>
          <w:sz w:val="21"/>
        </w:rPr>
        <w:t>Sakaridis 等人的目标不是直接预测 MOR，而是解决真实雾天训练数据有限的问题。研究通过在真实晴天道路场景中合成雾来建立 Foggy Cityscapes，并提供真实雾天道路图像数据 Foggy Driving。实验表明，利用 synthetic fog 进行训练能够提升模型在真实雾天环境中的表现。</w:t>
      </w:r>
    </w:p>
    <w:p>
      <w:pPr>
        <w:spacing w:line="348" w:lineRule="auto" w:after="120"/>
        <w:ind w:firstLine="420"/>
      </w:pPr>
      <w:r>
        <w:rPr>
          <w:rFonts w:ascii="Aptos" w:hAnsi="Aptos" w:eastAsia="Noto Serif CJK SC"/>
          <w:sz w:val="21"/>
        </w:rPr>
        <w:t>对本研究的主要贡献是 robustness 和 data augmentation，而不是 MOR 或 evolution 本身。如果我们的高速公路浓雾样本不足，可借鉴 Clear road image → Synthetic fog → additional training data 的方法扩展训练条件，尤其用于增强对不同雾强度的鲁棒性。</w:t>
      </w:r>
    </w:p>
    <w:p>
      <w:pPr>
        <w:spacing w:before="40" w:after="160"/>
        <w:ind w:left="283"/>
      </w:pPr>
      <w:r>
        <w:rPr>
          <w:rFonts w:ascii="Aptos" w:hAnsi="Aptos" w:eastAsia="Noto Serif CJK SC"/>
          <w:b/>
          <w:color w:val="1F4E79"/>
          <w:sz w:val="20"/>
        </w:rPr>
        <w:t>CRAAP：</w:t>
      </w:r>
      <w:r>
        <w:rPr>
          <w:rFonts w:ascii="Aptos" w:hAnsi="Aptos" w:eastAsia="Noto Serif CJK SC"/>
          <w:b/>
          <w:sz w:val="20"/>
        </w:rPr>
        <w:t>Currency 中高；Relevance 中；Authority 很高；Accuracy 高；Purpose 高</w:t>
      </w:r>
      <w:r>
        <w:rPr>
          <w:rFonts w:ascii="Aptos" w:hAnsi="Aptos" w:eastAsia="Noto Serif CJK SC"/>
          <w:sz w:val="20"/>
        </w:rPr>
        <w:t>。研究本身高度可信，但主要任务是语义理解/检测而非定量能见度，因此其价值更多体现在数据策略。</w:t>
      </w:r>
    </w:p>
    <w:p>
      <w:pPr>
        <w:pStyle w:val="Heading1"/>
        <w:keepNext/>
        <w:keepLines/>
      </w:pPr>
      <w:r>
        <w:t>5. 从“当前能见度”进入 Fog Evolution</w:t>
      </w:r>
    </w:p>
    <w:p>
      <w:pPr>
        <w:spacing w:line="348" w:lineRule="auto" w:after="120"/>
        <w:ind w:firstLine="420"/>
      </w:pPr>
      <w:r>
        <w:rPr>
          <w:rFonts w:ascii="Aptos" w:hAnsi="Aptos" w:eastAsia="Noto Serif CJK SC"/>
          <w:sz w:val="21"/>
        </w:rPr>
        <w:t>单帧道路图像方法能够产生 Vt，但要研究“大雾演化”，问题的重点会从 computer vision 转变为 time-series forecasting。也就是说，图像模型负责回答“我们现在在哪里”，时间模型负责回答“我们正在往哪里发展”。</w:t>
      </w:r>
    </w:p>
    <w:p>
      <w:pPr>
        <w:spacing w:before="80" w:after="160"/>
        <w:jc w:val="center"/>
      </w:pPr>
      <w:r>
        <w:rPr>
          <w:rFonts w:ascii="Cambria Math" w:hAnsi="Cambria Math" w:eastAsia="Noto Serif CJK SC"/>
          <w:i/>
          <w:sz w:val="23"/>
        </w:rPr>
        <w:t>Image model → current state (Vₜ)</w:t>
      </w:r>
    </w:p>
    <w:p>
      <w:pPr>
        <w:spacing w:before="80" w:after="160"/>
        <w:jc w:val="center"/>
      </w:pPr>
      <w:r>
        <w:rPr>
          <w:rFonts w:ascii="Cambria Math" w:hAnsi="Cambria Math" w:eastAsia="Noto Serif CJK SC"/>
          <w:i/>
          <w:sz w:val="23"/>
        </w:rPr>
        <w:t>Temporal model → future state (Vₜ₊Δₜ)</w:t>
      </w:r>
    </w:p>
    <w:p>
      <w:pPr>
        <w:spacing w:line="348" w:lineRule="auto" w:after="120"/>
        <w:ind w:firstLine="420"/>
      </w:pPr>
      <w:r>
        <w:rPr>
          <w:rFonts w:ascii="Aptos" w:hAnsi="Aptos" w:eastAsia="Noto Serif CJK SC"/>
          <w:sz w:val="21"/>
        </w:rPr>
        <w:t>因此，真正的 evolution 模型应该考虑历史能见度序列，以及温度、相对湿度、露点差、风速、气压等气象变量，而不是把每一帧完全独立处理。</w:t>
      </w:r>
    </w:p>
    <w:p>
      <w:pPr>
        <w:pStyle w:val="Heading1"/>
        <w:keepNext/>
        <w:keepLines/>
      </w:pPr>
      <w:r>
        <w:t>6. 气象变量与能见度演化</w:t>
      </w:r>
    </w:p>
    <w:p>
      <w:pPr>
        <w:pStyle w:val="Heading2"/>
        <w:keepNext/>
        <w:keepLines/>
      </w:pPr>
      <w:r>
        <w:t>6.1 Penov &amp; Guerova (2023) — Sofia Airport Visibility Estimation with Two Machine-Learning Techniques</w:t>
      </w:r>
    </w:p>
    <w:p>
      <w:pPr>
        <w:spacing w:line="348" w:lineRule="auto" w:after="120"/>
        <w:ind w:firstLine="420"/>
      </w:pPr>
      <w:r>
        <w:rPr>
          <w:rFonts w:ascii="Aptos" w:hAnsi="Aptos" w:eastAsia="Noto Serif CJK SC"/>
          <w:sz w:val="21"/>
        </w:rPr>
        <w:t>Penov 和 Guerova 使用多种气象变量训练 Random Forest 与 LSTM 来估计机场能见度，包括温度、露点相关变量、风速、气压和云底高度等。研究显示模型能够跟踪部分 fog formation and dissipation events，说明连续气象状态对能见度变化具有预测价值。</w:t>
      </w:r>
    </w:p>
    <w:p>
      <w:pPr>
        <w:spacing w:before="80" w:after="160"/>
        <w:jc w:val="center"/>
      </w:pPr>
      <w:r>
        <w:rPr>
          <w:rFonts w:ascii="Cambria Math" w:hAnsi="Cambria Math" w:eastAsia="Noto Serif CJK SC"/>
          <w:i/>
          <w:sz w:val="23"/>
        </w:rPr>
        <w:t>Vₜ₊Δt = f(Vₜ, Vₜ₋₁, Tₜ, RHₜ, Pₜ, Windₜ, …)</w:t>
      </w:r>
    </w:p>
    <w:p>
      <w:pPr>
        <w:spacing w:line="348" w:lineRule="auto" w:after="120"/>
        <w:ind w:firstLine="420"/>
      </w:pPr>
      <w:r>
        <w:rPr>
          <w:rFonts w:ascii="Aptos" w:hAnsi="Aptos" w:eastAsia="Noto Serif CJK SC"/>
          <w:sz w:val="21"/>
        </w:rPr>
        <w:t>对本研究而言，这篇论文与机场 AMOS 数据部分高度吻合。它说明我们不应仅依赖过去的 Vt，还可以把 AMOS 中的气象变量作为外生输入。然而论文也指出，模型往往高估极低能见度并低估很高能见度，这对 150 m 这样的安全阈值尤其重要：整体 R² 很高并不意味着模型在极低 MOR 区间同样准确。</w:t>
      </w:r>
    </w:p>
    <w:p>
      <w:pPr>
        <w:spacing w:before="40" w:after="160"/>
        <w:ind w:left="283"/>
      </w:pPr>
      <w:r>
        <w:rPr>
          <w:rFonts w:ascii="Aptos" w:hAnsi="Aptos" w:eastAsia="Noto Serif CJK SC"/>
          <w:b/>
          <w:color w:val="1F4E79"/>
          <w:sz w:val="20"/>
        </w:rPr>
        <w:t>CRAAP：</w:t>
      </w:r>
      <w:r>
        <w:rPr>
          <w:rFonts w:ascii="Aptos" w:hAnsi="Aptos" w:eastAsia="Noto Serif CJK SC"/>
          <w:b/>
          <w:sz w:val="20"/>
        </w:rPr>
        <w:t>Currency 很高；Relevance 高；Authority 高；Accuracy 高；Purpose 高</w:t>
      </w:r>
      <w:r>
        <w:rPr>
          <w:rFonts w:ascii="Aptos" w:hAnsi="Aptos" w:eastAsia="Noto Serif CJK SC"/>
          <w:sz w:val="20"/>
        </w:rPr>
        <w:t>。方法对机场 AMOS 数据具有直接参考价值，但 airport → highway 存在 domain transfer，数值结果不能直接照搬。</w:t>
      </w:r>
    </w:p>
    <w:p>
      <w:pPr>
        <w:pStyle w:val="Heading2"/>
        <w:keepNext/>
        <w:keepLines/>
      </w:pPr>
      <w:r>
        <w:t>6.2 Miao et al. (2020) — Application of LSTM for Short-Term Fog Forecasting Based on Meteorological Elements</w:t>
      </w:r>
    </w:p>
    <w:p>
      <w:pPr>
        <w:spacing w:line="348" w:lineRule="auto" w:after="120"/>
        <w:ind w:firstLine="420"/>
      </w:pPr>
      <w:r>
        <w:rPr>
          <w:rFonts w:ascii="Aptos" w:hAnsi="Aptos" w:eastAsia="Noto Serif CJK SC"/>
          <w:sz w:val="21"/>
        </w:rPr>
        <w:t>Miao 等人的工作进一步说明了时间历史的重要性。作者将连续气象观测组织成 time-series input，并使用 LSTM 进行短时雾预测。其思想不是只看 Xt，而是利用 Xt−n, …, Xt 的连续变化，让模型学习雾形成与消散中的时间依赖。</w:t>
      </w:r>
    </w:p>
    <w:p>
      <w:pPr>
        <w:spacing w:before="80" w:after="160"/>
        <w:jc w:val="center"/>
      </w:pPr>
      <w:r>
        <w:rPr>
          <w:rFonts w:ascii="Cambria Math" w:hAnsi="Cambria Math" w:eastAsia="Noto Serif CJK SC"/>
          <w:i/>
          <w:sz w:val="23"/>
        </w:rPr>
        <w:t>Xₜ₋ₙ, Xₜ₋ₙ₊₁, …, Xₜ  →  LSTM  →  Fogₜ₊Δt</w:t>
      </w:r>
    </w:p>
    <w:p>
      <w:pPr>
        <w:spacing w:line="348" w:lineRule="auto" w:after="120"/>
        <w:ind w:firstLine="420"/>
      </w:pPr>
      <w:r>
        <w:rPr>
          <w:rFonts w:ascii="Aptos" w:hAnsi="Aptos" w:eastAsia="Noto Serif CJK SC"/>
          <w:sz w:val="21"/>
        </w:rPr>
        <w:t>对我们的最大贡献是提供“evolution 必须保留历史状态”的方法论依据。对于高速公路连续截图，同样不应只分析第 50 帧，而应考虑前若干帧的 V 序列以及气象变量趋势。该论文的主要任务更偏向 fog occurrence，而不是精确预测每一个未来 MOR 数值，因此可作为时间结构设计的重要参考。</w:t>
      </w:r>
    </w:p>
    <w:p>
      <w:pPr>
        <w:spacing w:before="40" w:after="160"/>
        <w:ind w:left="283"/>
      </w:pPr>
      <w:r>
        <w:rPr>
          <w:rFonts w:ascii="Aptos" w:hAnsi="Aptos" w:eastAsia="Noto Serif CJK SC"/>
          <w:b/>
          <w:color w:val="1F4E79"/>
          <w:sz w:val="20"/>
        </w:rPr>
        <w:t>CRAAP：</w:t>
      </w:r>
      <w:r>
        <w:rPr>
          <w:rFonts w:ascii="Aptos" w:hAnsi="Aptos" w:eastAsia="Noto Serif CJK SC"/>
          <w:b/>
          <w:sz w:val="20"/>
        </w:rPr>
        <w:t>Currency 高；Relevance 高；Authority 高；Accuracy 高；Purpose 高</w:t>
      </w:r>
      <w:r>
        <w:rPr>
          <w:rFonts w:ascii="Aptos" w:hAnsi="Aptos" w:eastAsia="Noto Serif CJK SC"/>
          <w:sz w:val="20"/>
        </w:rPr>
        <w:t>。采用时间序列神经网络并与其他模型比较，适合支撑 LSTM/sequence model 的选择。</w:t>
      </w:r>
    </w:p>
    <w:p>
      <w:pPr>
        <w:pStyle w:val="Heading2"/>
        <w:keepNext/>
        <w:keepLines/>
      </w:pPr>
      <w:r>
        <w:t>6.3 顾成恺等 (2025) — 基于机器学习的能见度短临预报</w:t>
      </w:r>
    </w:p>
    <w:p>
      <w:pPr>
        <w:spacing w:line="348" w:lineRule="auto" w:after="120"/>
        <w:ind w:firstLine="420"/>
      </w:pPr>
      <w:r>
        <w:rPr>
          <w:rFonts w:ascii="Aptos" w:hAnsi="Aptos" w:eastAsia="Noto Serif CJK SC"/>
          <w:sz w:val="21"/>
        </w:rPr>
        <w:t>该研究使用机场 METAR 与自动观测站数据，对 LSTM、Random Forest 和 XGBoost 等模型进行比较，研究 1–3 小时能见度短临预报。论文同时指出，随着预测时效增加，模型表现逐步下降，而且低能见度时段往往比普通时段更难准确预测。</w:t>
      </w:r>
    </w:p>
    <w:p>
      <w:pPr>
        <w:spacing w:line="348" w:lineRule="auto" w:after="120"/>
        <w:ind w:firstLine="420"/>
      </w:pPr>
      <w:r>
        <w:rPr>
          <w:rFonts w:ascii="Aptos" w:hAnsi="Aptos" w:eastAsia="Noto Serif CJK SC"/>
          <w:sz w:val="21"/>
        </w:rPr>
        <w:t>这与我们的 MOR = 150 m 阈值问题高度相关：评估模型时不能只报告整体 RMSE 或 R²，而应单独检查 V &lt; 500 m、V &lt; 300 m 以及接近 150 m 的误差，避免整体指标掩盖真正关键的低能见度失败案例。</w:t>
      </w:r>
    </w:p>
    <w:p>
      <w:pPr>
        <w:spacing w:before="40" w:after="160"/>
        <w:ind w:left="283"/>
      </w:pPr>
      <w:r>
        <w:rPr>
          <w:rFonts w:ascii="Aptos" w:hAnsi="Aptos" w:eastAsia="Noto Serif CJK SC"/>
          <w:b/>
          <w:color w:val="1F4E79"/>
          <w:sz w:val="20"/>
        </w:rPr>
        <w:t>CRAAP：</w:t>
      </w:r>
      <w:r>
        <w:rPr>
          <w:rFonts w:ascii="Aptos" w:hAnsi="Aptos" w:eastAsia="Noto Serif CJK SC"/>
          <w:b/>
          <w:sz w:val="20"/>
        </w:rPr>
        <w:t>Currency 很高；Relevance 很高；Authority 中高；Accuracy 高；Purpose 高</w:t>
      </w:r>
      <w:r>
        <w:rPr>
          <w:rFonts w:ascii="Aptos" w:hAnsi="Aptos" w:eastAsia="Noto Serif CJK SC"/>
          <w:sz w:val="20"/>
        </w:rPr>
        <w:t>。使用实际机场观测数据，对中国场景的能见度短临预测具有直接方法参考价值。</w:t>
      </w:r>
    </w:p>
    <w:p>
      <w:pPr>
        <w:pStyle w:val="Heading1"/>
        <w:keepNext/>
        <w:keepLines/>
      </w:pPr>
      <w:r>
        <w:t>7. 最接近“道路 + Fog Evolution”的研究</w:t>
      </w:r>
    </w:p>
    <w:p>
      <w:pPr>
        <w:pStyle w:val="Heading2"/>
        <w:keepNext/>
        <w:keepLines/>
      </w:pPr>
      <w:r>
        <w:t>7.1 Cornejo-Bueno et al. (2021) — Statistical Analysis and Machine Learning Prediction of Fog-Caused Low-Visibility Events at A-8 Motor-Road in Spain</w:t>
      </w:r>
    </w:p>
    <w:p>
      <w:pPr>
        <w:spacing w:line="348" w:lineRule="auto" w:after="120"/>
        <w:ind w:firstLine="420"/>
      </w:pPr>
      <w:r>
        <w:rPr>
          <w:rFonts w:ascii="Aptos" w:hAnsi="Aptos" w:eastAsia="Noto Serif CJK SC"/>
          <w:sz w:val="21"/>
        </w:rPr>
        <w:t>在所有文献中，这篇与本研究的整体结构最接近。作者研究西班牙 Galicia 的 A-8 motorway，使用真实道路能见度时间序列和当地气象变量，既分析不同低能见度事件的持续时间，又利用机器学习方法对未来低能见度进行预测。</w:t>
      </w:r>
    </w:p>
    <w:p>
      <w:pPr>
        <w:spacing w:line="348" w:lineRule="auto" w:after="120"/>
        <w:ind w:firstLine="420"/>
      </w:pPr>
      <w:r>
        <w:rPr>
          <w:rFonts w:ascii="Aptos" w:hAnsi="Aptos" w:eastAsia="Noto Serif CJK SC"/>
          <w:sz w:val="21"/>
        </w:rPr>
        <w:t>这项研究覆盖了 Road + Visibility + Time + Forecasting 四个关键元素。它表明 evolution 不应只被简化为 dV/dt &gt; 0 或 dV/dt &lt; 0，还可以进一步分析低能见度事件持续时间、极端雾持续时间分布、未来低能见度风险以及 threshold-crossing time。</w:t>
      </w:r>
    </w:p>
    <w:p>
      <w:pPr>
        <w:spacing w:before="80" w:after="160"/>
        <w:jc w:val="center"/>
      </w:pPr>
      <w:r>
        <w:rPr>
          <w:rFonts w:ascii="Cambria Math" w:hAnsi="Cambria Math" w:eastAsia="Noto Serif CJK SC"/>
          <w:i/>
          <w:sz w:val="23"/>
        </w:rPr>
        <w:t>t* = min { t : V̂(t) ≥ 150 m }</w:t>
      </w:r>
    </w:p>
    <w:p>
      <w:pPr>
        <w:spacing w:line="348" w:lineRule="auto" w:after="120"/>
        <w:ind w:firstLine="420"/>
      </w:pPr>
      <w:r>
        <w:rPr>
          <w:rFonts w:ascii="Aptos" w:hAnsi="Aptos" w:eastAsia="Noto Serif CJK SC"/>
          <w:sz w:val="21"/>
        </w:rPr>
        <w:t>对我们的第四问而言，这篇论文尤其关键，因为它直接支撑“道路上雾的时间演化是可以被统计建模并进行短临预测的”。其主要限制是 A-8 路段的雾形成机制可能与我们的研究地点不同，因此最适合迁移的是统计框架、特征设计和验证方式，而不是当地的具体参数。</w:t>
      </w:r>
    </w:p>
    <w:p>
      <w:pPr>
        <w:spacing w:before="40" w:after="160"/>
        <w:ind w:left="283"/>
      </w:pPr>
      <w:r>
        <w:rPr>
          <w:rFonts w:ascii="Aptos" w:hAnsi="Aptos" w:eastAsia="Noto Serif CJK SC"/>
          <w:b/>
          <w:color w:val="1F4E79"/>
          <w:sz w:val="20"/>
        </w:rPr>
        <w:t>CRAAP：</w:t>
      </w:r>
      <w:r>
        <w:rPr>
          <w:rFonts w:ascii="Aptos" w:hAnsi="Aptos" w:eastAsia="Noto Serif CJK SC"/>
          <w:b/>
          <w:sz w:val="20"/>
        </w:rPr>
        <w:t>Currency 高；Relevance 很高；Authority 高；Accuracy 高；Purpose 高</w:t>
      </w:r>
      <w:r>
        <w:rPr>
          <w:rFonts w:ascii="Aptos" w:hAnsi="Aptos" w:eastAsia="Noto Serif CJK SC"/>
          <w:sz w:val="20"/>
        </w:rPr>
        <w:t>。研究对象本身就是高速公路低能见度事件，是 fog evolution 部分最关键的直接文献之一。</w:t>
      </w:r>
    </w:p>
    <w:p>
      <w:pPr>
        <w:pStyle w:val="Heading1"/>
        <w:keepNext/>
        <w:keepLines/>
      </w:pPr>
      <w:r>
        <w:t>8. 最新 Fog Nowcasting 证据</w:t>
      </w:r>
    </w:p>
    <w:p>
      <w:pPr>
        <w:pStyle w:val="Heading2"/>
        <w:keepNext/>
        <w:keepLines/>
      </w:pPr>
      <w:r>
        <w:t>8.1 Yabra et al. (2026) — Predictability of Fog Using Surface Observation-Based Machine Learning Models</w:t>
      </w:r>
    </w:p>
    <w:p>
      <w:pPr>
        <w:spacing w:line="348" w:lineRule="auto" w:after="120"/>
        <w:ind w:firstLine="420"/>
      </w:pPr>
      <w:r>
        <w:rPr>
          <w:rFonts w:ascii="Aptos" w:hAnsi="Aptos" w:eastAsia="Noto Serif CJK SC"/>
          <w:sz w:val="21"/>
        </w:rPr>
        <w:t>Yabra 等人利用长期地面观测资料研究未来数小时的雾可预测性，并比较 logistic regression、decision tree、random forest 等模型与 climatology / persistence baseline。该研究的重要意义在于说明 fog evolution 并不一定要求复杂的深度神经网络，非线性树模型也可以通过较少的地面气象变量获得有效的短临预测能力。</w:t>
      </w:r>
    </w:p>
    <w:p>
      <w:pPr>
        <w:spacing w:line="348" w:lineRule="auto" w:after="120"/>
        <w:ind w:firstLine="420"/>
      </w:pPr>
      <w:r>
        <w:rPr>
          <w:rFonts w:ascii="Aptos" w:hAnsi="Aptos" w:eastAsia="Noto Serif CJK SC"/>
          <w:sz w:val="21"/>
        </w:rPr>
        <w:t>对于本项目，这意味着可以把 Random Forest / XGBoost 作为强 baseline，与 LSTM 等时序模型进行比较，而不是预先假设“越复杂的神经网络越好”。尤其在样本量有限时，较简单模型往往更容易解释与验证。</w:t>
      </w:r>
    </w:p>
    <w:p>
      <w:pPr>
        <w:spacing w:before="40" w:after="160"/>
        <w:ind w:left="283"/>
      </w:pPr>
      <w:r>
        <w:rPr>
          <w:rFonts w:ascii="Aptos" w:hAnsi="Aptos" w:eastAsia="Noto Serif CJK SC"/>
          <w:b/>
          <w:color w:val="1F4E79"/>
          <w:sz w:val="20"/>
        </w:rPr>
        <w:t>CRAAP：</w:t>
      </w:r>
      <w:r>
        <w:rPr>
          <w:rFonts w:ascii="Aptos" w:hAnsi="Aptos" w:eastAsia="Noto Serif CJK SC"/>
          <w:b/>
          <w:sz w:val="20"/>
        </w:rPr>
        <w:t>Currency 很高；Relevance 高；Authority 高；Accuracy 很高；Purpose 高</w:t>
      </w:r>
      <w:r>
        <w:rPr>
          <w:rFonts w:ascii="Aptos" w:hAnsi="Aptos" w:eastAsia="Noto Serif CJK SC"/>
          <w:sz w:val="20"/>
        </w:rPr>
        <w:t>。研究年份新、数据跨度长，并设置了基准模型比较；其局限是重点更接近 fog occurrence / nowcasting，而非直接从道路图像预测精确 MOR。</w:t>
      </w:r>
    </w:p>
    <w:p>
      <w:pPr>
        <w:pStyle w:val="Heading1"/>
        <w:keepNext/>
        <w:keepLines/>
      </w:pPr>
      <w:r>
        <w:t>9. 文献之间的关系与 Research Gap</w:t>
      </w:r>
    </w:p>
    <w:p>
      <w:pPr>
        <w:spacing w:line="348" w:lineRule="auto" w:after="120"/>
        <w:ind w:firstLine="420"/>
      </w:pPr>
      <w:r>
        <w:rPr>
          <w:rFonts w:ascii="Aptos" w:hAnsi="Aptos" w:eastAsia="Noto Serif CJK SC"/>
          <w:sz w:val="21"/>
        </w:rPr>
        <w:t>综合以上文献，可以看到一条非常明确的技术发展路线。早期工作首先解释雾如何改变图像；随后传统视觉方法利用道路几何和对比度衰减计算 MOR；近年来深度学习开始直接从真实高速公路 CCTV 提取结构、颜色、深度、暗通道和边缘特征，提高当前能见度估计；另一方面，气象学与机器学习研究则利用历史气象和能见度序列预测雾的形成、持续与消散。</w:t>
      </w:r>
    </w:p>
    <w:p>
      <w:pPr>
        <w:spacing w:before="80" w:after="160"/>
        <w:jc w:val="center"/>
      </w:pPr>
      <w:r>
        <w:rPr>
          <w:rFonts w:ascii="Cambria Math" w:hAnsi="Cambria Math" w:eastAsia="Noto Serif CJK SC"/>
          <w:i/>
          <w:sz w:val="23"/>
        </w:rPr>
        <w:t>Nayar → Hautière / Tan → Xiao / Yang → Penov / Miao / Gu / Yabra → Cornejo-Bueno</w:t>
      </w:r>
    </w:p>
    <w:p>
      <w:pPr>
        <w:spacing w:line="348" w:lineRule="auto" w:after="120"/>
        <w:ind w:firstLine="420"/>
      </w:pPr>
      <w:r>
        <w:rPr>
          <w:rFonts w:ascii="Aptos" w:hAnsi="Aptos" w:eastAsia="Noto Serif CJK SC"/>
          <w:sz w:val="21"/>
        </w:rPr>
        <w:t>现有研究的主要缺口在于：道路视觉研究通常擅长估计“现在”，气象预测研究通常擅长预测“未来”，但将高速公路 CCTV 图像得到的连续 MOR 与气象变量联合起来研究 fog evolution 的工作相对较少。</w:t>
      </w:r>
    </w:p>
    <w:p>
      <w:pPr>
        <w:spacing w:line="348" w:lineRule="auto" w:after="120"/>
        <w:ind w:firstLine="420"/>
      </w:pPr>
      <w:r>
        <w:rPr>
          <w:rFonts w:ascii="Aptos" w:hAnsi="Aptos" w:eastAsia="Noto Serif CJK SC"/>
          <w:sz w:val="21"/>
        </w:rPr>
        <w:t>因此，本研究可以建立一个完整的多阶段框架：先从每一帧高速公路监控图像估计 Vt，再把连续 V 序列与 AMOS 气象变量共同输入时间模型，预测未来 Vt+Δt，并进一步求解能见度达到给定阈值的时间。</w:t>
      </w:r>
    </w:p>
    <w:p>
      <w:pPr>
        <w:spacing w:before="80" w:after="160"/>
        <w:jc w:val="center"/>
      </w:pPr>
      <w:r>
        <w:rPr>
          <w:rFonts w:ascii="Cambria Math" w:hAnsi="Cambria Math" w:eastAsia="Noto Serif CJK SC"/>
          <w:i/>
          <w:sz w:val="23"/>
        </w:rPr>
        <w:t>Iₜ → V̂ₜ</w:t>
      </w:r>
    </w:p>
    <w:p>
      <w:pPr>
        <w:spacing w:before="80" w:after="160"/>
        <w:jc w:val="center"/>
      </w:pPr>
      <w:r>
        <w:rPr>
          <w:rFonts w:ascii="Cambria Math" w:hAnsi="Cambria Math" w:eastAsia="Noto Serif CJK SC"/>
          <w:i/>
          <w:sz w:val="23"/>
        </w:rPr>
        <w:t>{V̂ₜ₋ₙ, …, V̂ₜ, T, RH, P, Wind, …} → V̂ₜ₊Δt</w:t>
      </w:r>
    </w:p>
    <w:p>
      <w:pPr>
        <w:spacing w:before="80" w:after="160"/>
        <w:jc w:val="center"/>
      </w:pPr>
      <w:r>
        <w:rPr>
          <w:rFonts w:ascii="Cambria Math" w:hAnsi="Cambria Math" w:eastAsia="Noto Serif CJK SC"/>
          <w:i/>
          <w:sz w:val="23"/>
        </w:rPr>
        <w:t>Highway Video → Visibility Estimation → Visibility Time Series → Fog Evolution → Threshold-Time Prediction</w:t>
      </w:r>
    </w:p>
    <w:p>
      <w:pPr>
        <w:pStyle w:val="Heading1"/>
        <w:keepNext/>
        <w:keepLines/>
      </w:pPr>
      <w:r>
        <w:t>10. CRAAP 综合评价</w:t>
      </w:r>
    </w:p>
    <w:p>
      <w:pPr>
        <w:spacing w:line="348" w:lineRule="auto" w:after="120"/>
      </w:pPr>
      <w:r>
        <w:rPr>
          <w:rFonts w:ascii="Aptos" w:hAnsi="Aptos" w:eastAsia="Noto Serif CJK SC"/>
          <w:sz w:val="21"/>
        </w:rPr>
        <w:t>CRAAP 模型从 Currency（时效性）、Relevance（相关性）、Authority（权威性）、Accuracy（准确性）和 Purpose（目的性）五个方面评估来源。下表强调“对本研究的适用程度”，而不是对论文做简单的好坏排名。</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c>
          <w:tcPr>
            <w:tcW w:type="dxa" w:w="1701"/>
            <w:shd w:fill="D9EAF7"/>
            <w:vAlign w:val="center"/>
          </w:tcPr>
          <w:p>
            <w:pPr>
              <w:jc w:val="center"/>
            </w:pPr>
            <w:r>
              <w:rPr>
                <w:rFonts w:ascii="Aptos" w:hAnsi="Aptos" w:eastAsia="Noto Sans CJK SC"/>
                <w:b/>
                <w:sz w:val="16"/>
              </w:rPr>
              <w:t>文献</w:t>
            </w:r>
          </w:p>
        </w:tc>
        <w:tc>
          <w:tcPr>
            <w:tcW w:type="dxa" w:w="765"/>
            <w:shd w:fill="D9EAF7"/>
            <w:vAlign w:val="center"/>
          </w:tcPr>
          <w:p>
            <w:pPr>
              <w:jc w:val="center"/>
            </w:pPr>
            <w:r>
              <w:rPr>
                <w:rFonts w:ascii="Aptos" w:hAnsi="Aptos" w:eastAsia="Noto Sans CJK SC"/>
                <w:b/>
                <w:sz w:val="16"/>
              </w:rPr>
              <w:t>Currency</w:t>
            </w:r>
          </w:p>
        </w:tc>
        <w:tc>
          <w:tcPr>
            <w:tcW w:type="dxa" w:w="850"/>
            <w:shd w:fill="D9EAF7"/>
            <w:vAlign w:val="center"/>
          </w:tcPr>
          <w:p>
            <w:pPr>
              <w:jc w:val="center"/>
            </w:pPr>
            <w:r>
              <w:rPr>
                <w:rFonts w:ascii="Aptos" w:hAnsi="Aptos" w:eastAsia="Noto Sans CJK SC"/>
                <w:b/>
                <w:sz w:val="16"/>
              </w:rPr>
              <w:t>Relevance</w:t>
            </w:r>
          </w:p>
        </w:tc>
        <w:tc>
          <w:tcPr>
            <w:tcW w:type="dxa" w:w="822"/>
            <w:shd w:fill="D9EAF7"/>
            <w:vAlign w:val="center"/>
          </w:tcPr>
          <w:p>
            <w:pPr>
              <w:jc w:val="center"/>
            </w:pPr>
            <w:r>
              <w:rPr>
                <w:rFonts w:ascii="Aptos" w:hAnsi="Aptos" w:eastAsia="Noto Sans CJK SC"/>
                <w:b/>
                <w:sz w:val="16"/>
              </w:rPr>
              <w:t>Authority</w:t>
            </w:r>
          </w:p>
        </w:tc>
        <w:tc>
          <w:tcPr>
            <w:tcW w:type="dxa" w:w="765"/>
            <w:shd w:fill="D9EAF7"/>
            <w:vAlign w:val="center"/>
          </w:tcPr>
          <w:p>
            <w:pPr>
              <w:jc w:val="center"/>
            </w:pPr>
            <w:r>
              <w:rPr>
                <w:rFonts w:ascii="Aptos" w:hAnsi="Aptos" w:eastAsia="Noto Sans CJK SC"/>
                <w:b/>
                <w:sz w:val="16"/>
              </w:rPr>
              <w:t>Accuracy</w:t>
            </w:r>
          </w:p>
        </w:tc>
        <w:tc>
          <w:tcPr>
            <w:tcW w:type="dxa" w:w="709"/>
            <w:shd w:fill="D9EAF7"/>
            <w:vAlign w:val="center"/>
          </w:tcPr>
          <w:p>
            <w:pPr>
              <w:jc w:val="center"/>
            </w:pPr>
            <w:r>
              <w:rPr>
                <w:rFonts w:ascii="Aptos" w:hAnsi="Aptos" w:eastAsia="Noto Sans CJK SC"/>
                <w:b/>
                <w:sz w:val="16"/>
              </w:rPr>
              <w:t>Purpose</w:t>
            </w:r>
          </w:p>
        </w:tc>
        <w:tc>
          <w:tcPr>
            <w:tcW w:type="dxa" w:w="2835"/>
            <w:shd w:fill="D9EAF7"/>
            <w:vAlign w:val="center"/>
          </w:tcPr>
          <w:p>
            <w:pPr>
              <w:jc w:val="center"/>
            </w:pPr>
            <w:r>
              <w:rPr>
                <w:rFonts w:ascii="Aptos" w:hAnsi="Aptos" w:eastAsia="Noto Sans CJK SC"/>
                <w:b/>
                <w:sz w:val="16"/>
              </w:rPr>
              <w:t>对本研究主要价值</w:t>
            </w:r>
          </w:p>
        </w:tc>
      </w:tr>
      <w:tr>
        <w:tc>
          <w:tcPr>
            <w:tcW w:type="dxa" w:w="1701"/>
            <w:vAlign w:val="center"/>
            <w:tcMar>
              <w:top w:w="60" w:type="dxa"/>
              <w:start w:w="60" w:type="dxa"/>
              <w:bottom w:w="60" w:type="dxa"/>
              <w:end w:w="60" w:type="dxa"/>
            </w:tcMar>
          </w:tcPr>
          <w:p>
            <w:pPr>
              <w:jc w:val="center"/>
            </w:pPr>
            <w:r>
              <w:rPr>
                <w:rFonts w:ascii="Aptos" w:hAnsi="Aptos" w:eastAsia="Noto Serif CJK SC"/>
                <w:sz w:val="15"/>
              </w:rPr>
              <w:t>Nayar &amp; Narasimhan (1999)</w:t>
            </w:r>
          </w:p>
        </w:tc>
        <w:tc>
          <w:tcPr>
            <w:tcW w:type="dxa" w:w="765"/>
            <w:vAlign w:val="center"/>
            <w:tcMar>
              <w:top w:w="60" w:type="dxa"/>
              <w:start w:w="60" w:type="dxa"/>
              <w:bottom w:w="60" w:type="dxa"/>
              <w:end w:w="60" w:type="dxa"/>
            </w:tcMar>
          </w:tcPr>
          <w:p>
            <w:pPr>
              <w:jc w:val="center"/>
            </w:pPr>
            <w:r>
              <w:rPr>
                <w:rFonts w:ascii="Aptos" w:hAnsi="Aptos" w:eastAsia="Noto Serif CJK SC"/>
                <w:sz w:val="15"/>
              </w:rPr>
              <w:t>中</w:t>
            </w:r>
          </w:p>
        </w:tc>
        <w:tc>
          <w:tcPr>
            <w:tcW w:type="dxa" w:w="850"/>
            <w:vAlign w:val="center"/>
            <w:tcMar>
              <w:top w:w="60" w:type="dxa"/>
              <w:start w:w="60" w:type="dxa"/>
              <w:bottom w:w="60" w:type="dxa"/>
              <w:end w:w="60" w:type="dxa"/>
            </w:tcMar>
          </w:tcPr>
          <w:p>
            <w:pPr>
              <w:jc w:val="center"/>
            </w:pPr>
            <w:r>
              <w:rPr>
                <w:rFonts w:ascii="Aptos" w:hAnsi="Aptos" w:eastAsia="Noto Serif CJK SC"/>
                <w:sz w:val="15"/>
              </w:rPr>
              <w:t>高</w:t>
            </w:r>
          </w:p>
        </w:tc>
        <w:tc>
          <w:tcPr>
            <w:tcW w:type="dxa" w:w="822"/>
            <w:vAlign w:val="center"/>
            <w:tcMar>
              <w:top w:w="60" w:type="dxa"/>
              <w:start w:w="60" w:type="dxa"/>
              <w:bottom w:w="60" w:type="dxa"/>
              <w:end w:w="60" w:type="dxa"/>
            </w:tcMar>
          </w:tcPr>
          <w:p>
            <w:pPr>
              <w:jc w:val="center"/>
            </w:pPr>
            <w:r>
              <w:rPr>
                <w:rFonts w:ascii="Aptos" w:hAnsi="Aptos" w:eastAsia="Noto Serif CJK SC"/>
                <w:sz w:val="15"/>
              </w:rPr>
              <w:t>很高</w:t>
            </w:r>
          </w:p>
        </w:tc>
        <w:tc>
          <w:tcPr>
            <w:tcW w:type="dxa" w:w="765"/>
            <w:vAlign w:val="center"/>
            <w:tcMar>
              <w:top w:w="60" w:type="dxa"/>
              <w:start w:w="60" w:type="dxa"/>
              <w:bottom w:w="60" w:type="dxa"/>
              <w:end w:w="60" w:type="dxa"/>
            </w:tcMar>
          </w:tcPr>
          <w:p>
            <w:pPr>
              <w:jc w:val="center"/>
            </w:pPr>
            <w:r>
              <w:rPr>
                <w:rFonts w:ascii="Aptos" w:hAnsi="Aptos" w:eastAsia="Noto Serif CJK SC"/>
                <w:sz w:val="15"/>
              </w:rPr>
              <w:t>高</w:t>
            </w:r>
          </w:p>
        </w:tc>
        <w:tc>
          <w:tcPr>
            <w:tcW w:type="dxa" w:w="709"/>
            <w:vAlign w:val="center"/>
            <w:tcMar>
              <w:top w:w="60" w:type="dxa"/>
              <w:start w:w="60" w:type="dxa"/>
              <w:bottom w:w="60" w:type="dxa"/>
              <w:end w:w="60" w:type="dxa"/>
            </w:tcMar>
          </w:tcPr>
          <w:p>
            <w:pPr>
              <w:jc w:val="center"/>
            </w:pPr>
            <w:r>
              <w:rPr>
                <w:rFonts w:ascii="Aptos" w:hAnsi="Aptos" w:eastAsia="Noto Serif CJK SC"/>
                <w:sz w:val="15"/>
              </w:rPr>
              <w:t>高</w:t>
            </w:r>
          </w:p>
        </w:tc>
        <w:tc>
          <w:tcPr>
            <w:tcW w:type="dxa" w:w="2835"/>
            <w:vAlign w:val="center"/>
            <w:tcMar>
              <w:top w:w="60" w:type="dxa"/>
              <w:start w:w="60" w:type="dxa"/>
              <w:bottom w:w="60" w:type="dxa"/>
              <w:end w:w="60" w:type="dxa"/>
            </w:tcMar>
          </w:tcPr>
          <w:p>
            <w:pPr>
              <w:jc w:val="left"/>
            </w:pPr>
            <w:r>
              <w:rPr>
                <w:rFonts w:ascii="Aptos" w:hAnsi="Aptos" w:eastAsia="Noto Serif CJK SC"/>
                <w:sz w:val="15"/>
              </w:rPr>
              <w:t>大气散射与图像退化理论</w:t>
            </w:r>
          </w:p>
        </w:tc>
      </w:tr>
      <w:tr>
        <w:tc>
          <w:tcPr>
            <w:tcW w:type="dxa" w:w="1701"/>
            <w:vAlign w:val="center"/>
            <w:tcMar>
              <w:top w:w="60" w:type="dxa"/>
              <w:start w:w="60" w:type="dxa"/>
              <w:bottom w:w="60" w:type="dxa"/>
              <w:end w:w="60" w:type="dxa"/>
            </w:tcMar>
          </w:tcPr>
          <w:p>
            <w:pPr>
              <w:jc w:val="center"/>
            </w:pPr>
            <w:r>
              <w:rPr>
                <w:rFonts w:ascii="Aptos" w:hAnsi="Aptos" w:eastAsia="Noto Serif CJK SC"/>
                <w:sz w:val="15"/>
              </w:rPr>
              <w:t>Hautière et al. (2006)</w:t>
            </w:r>
          </w:p>
        </w:tc>
        <w:tc>
          <w:tcPr>
            <w:tcW w:type="dxa" w:w="765"/>
            <w:vAlign w:val="center"/>
            <w:tcMar>
              <w:top w:w="60" w:type="dxa"/>
              <w:start w:w="60" w:type="dxa"/>
              <w:bottom w:w="60" w:type="dxa"/>
              <w:end w:w="60" w:type="dxa"/>
            </w:tcMar>
          </w:tcPr>
          <w:p>
            <w:pPr>
              <w:jc w:val="center"/>
            </w:pPr>
            <w:r>
              <w:rPr>
                <w:rFonts w:ascii="Aptos" w:hAnsi="Aptos" w:eastAsia="Noto Serif CJK SC"/>
                <w:sz w:val="15"/>
              </w:rPr>
              <w:t>中</w:t>
            </w:r>
          </w:p>
        </w:tc>
        <w:tc>
          <w:tcPr>
            <w:tcW w:type="dxa" w:w="850"/>
            <w:vAlign w:val="center"/>
            <w:tcMar>
              <w:top w:w="60" w:type="dxa"/>
              <w:start w:w="60" w:type="dxa"/>
              <w:bottom w:w="60" w:type="dxa"/>
              <w:end w:w="60" w:type="dxa"/>
            </w:tcMar>
          </w:tcPr>
          <w:p>
            <w:pPr>
              <w:jc w:val="center"/>
            </w:pPr>
            <w:r>
              <w:rPr>
                <w:rFonts w:ascii="Aptos" w:hAnsi="Aptos" w:eastAsia="Noto Serif CJK SC"/>
                <w:sz w:val="15"/>
              </w:rPr>
              <w:t>很高</w:t>
            </w:r>
          </w:p>
        </w:tc>
        <w:tc>
          <w:tcPr>
            <w:tcW w:type="dxa" w:w="822"/>
            <w:vAlign w:val="center"/>
            <w:tcMar>
              <w:top w:w="60" w:type="dxa"/>
              <w:start w:w="60" w:type="dxa"/>
              <w:bottom w:w="60" w:type="dxa"/>
              <w:end w:w="60" w:type="dxa"/>
            </w:tcMar>
          </w:tcPr>
          <w:p>
            <w:pPr>
              <w:jc w:val="center"/>
            </w:pPr>
            <w:r>
              <w:rPr>
                <w:rFonts w:ascii="Aptos" w:hAnsi="Aptos" w:eastAsia="Noto Serif CJK SC"/>
                <w:sz w:val="15"/>
              </w:rPr>
              <w:t>高</w:t>
            </w:r>
          </w:p>
        </w:tc>
        <w:tc>
          <w:tcPr>
            <w:tcW w:type="dxa" w:w="765"/>
            <w:vAlign w:val="center"/>
            <w:tcMar>
              <w:top w:w="60" w:type="dxa"/>
              <w:start w:w="60" w:type="dxa"/>
              <w:bottom w:w="60" w:type="dxa"/>
              <w:end w:w="60" w:type="dxa"/>
            </w:tcMar>
          </w:tcPr>
          <w:p>
            <w:pPr>
              <w:jc w:val="center"/>
            </w:pPr>
            <w:r>
              <w:rPr>
                <w:rFonts w:ascii="Aptos" w:hAnsi="Aptos" w:eastAsia="Noto Serif CJK SC"/>
                <w:sz w:val="15"/>
              </w:rPr>
              <w:t>很高</w:t>
            </w:r>
          </w:p>
        </w:tc>
        <w:tc>
          <w:tcPr>
            <w:tcW w:type="dxa" w:w="709"/>
            <w:vAlign w:val="center"/>
            <w:tcMar>
              <w:top w:w="60" w:type="dxa"/>
              <w:start w:w="60" w:type="dxa"/>
              <w:bottom w:w="60" w:type="dxa"/>
              <w:end w:w="60" w:type="dxa"/>
            </w:tcMar>
          </w:tcPr>
          <w:p>
            <w:pPr>
              <w:jc w:val="center"/>
            </w:pPr>
            <w:r>
              <w:rPr>
                <w:rFonts w:ascii="Aptos" w:hAnsi="Aptos" w:eastAsia="Noto Serif CJK SC"/>
                <w:sz w:val="15"/>
              </w:rPr>
              <w:t>高</w:t>
            </w:r>
          </w:p>
        </w:tc>
        <w:tc>
          <w:tcPr>
            <w:tcW w:type="dxa" w:w="2835"/>
            <w:vAlign w:val="center"/>
            <w:tcMar>
              <w:top w:w="60" w:type="dxa"/>
              <w:start w:w="60" w:type="dxa"/>
              <w:bottom w:w="60" w:type="dxa"/>
              <w:end w:w="60" w:type="dxa"/>
            </w:tcMar>
          </w:tcPr>
          <w:p>
            <w:pPr>
              <w:jc w:val="left"/>
            </w:pPr>
            <w:r>
              <w:rPr>
                <w:rFonts w:ascii="Aptos" w:hAnsi="Aptos" w:eastAsia="Noto Serif CJK SC"/>
                <w:sz w:val="15"/>
              </w:rPr>
              <w:t>道路图像 → MOR 的物理基准</w:t>
            </w:r>
          </w:p>
        </w:tc>
      </w:tr>
      <w:tr>
        <w:tc>
          <w:tcPr>
            <w:tcW w:type="dxa" w:w="1701"/>
            <w:vAlign w:val="center"/>
            <w:tcMar>
              <w:top w:w="60" w:type="dxa"/>
              <w:start w:w="60" w:type="dxa"/>
              <w:bottom w:w="60" w:type="dxa"/>
              <w:end w:w="60" w:type="dxa"/>
            </w:tcMar>
          </w:tcPr>
          <w:p>
            <w:pPr>
              <w:jc w:val="center"/>
            </w:pPr>
            <w:r>
              <w:rPr>
                <w:rFonts w:ascii="Aptos" w:hAnsi="Aptos" w:eastAsia="Noto Serif CJK SC"/>
                <w:sz w:val="15"/>
              </w:rPr>
              <w:t>Tan (2008)</w:t>
            </w:r>
          </w:p>
        </w:tc>
        <w:tc>
          <w:tcPr>
            <w:tcW w:type="dxa" w:w="765"/>
            <w:vAlign w:val="center"/>
            <w:tcMar>
              <w:top w:w="60" w:type="dxa"/>
              <w:start w:w="60" w:type="dxa"/>
              <w:bottom w:w="60" w:type="dxa"/>
              <w:end w:w="60" w:type="dxa"/>
            </w:tcMar>
          </w:tcPr>
          <w:p>
            <w:pPr>
              <w:jc w:val="center"/>
            </w:pPr>
            <w:r>
              <w:rPr>
                <w:rFonts w:ascii="Aptos" w:hAnsi="Aptos" w:eastAsia="Noto Serif CJK SC"/>
                <w:sz w:val="15"/>
              </w:rPr>
              <w:t>中</w:t>
            </w:r>
          </w:p>
        </w:tc>
        <w:tc>
          <w:tcPr>
            <w:tcW w:type="dxa" w:w="850"/>
            <w:vAlign w:val="center"/>
            <w:tcMar>
              <w:top w:w="60" w:type="dxa"/>
              <w:start w:w="60" w:type="dxa"/>
              <w:bottom w:w="60" w:type="dxa"/>
              <w:end w:w="60" w:type="dxa"/>
            </w:tcMar>
          </w:tcPr>
          <w:p>
            <w:pPr>
              <w:jc w:val="center"/>
            </w:pPr>
            <w:r>
              <w:rPr>
                <w:rFonts w:ascii="Aptos" w:hAnsi="Aptos" w:eastAsia="Noto Serif CJK SC"/>
                <w:sz w:val="15"/>
              </w:rPr>
              <w:t>中高</w:t>
            </w:r>
          </w:p>
        </w:tc>
        <w:tc>
          <w:tcPr>
            <w:tcW w:type="dxa" w:w="822"/>
            <w:vAlign w:val="center"/>
            <w:tcMar>
              <w:top w:w="60" w:type="dxa"/>
              <w:start w:w="60" w:type="dxa"/>
              <w:bottom w:w="60" w:type="dxa"/>
              <w:end w:w="60" w:type="dxa"/>
            </w:tcMar>
          </w:tcPr>
          <w:p>
            <w:pPr>
              <w:jc w:val="center"/>
            </w:pPr>
            <w:r>
              <w:rPr>
                <w:rFonts w:ascii="Aptos" w:hAnsi="Aptos" w:eastAsia="Noto Serif CJK SC"/>
                <w:sz w:val="15"/>
              </w:rPr>
              <w:t>很高</w:t>
            </w:r>
          </w:p>
        </w:tc>
        <w:tc>
          <w:tcPr>
            <w:tcW w:type="dxa" w:w="765"/>
            <w:vAlign w:val="center"/>
            <w:tcMar>
              <w:top w:w="60" w:type="dxa"/>
              <w:start w:w="60" w:type="dxa"/>
              <w:bottom w:w="60" w:type="dxa"/>
              <w:end w:w="60" w:type="dxa"/>
            </w:tcMar>
          </w:tcPr>
          <w:p>
            <w:pPr>
              <w:jc w:val="center"/>
            </w:pPr>
            <w:r>
              <w:rPr>
                <w:rFonts w:ascii="Aptos" w:hAnsi="Aptos" w:eastAsia="Noto Serif CJK SC"/>
                <w:sz w:val="15"/>
              </w:rPr>
              <w:t>高</w:t>
            </w:r>
          </w:p>
        </w:tc>
        <w:tc>
          <w:tcPr>
            <w:tcW w:type="dxa" w:w="709"/>
            <w:vAlign w:val="center"/>
            <w:tcMar>
              <w:top w:w="60" w:type="dxa"/>
              <w:start w:w="60" w:type="dxa"/>
              <w:bottom w:w="60" w:type="dxa"/>
              <w:end w:w="60" w:type="dxa"/>
            </w:tcMar>
          </w:tcPr>
          <w:p>
            <w:pPr>
              <w:jc w:val="center"/>
            </w:pPr>
            <w:r>
              <w:rPr>
                <w:rFonts w:ascii="Aptos" w:hAnsi="Aptos" w:eastAsia="Noto Serif CJK SC"/>
                <w:sz w:val="15"/>
              </w:rPr>
              <w:t>高</w:t>
            </w:r>
          </w:p>
        </w:tc>
        <w:tc>
          <w:tcPr>
            <w:tcW w:type="dxa" w:w="2835"/>
            <w:vAlign w:val="center"/>
            <w:tcMar>
              <w:top w:w="60" w:type="dxa"/>
              <w:start w:w="60" w:type="dxa"/>
              <w:bottom w:w="60" w:type="dxa"/>
              <w:end w:w="60" w:type="dxa"/>
            </w:tcMar>
          </w:tcPr>
          <w:p>
            <w:pPr>
              <w:jc w:val="left"/>
            </w:pPr>
            <w:r>
              <w:rPr>
                <w:rFonts w:ascii="Aptos" w:hAnsi="Aptos" w:eastAsia="Noto Serif CJK SC"/>
                <w:sz w:val="15"/>
              </w:rPr>
              <w:t>单图像雾信息提取</w:t>
            </w:r>
          </w:p>
        </w:tc>
      </w:tr>
      <w:tr>
        <w:tc>
          <w:tcPr>
            <w:tcW w:type="dxa" w:w="1701"/>
            <w:vAlign w:val="center"/>
            <w:tcMar>
              <w:top w:w="60" w:type="dxa"/>
              <w:start w:w="60" w:type="dxa"/>
              <w:bottom w:w="60" w:type="dxa"/>
              <w:end w:w="60" w:type="dxa"/>
            </w:tcMar>
          </w:tcPr>
          <w:p>
            <w:pPr>
              <w:jc w:val="center"/>
            </w:pPr>
            <w:r>
              <w:rPr>
                <w:rFonts w:ascii="Aptos" w:hAnsi="Aptos" w:eastAsia="Noto Serif CJK SC"/>
                <w:sz w:val="15"/>
              </w:rPr>
              <w:t>Sakaridis et al. (2018)</w:t>
            </w:r>
          </w:p>
        </w:tc>
        <w:tc>
          <w:tcPr>
            <w:tcW w:type="dxa" w:w="765"/>
            <w:vAlign w:val="center"/>
            <w:tcMar>
              <w:top w:w="60" w:type="dxa"/>
              <w:start w:w="60" w:type="dxa"/>
              <w:bottom w:w="60" w:type="dxa"/>
              <w:end w:w="60" w:type="dxa"/>
            </w:tcMar>
          </w:tcPr>
          <w:p>
            <w:pPr>
              <w:jc w:val="center"/>
            </w:pPr>
            <w:r>
              <w:rPr>
                <w:rFonts w:ascii="Aptos" w:hAnsi="Aptos" w:eastAsia="Noto Serif CJK SC"/>
                <w:sz w:val="15"/>
              </w:rPr>
              <w:t>中高</w:t>
            </w:r>
          </w:p>
        </w:tc>
        <w:tc>
          <w:tcPr>
            <w:tcW w:type="dxa" w:w="850"/>
            <w:vAlign w:val="center"/>
            <w:tcMar>
              <w:top w:w="60" w:type="dxa"/>
              <w:start w:w="60" w:type="dxa"/>
              <w:bottom w:w="60" w:type="dxa"/>
              <w:end w:w="60" w:type="dxa"/>
            </w:tcMar>
          </w:tcPr>
          <w:p>
            <w:pPr>
              <w:jc w:val="center"/>
            </w:pPr>
            <w:r>
              <w:rPr>
                <w:rFonts w:ascii="Aptos" w:hAnsi="Aptos" w:eastAsia="Noto Serif CJK SC"/>
                <w:sz w:val="15"/>
              </w:rPr>
              <w:t>中</w:t>
            </w:r>
          </w:p>
        </w:tc>
        <w:tc>
          <w:tcPr>
            <w:tcW w:type="dxa" w:w="822"/>
            <w:vAlign w:val="center"/>
            <w:tcMar>
              <w:top w:w="60" w:type="dxa"/>
              <w:start w:w="60" w:type="dxa"/>
              <w:bottom w:w="60" w:type="dxa"/>
              <w:end w:w="60" w:type="dxa"/>
            </w:tcMar>
          </w:tcPr>
          <w:p>
            <w:pPr>
              <w:jc w:val="center"/>
            </w:pPr>
            <w:r>
              <w:rPr>
                <w:rFonts w:ascii="Aptos" w:hAnsi="Aptos" w:eastAsia="Noto Serif CJK SC"/>
                <w:sz w:val="15"/>
              </w:rPr>
              <w:t>很高</w:t>
            </w:r>
          </w:p>
        </w:tc>
        <w:tc>
          <w:tcPr>
            <w:tcW w:type="dxa" w:w="765"/>
            <w:vAlign w:val="center"/>
            <w:tcMar>
              <w:top w:w="60" w:type="dxa"/>
              <w:start w:w="60" w:type="dxa"/>
              <w:bottom w:w="60" w:type="dxa"/>
              <w:end w:w="60" w:type="dxa"/>
            </w:tcMar>
          </w:tcPr>
          <w:p>
            <w:pPr>
              <w:jc w:val="center"/>
            </w:pPr>
            <w:r>
              <w:rPr>
                <w:rFonts w:ascii="Aptos" w:hAnsi="Aptos" w:eastAsia="Noto Serif CJK SC"/>
                <w:sz w:val="15"/>
              </w:rPr>
              <w:t>高</w:t>
            </w:r>
          </w:p>
        </w:tc>
        <w:tc>
          <w:tcPr>
            <w:tcW w:type="dxa" w:w="709"/>
            <w:vAlign w:val="center"/>
            <w:tcMar>
              <w:top w:w="60" w:type="dxa"/>
              <w:start w:w="60" w:type="dxa"/>
              <w:bottom w:w="60" w:type="dxa"/>
              <w:end w:w="60" w:type="dxa"/>
            </w:tcMar>
          </w:tcPr>
          <w:p>
            <w:pPr>
              <w:jc w:val="center"/>
            </w:pPr>
            <w:r>
              <w:rPr>
                <w:rFonts w:ascii="Aptos" w:hAnsi="Aptos" w:eastAsia="Noto Serif CJK SC"/>
                <w:sz w:val="15"/>
              </w:rPr>
              <w:t>高</w:t>
            </w:r>
          </w:p>
        </w:tc>
        <w:tc>
          <w:tcPr>
            <w:tcW w:type="dxa" w:w="2835"/>
            <w:vAlign w:val="center"/>
            <w:tcMar>
              <w:top w:w="60" w:type="dxa"/>
              <w:start w:w="60" w:type="dxa"/>
              <w:bottom w:w="60" w:type="dxa"/>
              <w:end w:w="60" w:type="dxa"/>
            </w:tcMar>
          </w:tcPr>
          <w:p>
            <w:pPr>
              <w:jc w:val="left"/>
            </w:pPr>
            <w:r>
              <w:rPr>
                <w:rFonts w:ascii="Aptos" w:hAnsi="Aptos" w:eastAsia="Noto Serif CJK SC"/>
                <w:sz w:val="15"/>
              </w:rPr>
              <w:t>Synthetic fog 与数据增强</w:t>
            </w:r>
          </w:p>
        </w:tc>
      </w:tr>
      <w:tr>
        <w:tc>
          <w:tcPr>
            <w:tcW w:type="dxa" w:w="1701"/>
            <w:vAlign w:val="center"/>
            <w:tcMar>
              <w:top w:w="60" w:type="dxa"/>
              <w:start w:w="60" w:type="dxa"/>
              <w:bottom w:w="60" w:type="dxa"/>
              <w:end w:w="60" w:type="dxa"/>
            </w:tcMar>
          </w:tcPr>
          <w:p>
            <w:pPr>
              <w:jc w:val="center"/>
            </w:pPr>
            <w:r>
              <w:rPr>
                <w:rFonts w:ascii="Aptos" w:hAnsi="Aptos" w:eastAsia="Noto Serif CJK SC"/>
                <w:sz w:val="15"/>
              </w:rPr>
              <w:t>Miao et al. (2020)</w:t>
            </w:r>
          </w:p>
        </w:tc>
        <w:tc>
          <w:tcPr>
            <w:tcW w:type="dxa" w:w="765"/>
            <w:vAlign w:val="center"/>
            <w:tcMar>
              <w:top w:w="60" w:type="dxa"/>
              <w:start w:w="60" w:type="dxa"/>
              <w:bottom w:w="60" w:type="dxa"/>
              <w:end w:w="60" w:type="dxa"/>
            </w:tcMar>
          </w:tcPr>
          <w:p>
            <w:pPr>
              <w:jc w:val="center"/>
            </w:pPr>
            <w:r>
              <w:rPr>
                <w:rFonts w:ascii="Aptos" w:hAnsi="Aptos" w:eastAsia="Noto Serif CJK SC"/>
                <w:sz w:val="15"/>
              </w:rPr>
              <w:t>高</w:t>
            </w:r>
          </w:p>
        </w:tc>
        <w:tc>
          <w:tcPr>
            <w:tcW w:type="dxa" w:w="850"/>
            <w:vAlign w:val="center"/>
            <w:tcMar>
              <w:top w:w="60" w:type="dxa"/>
              <w:start w:w="60" w:type="dxa"/>
              <w:bottom w:w="60" w:type="dxa"/>
              <w:end w:w="60" w:type="dxa"/>
            </w:tcMar>
          </w:tcPr>
          <w:p>
            <w:pPr>
              <w:jc w:val="center"/>
            </w:pPr>
            <w:r>
              <w:rPr>
                <w:rFonts w:ascii="Aptos" w:hAnsi="Aptos" w:eastAsia="Noto Serif CJK SC"/>
                <w:sz w:val="15"/>
              </w:rPr>
              <w:t>高</w:t>
            </w:r>
          </w:p>
        </w:tc>
        <w:tc>
          <w:tcPr>
            <w:tcW w:type="dxa" w:w="822"/>
            <w:vAlign w:val="center"/>
            <w:tcMar>
              <w:top w:w="60" w:type="dxa"/>
              <w:start w:w="60" w:type="dxa"/>
              <w:bottom w:w="60" w:type="dxa"/>
              <w:end w:w="60" w:type="dxa"/>
            </w:tcMar>
          </w:tcPr>
          <w:p>
            <w:pPr>
              <w:jc w:val="center"/>
            </w:pPr>
            <w:r>
              <w:rPr>
                <w:rFonts w:ascii="Aptos" w:hAnsi="Aptos" w:eastAsia="Noto Serif CJK SC"/>
                <w:sz w:val="15"/>
              </w:rPr>
              <w:t>高</w:t>
            </w:r>
          </w:p>
        </w:tc>
        <w:tc>
          <w:tcPr>
            <w:tcW w:type="dxa" w:w="765"/>
            <w:vAlign w:val="center"/>
            <w:tcMar>
              <w:top w:w="60" w:type="dxa"/>
              <w:start w:w="60" w:type="dxa"/>
              <w:bottom w:w="60" w:type="dxa"/>
              <w:end w:w="60" w:type="dxa"/>
            </w:tcMar>
          </w:tcPr>
          <w:p>
            <w:pPr>
              <w:jc w:val="center"/>
            </w:pPr>
            <w:r>
              <w:rPr>
                <w:rFonts w:ascii="Aptos" w:hAnsi="Aptos" w:eastAsia="Noto Serif CJK SC"/>
                <w:sz w:val="15"/>
              </w:rPr>
              <w:t>高</w:t>
            </w:r>
          </w:p>
        </w:tc>
        <w:tc>
          <w:tcPr>
            <w:tcW w:type="dxa" w:w="709"/>
            <w:vAlign w:val="center"/>
            <w:tcMar>
              <w:top w:w="60" w:type="dxa"/>
              <w:start w:w="60" w:type="dxa"/>
              <w:bottom w:w="60" w:type="dxa"/>
              <w:end w:w="60" w:type="dxa"/>
            </w:tcMar>
          </w:tcPr>
          <w:p>
            <w:pPr>
              <w:jc w:val="center"/>
            </w:pPr>
            <w:r>
              <w:rPr>
                <w:rFonts w:ascii="Aptos" w:hAnsi="Aptos" w:eastAsia="Noto Serif CJK SC"/>
                <w:sz w:val="15"/>
              </w:rPr>
              <w:t>高</w:t>
            </w:r>
          </w:p>
        </w:tc>
        <w:tc>
          <w:tcPr>
            <w:tcW w:type="dxa" w:w="2835"/>
            <w:vAlign w:val="center"/>
            <w:tcMar>
              <w:top w:w="60" w:type="dxa"/>
              <w:start w:w="60" w:type="dxa"/>
              <w:bottom w:w="60" w:type="dxa"/>
              <w:end w:w="60" w:type="dxa"/>
            </w:tcMar>
          </w:tcPr>
          <w:p>
            <w:pPr>
              <w:jc w:val="left"/>
            </w:pPr>
            <w:r>
              <w:rPr>
                <w:rFonts w:ascii="Aptos" w:hAnsi="Aptos" w:eastAsia="Noto Serif CJK SC"/>
                <w:sz w:val="15"/>
              </w:rPr>
              <w:t>时间序列与 LSTM fog evolution</w:t>
            </w:r>
          </w:p>
        </w:tc>
      </w:tr>
      <w:tr>
        <w:tc>
          <w:tcPr>
            <w:tcW w:type="dxa" w:w="1701"/>
            <w:vAlign w:val="center"/>
            <w:tcMar>
              <w:top w:w="60" w:type="dxa"/>
              <w:start w:w="60" w:type="dxa"/>
              <w:bottom w:w="60" w:type="dxa"/>
              <w:end w:w="60" w:type="dxa"/>
            </w:tcMar>
          </w:tcPr>
          <w:p>
            <w:pPr>
              <w:jc w:val="center"/>
            </w:pPr>
            <w:r>
              <w:rPr>
                <w:rFonts w:ascii="Aptos" w:hAnsi="Aptos" w:eastAsia="Noto Serif CJK SC"/>
                <w:sz w:val="15"/>
              </w:rPr>
              <w:t>Cornejo-Bueno et al. (2021)</w:t>
            </w:r>
          </w:p>
        </w:tc>
        <w:tc>
          <w:tcPr>
            <w:tcW w:type="dxa" w:w="765"/>
            <w:vAlign w:val="center"/>
            <w:tcMar>
              <w:top w:w="60" w:type="dxa"/>
              <w:start w:w="60" w:type="dxa"/>
              <w:bottom w:w="60" w:type="dxa"/>
              <w:end w:w="60" w:type="dxa"/>
            </w:tcMar>
          </w:tcPr>
          <w:p>
            <w:pPr>
              <w:jc w:val="center"/>
            </w:pPr>
            <w:r>
              <w:rPr>
                <w:rFonts w:ascii="Aptos" w:hAnsi="Aptos" w:eastAsia="Noto Serif CJK SC"/>
                <w:sz w:val="15"/>
              </w:rPr>
              <w:t>高</w:t>
            </w:r>
          </w:p>
        </w:tc>
        <w:tc>
          <w:tcPr>
            <w:tcW w:type="dxa" w:w="850"/>
            <w:vAlign w:val="center"/>
            <w:tcMar>
              <w:top w:w="60" w:type="dxa"/>
              <w:start w:w="60" w:type="dxa"/>
              <w:bottom w:w="60" w:type="dxa"/>
              <w:end w:w="60" w:type="dxa"/>
            </w:tcMar>
          </w:tcPr>
          <w:p>
            <w:pPr>
              <w:jc w:val="center"/>
            </w:pPr>
            <w:r>
              <w:rPr>
                <w:rFonts w:ascii="Aptos" w:hAnsi="Aptos" w:eastAsia="Noto Serif CJK SC"/>
                <w:sz w:val="15"/>
              </w:rPr>
              <w:t>很高</w:t>
            </w:r>
          </w:p>
        </w:tc>
        <w:tc>
          <w:tcPr>
            <w:tcW w:type="dxa" w:w="822"/>
            <w:vAlign w:val="center"/>
            <w:tcMar>
              <w:top w:w="60" w:type="dxa"/>
              <w:start w:w="60" w:type="dxa"/>
              <w:bottom w:w="60" w:type="dxa"/>
              <w:end w:w="60" w:type="dxa"/>
            </w:tcMar>
          </w:tcPr>
          <w:p>
            <w:pPr>
              <w:jc w:val="center"/>
            </w:pPr>
            <w:r>
              <w:rPr>
                <w:rFonts w:ascii="Aptos" w:hAnsi="Aptos" w:eastAsia="Noto Serif CJK SC"/>
                <w:sz w:val="15"/>
              </w:rPr>
              <w:t>高</w:t>
            </w:r>
          </w:p>
        </w:tc>
        <w:tc>
          <w:tcPr>
            <w:tcW w:type="dxa" w:w="765"/>
            <w:vAlign w:val="center"/>
            <w:tcMar>
              <w:top w:w="60" w:type="dxa"/>
              <w:start w:w="60" w:type="dxa"/>
              <w:bottom w:w="60" w:type="dxa"/>
              <w:end w:w="60" w:type="dxa"/>
            </w:tcMar>
          </w:tcPr>
          <w:p>
            <w:pPr>
              <w:jc w:val="center"/>
            </w:pPr>
            <w:r>
              <w:rPr>
                <w:rFonts w:ascii="Aptos" w:hAnsi="Aptos" w:eastAsia="Noto Serif CJK SC"/>
                <w:sz w:val="15"/>
              </w:rPr>
              <w:t>高</w:t>
            </w:r>
          </w:p>
        </w:tc>
        <w:tc>
          <w:tcPr>
            <w:tcW w:type="dxa" w:w="709"/>
            <w:vAlign w:val="center"/>
            <w:tcMar>
              <w:top w:w="60" w:type="dxa"/>
              <w:start w:w="60" w:type="dxa"/>
              <w:bottom w:w="60" w:type="dxa"/>
              <w:end w:w="60" w:type="dxa"/>
            </w:tcMar>
          </w:tcPr>
          <w:p>
            <w:pPr>
              <w:jc w:val="center"/>
            </w:pPr>
            <w:r>
              <w:rPr>
                <w:rFonts w:ascii="Aptos" w:hAnsi="Aptos" w:eastAsia="Noto Serif CJK SC"/>
                <w:sz w:val="15"/>
              </w:rPr>
              <w:t>高</w:t>
            </w:r>
          </w:p>
        </w:tc>
        <w:tc>
          <w:tcPr>
            <w:tcW w:type="dxa" w:w="2835"/>
            <w:vAlign w:val="center"/>
            <w:tcMar>
              <w:top w:w="60" w:type="dxa"/>
              <w:start w:w="60" w:type="dxa"/>
              <w:bottom w:w="60" w:type="dxa"/>
              <w:end w:w="60" w:type="dxa"/>
            </w:tcMar>
          </w:tcPr>
          <w:p>
            <w:pPr>
              <w:jc w:val="left"/>
            </w:pPr>
            <w:r>
              <w:rPr>
                <w:rFonts w:ascii="Aptos" w:hAnsi="Aptos" w:eastAsia="Noto Serif CJK SC"/>
                <w:sz w:val="15"/>
              </w:rPr>
              <w:t>高速公路雾持续时间与短临预测</w:t>
            </w:r>
          </w:p>
        </w:tc>
      </w:tr>
      <w:tr>
        <w:tc>
          <w:tcPr>
            <w:tcW w:type="dxa" w:w="1701"/>
            <w:vAlign w:val="center"/>
            <w:tcMar>
              <w:top w:w="60" w:type="dxa"/>
              <w:start w:w="60" w:type="dxa"/>
              <w:bottom w:w="60" w:type="dxa"/>
              <w:end w:w="60" w:type="dxa"/>
            </w:tcMar>
          </w:tcPr>
          <w:p>
            <w:pPr>
              <w:jc w:val="center"/>
            </w:pPr>
            <w:r>
              <w:rPr>
                <w:rFonts w:ascii="Aptos" w:hAnsi="Aptos" w:eastAsia="Noto Serif CJK SC"/>
                <w:sz w:val="15"/>
              </w:rPr>
              <w:t>Xiao et al. (2023)</w:t>
            </w:r>
          </w:p>
        </w:tc>
        <w:tc>
          <w:tcPr>
            <w:tcW w:type="dxa" w:w="765"/>
            <w:vAlign w:val="center"/>
            <w:tcMar>
              <w:top w:w="60" w:type="dxa"/>
              <w:start w:w="60" w:type="dxa"/>
              <w:bottom w:w="60" w:type="dxa"/>
              <w:end w:w="60" w:type="dxa"/>
            </w:tcMar>
          </w:tcPr>
          <w:p>
            <w:pPr>
              <w:jc w:val="center"/>
            </w:pPr>
            <w:r>
              <w:rPr>
                <w:rFonts w:ascii="Aptos" w:hAnsi="Aptos" w:eastAsia="Noto Serif CJK SC"/>
                <w:sz w:val="15"/>
              </w:rPr>
              <w:t>很高</w:t>
            </w:r>
          </w:p>
        </w:tc>
        <w:tc>
          <w:tcPr>
            <w:tcW w:type="dxa" w:w="850"/>
            <w:vAlign w:val="center"/>
            <w:tcMar>
              <w:top w:w="60" w:type="dxa"/>
              <w:start w:w="60" w:type="dxa"/>
              <w:bottom w:w="60" w:type="dxa"/>
              <w:end w:w="60" w:type="dxa"/>
            </w:tcMar>
          </w:tcPr>
          <w:p>
            <w:pPr>
              <w:jc w:val="center"/>
            </w:pPr>
            <w:r>
              <w:rPr>
                <w:rFonts w:ascii="Aptos" w:hAnsi="Aptos" w:eastAsia="Noto Serif CJK SC"/>
                <w:sz w:val="15"/>
              </w:rPr>
              <w:t>很高</w:t>
            </w:r>
          </w:p>
        </w:tc>
        <w:tc>
          <w:tcPr>
            <w:tcW w:type="dxa" w:w="822"/>
            <w:vAlign w:val="center"/>
            <w:tcMar>
              <w:top w:w="60" w:type="dxa"/>
              <w:start w:w="60" w:type="dxa"/>
              <w:bottom w:w="60" w:type="dxa"/>
              <w:end w:w="60" w:type="dxa"/>
            </w:tcMar>
          </w:tcPr>
          <w:p>
            <w:pPr>
              <w:jc w:val="center"/>
            </w:pPr>
            <w:r>
              <w:rPr>
                <w:rFonts w:ascii="Aptos" w:hAnsi="Aptos" w:eastAsia="Noto Serif CJK SC"/>
                <w:sz w:val="15"/>
              </w:rPr>
              <w:t>高</w:t>
            </w:r>
          </w:p>
        </w:tc>
        <w:tc>
          <w:tcPr>
            <w:tcW w:type="dxa" w:w="765"/>
            <w:vAlign w:val="center"/>
            <w:tcMar>
              <w:top w:w="60" w:type="dxa"/>
              <w:start w:w="60" w:type="dxa"/>
              <w:bottom w:w="60" w:type="dxa"/>
              <w:end w:w="60" w:type="dxa"/>
            </w:tcMar>
          </w:tcPr>
          <w:p>
            <w:pPr>
              <w:jc w:val="center"/>
            </w:pPr>
            <w:r>
              <w:rPr>
                <w:rFonts w:ascii="Aptos" w:hAnsi="Aptos" w:eastAsia="Noto Serif CJK SC"/>
                <w:sz w:val="15"/>
              </w:rPr>
              <w:t>高</w:t>
            </w:r>
          </w:p>
        </w:tc>
        <w:tc>
          <w:tcPr>
            <w:tcW w:type="dxa" w:w="709"/>
            <w:vAlign w:val="center"/>
            <w:tcMar>
              <w:top w:w="60" w:type="dxa"/>
              <w:start w:w="60" w:type="dxa"/>
              <w:bottom w:w="60" w:type="dxa"/>
              <w:end w:w="60" w:type="dxa"/>
            </w:tcMar>
          </w:tcPr>
          <w:p>
            <w:pPr>
              <w:jc w:val="center"/>
            </w:pPr>
            <w:r>
              <w:rPr>
                <w:rFonts w:ascii="Aptos" w:hAnsi="Aptos" w:eastAsia="Noto Serif CJK SC"/>
                <w:sz w:val="15"/>
              </w:rPr>
              <w:t>高</w:t>
            </w:r>
          </w:p>
        </w:tc>
        <w:tc>
          <w:tcPr>
            <w:tcW w:type="dxa" w:w="2835"/>
            <w:vAlign w:val="center"/>
            <w:tcMar>
              <w:top w:w="60" w:type="dxa"/>
              <w:start w:w="60" w:type="dxa"/>
              <w:bottom w:w="60" w:type="dxa"/>
              <w:end w:w="60" w:type="dxa"/>
            </w:tcMar>
          </w:tcPr>
          <w:p>
            <w:pPr>
              <w:jc w:val="left"/>
            </w:pPr>
            <w:r>
              <w:rPr>
                <w:rFonts w:ascii="Aptos" w:hAnsi="Aptos" w:eastAsia="Noto Serif CJK SC"/>
                <w:sz w:val="15"/>
              </w:rPr>
              <w:t>真实高速 CCTV 能见度估计</w:t>
            </w:r>
          </w:p>
        </w:tc>
      </w:tr>
      <w:tr>
        <w:tc>
          <w:tcPr>
            <w:tcW w:type="dxa" w:w="1701"/>
            <w:vAlign w:val="center"/>
            <w:tcMar>
              <w:top w:w="60" w:type="dxa"/>
              <w:start w:w="60" w:type="dxa"/>
              <w:bottom w:w="60" w:type="dxa"/>
              <w:end w:w="60" w:type="dxa"/>
            </w:tcMar>
          </w:tcPr>
          <w:p>
            <w:pPr>
              <w:jc w:val="center"/>
            </w:pPr>
            <w:r>
              <w:rPr>
                <w:rFonts w:ascii="Aptos" w:hAnsi="Aptos" w:eastAsia="Noto Serif CJK SC"/>
                <w:sz w:val="15"/>
              </w:rPr>
              <w:t>Yang et al. (2023)</w:t>
            </w:r>
          </w:p>
        </w:tc>
        <w:tc>
          <w:tcPr>
            <w:tcW w:type="dxa" w:w="765"/>
            <w:vAlign w:val="center"/>
            <w:tcMar>
              <w:top w:w="60" w:type="dxa"/>
              <w:start w:w="60" w:type="dxa"/>
              <w:bottom w:w="60" w:type="dxa"/>
              <w:end w:w="60" w:type="dxa"/>
            </w:tcMar>
          </w:tcPr>
          <w:p>
            <w:pPr>
              <w:jc w:val="center"/>
            </w:pPr>
            <w:r>
              <w:rPr>
                <w:rFonts w:ascii="Aptos" w:hAnsi="Aptos" w:eastAsia="Noto Serif CJK SC"/>
                <w:sz w:val="15"/>
              </w:rPr>
              <w:t>很高</w:t>
            </w:r>
          </w:p>
        </w:tc>
        <w:tc>
          <w:tcPr>
            <w:tcW w:type="dxa" w:w="850"/>
            <w:vAlign w:val="center"/>
            <w:tcMar>
              <w:top w:w="60" w:type="dxa"/>
              <w:start w:w="60" w:type="dxa"/>
              <w:bottom w:w="60" w:type="dxa"/>
              <w:end w:w="60" w:type="dxa"/>
            </w:tcMar>
          </w:tcPr>
          <w:p>
            <w:pPr>
              <w:jc w:val="center"/>
            </w:pPr>
            <w:r>
              <w:rPr>
                <w:rFonts w:ascii="Aptos" w:hAnsi="Aptos" w:eastAsia="Noto Serif CJK SC"/>
                <w:sz w:val="15"/>
              </w:rPr>
              <w:t>很高</w:t>
            </w:r>
          </w:p>
        </w:tc>
        <w:tc>
          <w:tcPr>
            <w:tcW w:type="dxa" w:w="822"/>
            <w:vAlign w:val="center"/>
            <w:tcMar>
              <w:top w:w="60" w:type="dxa"/>
              <w:start w:w="60" w:type="dxa"/>
              <w:bottom w:w="60" w:type="dxa"/>
              <w:end w:w="60" w:type="dxa"/>
            </w:tcMar>
          </w:tcPr>
          <w:p>
            <w:pPr>
              <w:jc w:val="center"/>
            </w:pPr>
            <w:r>
              <w:rPr>
                <w:rFonts w:ascii="Aptos" w:hAnsi="Aptos" w:eastAsia="Noto Serif CJK SC"/>
                <w:sz w:val="15"/>
              </w:rPr>
              <w:t>高</w:t>
            </w:r>
          </w:p>
        </w:tc>
        <w:tc>
          <w:tcPr>
            <w:tcW w:type="dxa" w:w="765"/>
            <w:vAlign w:val="center"/>
            <w:tcMar>
              <w:top w:w="60" w:type="dxa"/>
              <w:start w:w="60" w:type="dxa"/>
              <w:bottom w:w="60" w:type="dxa"/>
              <w:end w:w="60" w:type="dxa"/>
            </w:tcMar>
          </w:tcPr>
          <w:p>
            <w:pPr>
              <w:jc w:val="center"/>
            </w:pPr>
            <w:r>
              <w:rPr>
                <w:rFonts w:ascii="Aptos" w:hAnsi="Aptos" w:eastAsia="Noto Serif CJK SC"/>
                <w:sz w:val="15"/>
              </w:rPr>
              <w:t>高</w:t>
            </w:r>
          </w:p>
        </w:tc>
        <w:tc>
          <w:tcPr>
            <w:tcW w:type="dxa" w:w="709"/>
            <w:vAlign w:val="center"/>
            <w:tcMar>
              <w:top w:w="60" w:type="dxa"/>
              <w:start w:w="60" w:type="dxa"/>
              <w:bottom w:w="60" w:type="dxa"/>
              <w:end w:w="60" w:type="dxa"/>
            </w:tcMar>
          </w:tcPr>
          <w:p>
            <w:pPr>
              <w:jc w:val="center"/>
            </w:pPr>
            <w:r>
              <w:rPr>
                <w:rFonts w:ascii="Aptos" w:hAnsi="Aptos" w:eastAsia="Noto Serif CJK SC"/>
                <w:sz w:val="15"/>
              </w:rPr>
              <w:t>高</w:t>
            </w:r>
          </w:p>
        </w:tc>
        <w:tc>
          <w:tcPr>
            <w:tcW w:type="dxa" w:w="2835"/>
            <w:vAlign w:val="center"/>
            <w:tcMar>
              <w:top w:w="60" w:type="dxa"/>
              <w:start w:w="60" w:type="dxa"/>
              <w:bottom w:w="60" w:type="dxa"/>
              <w:end w:w="60" w:type="dxa"/>
            </w:tcMar>
          </w:tcPr>
          <w:p>
            <w:pPr>
              <w:jc w:val="left"/>
            </w:pPr>
            <w:r>
              <w:rPr>
                <w:rFonts w:ascii="Aptos" w:hAnsi="Aptos" w:eastAsia="Noto Serif CJK SC"/>
                <w:sz w:val="15"/>
              </w:rPr>
              <w:t>VENet + FVEI + 实际高速应用</w:t>
            </w:r>
          </w:p>
        </w:tc>
      </w:tr>
      <w:tr>
        <w:tc>
          <w:tcPr>
            <w:tcW w:type="dxa" w:w="1701"/>
            <w:vAlign w:val="center"/>
            <w:tcMar>
              <w:top w:w="60" w:type="dxa"/>
              <w:start w:w="60" w:type="dxa"/>
              <w:bottom w:w="60" w:type="dxa"/>
              <w:end w:w="60" w:type="dxa"/>
            </w:tcMar>
          </w:tcPr>
          <w:p>
            <w:pPr>
              <w:jc w:val="center"/>
            </w:pPr>
            <w:r>
              <w:rPr>
                <w:rFonts w:ascii="Aptos" w:hAnsi="Aptos" w:eastAsia="Noto Serif CJK SC"/>
                <w:sz w:val="15"/>
              </w:rPr>
              <w:t>Penov &amp; Guerova (2023)</w:t>
            </w:r>
          </w:p>
        </w:tc>
        <w:tc>
          <w:tcPr>
            <w:tcW w:type="dxa" w:w="765"/>
            <w:vAlign w:val="center"/>
            <w:tcMar>
              <w:top w:w="60" w:type="dxa"/>
              <w:start w:w="60" w:type="dxa"/>
              <w:bottom w:w="60" w:type="dxa"/>
              <w:end w:w="60" w:type="dxa"/>
            </w:tcMar>
          </w:tcPr>
          <w:p>
            <w:pPr>
              <w:jc w:val="center"/>
            </w:pPr>
            <w:r>
              <w:rPr>
                <w:rFonts w:ascii="Aptos" w:hAnsi="Aptos" w:eastAsia="Noto Serif CJK SC"/>
                <w:sz w:val="15"/>
              </w:rPr>
              <w:t>很高</w:t>
            </w:r>
          </w:p>
        </w:tc>
        <w:tc>
          <w:tcPr>
            <w:tcW w:type="dxa" w:w="850"/>
            <w:vAlign w:val="center"/>
            <w:tcMar>
              <w:top w:w="60" w:type="dxa"/>
              <w:start w:w="60" w:type="dxa"/>
              <w:bottom w:w="60" w:type="dxa"/>
              <w:end w:w="60" w:type="dxa"/>
            </w:tcMar>
          </w:tcPr>
          <w:p>
            <w:pPr>
              <w:jc w:val="center"/>
            </w:pPr>
            <w:r>
              <w:rPr>
                <w:rFonts w:ascii="Aptos" w:hAnsi="Aptos" w:eastAsia="Noto Serif CJK SC"/>
                <w:sz w:val="15"/>
              </w:rPr>
              <w:t>高</w:t>
            </w:r>
          </w:p>
        </w:tc>
        <w:tc>
          <w:tcPr>
            <w:tcW w:type="dxa" w:w="822"/>
            <w:vAlign w:val="center"/>
            <w:tcMar>
              <w:top w:w="60" w:type="dxa"/>
              <w:start w:w="60" w:type="dxa"/>
              <w:bottom w:w="60" w:type="dxa"/>
              <w:end w:w="60" w:type="dxa"/>
            </w:tcMar>
          </w:tcPr>
          <w:p>
            <w:pPr>
              <w:jc w:val="center"/>
            </w:pPr>
            <w:r>
              <w:rPr>
                <w:rFonts w:ascii="Aptos" w:hAnsi="Aptos" w:eastAsia="Noto Serif CJK SC"/>
                <w:sz w:val="15"/>
              </w:rPr>
              <w:t>高</w:t>
            </w:r>
          </w:p>
        </w:tc>
        <w:tc>
          <w:tcPr>
            <w:tcW w:type="dxa" w:w="765"/>
            <w:vAlign w:val="center"/>
            <w:tcMar>
              <w:top w:w="60" w:type="dxa"/>
              <w:start w:w="60" w:type="dxa"/>
              <w:bottom w:w="60" w:type="dxa"/>
              <w:end w:w="60" w:type="dxa"/>
            </w:tcMar>
          </w:tcPr>
          <w:p>
            <w:pPr>
              <w:jc w:val="center"/>
            </w:pPr>
            <w:r>
              <w:rPr>
                <w:rFonts w:ascii="Aptos" w:hAnsi="Aptos" w:eastAsia="Noto Serif CJK SC"/>
                <w:sz w:val="15"/>
              </w:rPr>
              <w:t>高</w:t>
            </w:r>
          </w:p>
        </w:tc>
        <w:tc>
          <w:tcPr>
            <w:tcW w:type="dxa" w:w="709"/>
            <w:vAlign w:val="center"/>
            <w:tcMar>
              <w:top w:w="60" w:type="dxa"/>
              <w:start w:w="60" w:type="dxa"/>
              <w:bottom w:w="60" w:type="dxa"/>
              <w:end w:w="60" w:type="dxa"/>
            </w:tcMar>
          </w:tcPr>
          <w:p>
            <w:pPr>
              <w:jc w:val="center"/>
            </w:pPr>
            <w:r>
              <w:rPr>
                <w:rFonts w:ascii="Aptos" w:hAnsi="Aptos" w:eastAsia="Noto Serif CJK SC"/>
                <w:sz w:val="15"/>
              </w:rPr>
              <w:t>高</w:t>
            </w:r>
          </w:p>
        </w:tc>
        <w:tc>
          <w:tcPr>
            <w:tcW w:type="dxa" w:w="2835"/>
            <w:vAlign w:val="center"/>
            <w:tcMar>
              <w:top w:w="60" w:type="dxa"/>
              <w:start w:w="60" w:type="dxa"/>
              <w:bottom w:w="60" w:type="dxa"/>
              <w:end w:w="60" w:type="dxa"/>
            </w:tcMar>
          </w:tcPr>
          <w:p>
            <w:pPr>
              <w:jc w:val="left"/>
            </w:pPr>
            <w:r>
              <w:rPr>
                <w:rFonts w:ascii="Aptos" w:hAnsi="Aptos" w:eastAsia="Noto Serif CJK SC"/>
                <w:sz w:val="15"/>
              </w:rPr>
              <w:t>气象变量 → 连续能见度</w:t>
            </w:r>
          </w:p>
        </w:tc>
      </w:tr>
      <w:tr>
        <w:tc>
          <w:tcPr>
            <w:tcW w:type="dxa" w:w="1701"/>
            <w:vAlign w:val="center"/>
            <w:tcMar>
              <w:top w:w="60" w:type="dxa"/>
              <w:start w:w="60" w:type="dxa"/>
              <w:bottom w:w="60" w:type="dxa"/>
              <w:end w:w="60" w:type="dxa"/>
            </w:tcMar>
          </w:tcPr>
          <w:p>
            <w:pPr>
              <w:jc w:val="center"/>
            </w:pPr>
            <w:r>
              <w:rPr>
                <w:rFonts w:ascii="Aptos" w:hAnsi="Aptos" w:eastAsia="Noto Serif CJK SC"/>
                <w:sz w:val="15"/>
              </w:rPr>
              <w:t>顾成恺等 (2025)</w:t>
            </w:r>
          </w:p>
        </w:tc>
        <w:tc>
          <w:tcPr>
            <w:tcW w:type="dxa" w:w="765"/>
            <w:vAlign w:val="center"/>
            <w:tcMar>
              <w:top w:w="60" w:type="dxa"/>
              <w:start w:w="60" w:type="dxa"/>
              <w:bottom w:w="60" w:type="dxa"/>
              <w:end w:w="60" w:type="dxa"/>
            </w:tcMar>
          </w:tcPr>
          <w:p>
            <w:pPr>
              <w:jc w:val="center"/>
            </w:pPr>
            <w:r>
              <w:rPr>
                <w:rFonts w:ascii="Aptos" w:hAnsi="Aptos" w:eastAsia="Noto Serif CJK SC"/>
                <w:sz w:val="15"/>
              </w:rPr>
              <w:t>很高</w:t>
            </w:r>
          </w:p>
        </w:tc>
        <w:tc>
          <w:tcPr>
            <w:tcW w:type="dxa" w:w="850"/>
            <w:vAlign w:val="center"/>
            <w:tcMar>
              <w:top w:w="60" w:type="dxa"/>
              <w:start w:w="60" w:type="dxa"/>
              <w:bottom w:w="60" w:type="dxa"/>
              <w:end w:w="60" w:type="dxa"/>
            </w:tcMar>
          </w:tcPr>
          <w:p>
            <w:pPr>
              <w:jc w:val="center"/>
            </w:pPr>
            <w:r>
              <w:rPr>
                <w:rFonts w:ascii="Aptos" w:hAnsi="Aptos" w:eastAsia="Noto Serif CJK SC"/>
                <w:sz w:val="15"/>
              </w:rPr>
              <w:t>很高</w:t>
            </w:r>
          </w:p>
        </w:tc>
        <w:tc>
          <w:tcPr>
            <w:tcW w:type="dxa" w:w="822"/>
            <w:vAlign w:val="center"/>
            <w:tcMar>
              <w:top w:w="60" w:type="dxa"/>
              <w:start w:w="60" w:type="dxa"/>
              <w:bottom w:w="60" w:type="dxa"/>
              <w:end w:w="60" w:type="dxa"/>
            </w:tcMar>
          </w:tcPr>
          <w:p>
            <w:pPr>
              <w:jc w:val="center"/>
            </w:pPr>
            <w:r>
              <w:rPr>
                <w:rFonts w:ascii="Aptos" w:hAnsi="Aptos" w:eastAsia="Noto Serif CJK SC"/>
                <w:sz w:val="15"/>
              </w:rPr>
              <w:t>中高</w:t>
            </w:r>
          </w:p>
        </w:tc>
        <w:tc>
          <w:tcPr>
            <w:tcW w:type="dxa" w:w="765"/>
            <w:vAlign w:val="center"/>
            <w:tcMar>
              <w:top w:w="60" w:type="dxa"/>
              <w:start w:w="60" w:type="dxa"/>
              <w:bottom w:w="60" w:type="dxa"/>
              <w:end w:w="60" w:type="dxa"/>
            </w:tcMar>
          </w:tcPr>
          <w:p>
            <w:pPr>
              <w:jc w:val="center"/>
            </w:pPr>
            <w:r>
              <w:rPr>
                <w:rFonts w:ascii="Aptos" w:hAnsi="Aptos" w:eastAsia="Noto Serif CJK SC"/>
                <w:sz w:val="15"/>
              </w:rPr>
              <w:t>高</w:t>
            </w:r>
          </w:p>
        </w:tc>
        <w:tc>
          <w:tcPr>
            <w:tcW w:type="dxa" w:w="709"/>
            <w:vAlign w:val="center"/>
            <w:tcMar>
              <w:top w:w="60" w:type="dxa"/>
              <w:start w:w="60" w:type="dxa"/>
              <w:bottom w:w="60" w:type="dxa"/>
              <w:end w:w="60" w:type="dxa"/>
            </w:tcMar>
          </w:tcPr>
          <w:p>
            <w:pPr>
              <w:jc w:val="center"/>
            </w:pPr>
            <w:r>
              <w:rPr>
                <w:rFonts w:ascii="Aptos" w:hAnsi="Aptos" w:eastAsia="Noto Serif CJK SC"/>
                <w:sz w:val="15"/>
              </w:rPr>
              <w:t>高</w:t>
            </w:r>
          </w:p>
        </w:tc>
        <w:tc>
          <w:tcPr>
            <w:tcW w:type="dxa" w:w="2835"/>
            <w:vAlign w:val="center"/>
            <w:tcMar>
              <w:top w:w="60" w:type="dxa"/>
              <w:start w:w="60" w:type="dxa"/>
              <w:bottom w:w="60" w:type="dxa"/>
              <w:end w:w="60" w:type="dxa"/>
            </w:tcMar>
          </w:tcPr>
          <w:p>
            <w:pPr>
              <w:jc w:val="left"/>
            </w:pPr>
            <w:r>
              <w:rPr>
                <w:rFonts w:ascii="Aptos" w:hAnsi="Aptos" w:eastAsia="Noto Serif CJK SC"/>
                <w:sz w:val="15"/>
              </w:rPr>
              <w:t>1–3 h 能见度短临预测</w:t>
            </w:r>
          </w:p>
        </w:tc>
      </w:tr>
      <w:tr>
        <w:tc>
          <w:tcPr>
            <w:tcW w:type="dxa" w:w="1701"/>
            <w:vAlign w:val="center"/>
            <w:tcMar>
              <w:top w:w="60" w:type="dxa"/>
              <w:start w:w="60" w:type="dxa"/>
              <w:bottom w:w="60" w:type="dxa"/>
              <w:end w:w="60" w:type="dxa"/>
            </w:tcMar>
          </w:tcPr>
          <w:p>
            <w:pPr>
              <w:jc w:val="center"/>
            </w:pPr>
            <w:r>
              <w:rPr>
                <w:rFonts w:ascii="Aptos" w:hAnsi="Aptos" w:eastAsia="Noto Serif CJK SC"/>
                <w:sz w:val="15"/>
              </w:rPr>
              <w:t>Yabra et al. (2026)</w:t>
            </w:r>
          </w:p>
        </w:tc>
        <w:tc>
          <w:tcPr>
            <w:tcW w:type="dxa" w:w="765"/>
            <w:vAlign w:val="center"/>
            <w:tcMar>
              <w:top w:w="60" w:type="dxa"/>
              <w:start w:w="60" w:type="dxa"/>
              <w:bottom w:w="60" w:type="dxa"/>
              <w:end w:w="60" w:type="dxa"/>
            </w:tcMar>
          </w:tcPr>
          <w:p>
            <w:pPr>
              <w:jc w:val="center"/>
            </w:pPr>
            <w:r>
              <w:rPr>
                <w:rFonts w:ascii="Aptos" w:hAnsi="Aptos" w:eastAsia="Noto Serif CJK SC"/>
                <w:sz w:val="15"/>
              </w:rPr>
              <w:t>很高</w:t>
            </w:r>
          </w:p>
        </w:tc>
        <w:tc>
          <w:tcPr>
            <w:tcW w:type="dxa" w:w="850"/>
            <w:vAlign w:val="center"/>
            <w:tcMar>
              <w:top w:w="60" w:type="dxa"/>
              <w:start w:w="60" w:type="dxa"/>
              <w:bottom w:w="60" w:type="dxa"/>
              <w:end w:w="60" w:type="dxa"/>
            </w:tcMar>
          </w:tcPr>
          <w:p>
            <w:pPr>
              <w:jc w:val="center"/>
            </w:pPr>
            <w:r>
              <w:rPr>
                <w:rFonts w:ascii="Aptos" w:hAnsi="Aptos" w:eastAsia="Noto Serif CJK SC"/>
                <w:sz w:val="15"/>
              </w:rPr>
              <w:t>高</w:t>
            </w:r>
          </w:p>
        </w:tc>
        <w:tc>
          <w:tcPr>
            <w:tcW w:type="dxa" w:w="822"/>
            <w:vAlign w:val="center"/>
            <w:tcMar>
              <w:top w:w="60" w:type="dxa"/>
              <w:start w:w="60" w:type="dxa"/>
              <w:bottom w:w="60" w:type="dxa"/>
              <w:end w:w="60" w:type="dxa"/>
            </w:tcMar>
          </w:tcPr>
          <w:p>
            <w:pPr>
              <w:jc w:val="center"/>
            </w:pPr>
            <w:r>
              <w:rPr>
                <w:rFonts w:ascii="Aptos" w:hAnsi="Aptos" w:eastAsia="Noto Serif CJK SC"/>
                <w:sz w:val="15"/>
              </w:rPr>
              <w:t>高</w:t>
            </w:r>
          </w:p>
        </w:tc>
        <w:tc>
          <w:tcPr>
            <w:tcW w:type="dxa" w:w="765"/>
            <w:vAlign w:val="center"/>
            <w:tcMar>
              <w:top w:w="60" w:type="dxa"/>
              <w:start w:w="60" w:type="dxa"/>
              <w:bottom w:w="60" w:type="dxa"/>
              <w:end w:w="60" w:type="dxa"/>
            </w:tcMar>
          </w:tcPr>
          <w:p>
            <w:pPr>
              <w:jc w:val="center"/>
            </w:pPr>
            <w:r>
              <w:rPr>
                <w:rFonts w:ascii="Aptos" w:hAnsi="Aptos" w:eastAsia="Noto Serif CJK SC"/>
                <w:sz w:val="15"/>
              </w:rPr>
              <w:t>很高</w:t>
            </w:r>
          </w:p>
        </w:tc>
        <w:tc>
          <w:tcPr>
            <w:tcW w:type="dxa" w:w="709"/>
            <w:vAlign w:val="center"/>
            <w:tcMar>
              <w:top w:w="60" w:type="dxa"/>
              <w:start w:w="60" w:type="dxa"/>
              <w:bottom w:w="60" w:type="dxa"/>
              <w:end w:w="60" w:type="dxa"/>
            </w:tcMar>
          </w:tcPr>
          <w:p>
            <w:pPr>
              <w:jc w:val="center"/>
            </w:pPr>
            <w:r>
              <w:rPr>
                <w:rFonts w:ascii="Aptos" w:hAnsi="Aptos" w:eastAsia="Noto Serif CJK SC"/>
                <w:sz w:val="15"/>
              </w:rPr>
              <w:t>高</w:t>
            </w:r>
          </w:p>
        </w:tc>
        <w:tc>
          <w:tcPr>
            <w:tcW w:type="dxa" w:w="2835"/>
            <w:vAlign w:val="center"/>
            <w:tcMar>
              <w:top w:w="60" w:type="dxa"/>
              <w:start w:w="60" w:type="dxa"/>
              <w:bottom w:w="60" w:type="dxa"/>
              <w:end w:w="60" w:type="dxa"/>
            </w:tcMar>
          </w:tcPr>
          <w:p>
            <w:pPr>
              <w:jc w:val="left"/>
            </w:pPr>
            <w:r>
              <w:rPr>
                <w:rFonts w:ascii="Aptos" w:hAnsi="Aptos" w:eastAsia="Noto Serif CJK SC"/>
                <w:sz w:val="15"/>
              </w:rPr>
              <w:t>长期数据 + fog nowcasting baseline</w:t>
            </w:r>
          </w:p>
        </w:tc>
      </w:tr>
    </w:tbl>
    <w:p>
      <w:pPr>
        <w:spacing w:line="348" w:lineRule="auto" w:after="120"/>
        <w:ind w:firstLine="420"/>
      </w:pPr>
      <w:r>
        <w:rPr>
          <w:rFonts w:ascii="Aptos" w:hAnsi="Aptos" w:eastAsia="Noto Serif CJK SC"/>
          <w:sz w:val="21"/>
        </w:rPr>
        <w:t>综合来看，这些来源总体具有较高学术可信度，但 Relevance 并不完全相同。较早的 Nayar、Hautière 和 Tan 更适合作为物理和视觉方法的理论基础；Xiao、Yang 更适合证明现代高速公路视觉估计的可行性；而 Miao、Cornejo-Bueno、Penov、顾成恺和 Yabra 对 evolution 问题的价值更高。</w:t>
      </w:r>
    </w:p>
    <w:p>
      <w:pPr>
        <w:spacing w:line="348" w:lineRule="auto" w:after="120"/>
        <w:ind w:firstLine="420"/>
      </w:pPr>
      <w:r>
        <w:rPr>
          <w:rFonts w:ascii="Aptos" w:hAnsi="Aptos" w:eastAsia="Noto Serif CJK SC"/>
          <w:sz w:val="21"/>
        </w:rPr>
        <w:t>需要特别注意的是，“论文可信”并不等于“其数值结果可以直接迁移”。机场模型不能被视为已经证明对高速公路有效；云南、江苏或西班牙道路训练得到的模型也不应被假定在所有地区具有相同精度。真正可迁移的是它们的方法、变量选择、建模结构和验证框架。</w:t>
      </w:r>
    </w:p>
    <w:p>
      <w:pPr>
        <w:pStyle w:val="Heading1"/>
        <w:keepNext/>
        <w:keepLines/>
      </w:pPr>
      <w:r>
        <w:t>11. 文献综述结论</w:t>
      </w:r>
    </w:p>
    <w:p>
      <w:pPr>
        <w:spacing w:line="348" w:lineRule="auto" w:after="120"/>
        <w:ind w:firstLine="420"/>
      </w:pPr>
      <w:r>
        <w:rPr>
          <w:rFonts w:ascii="Aptos" w:hAnsi="Aptos" w:eastAsia="Noto Serif CJK SC"/>
          <w:sz w:val="21"/>
        </w:rPr>
        <w:t>现有文献已经分别证明三个关键事实。第一，雾通过可建模的大气散射和对比度衰减改变道路图像，因此视觉信息能够反推出能见度。第二，现代深度学习通过融合结构、颜色、暗通道、边缘和场景深度等特征，已经能够利用真实高速公路监控图像估计当前 MOR。第三，连续气象观测和历史能见度具有明显时间依赖，因此 Random Forest、XGBoost、LSTM 等模型可以用于研究雾的形成、持续和消散。</w:t>
      </w:r>
    </w:p>
    <w:p>
      <w:pPr>
        <w:spacing w:line="348" w:lineRule="auto" w:after="120"/>
        <w:ind w:firstLine="420"/>
      </w:pPr>
      <w:r>
        <w:rPr>
          <w:rFonts w:ascii="Aptos" w:hAnsi="Aptos" w:eastAsia="Noto Serif CJK SC"/>
          <w:sz w:val="21"/>
        </w:rPr>
        <w:t>然而，这三个方向尚未被完全统一：大量道路视觉研究停留在 single-frame visibility estimation，而很多 fog forecasting 研究又主要依赖机场或固定气象站。由此形成了本研究最重要的创新空间——把“图像估计现在”和“时间模型预测未来”连接起来。</w:t>
      </w:r>
    </w:p>
    <w:p>
      <w:pPr>
        <w:spacing w:before="80" w:after="160"/>
        <w:jc w:val="center"/>
      </w:pPr>
      <w:r>
        <w:rPr>
          <w:rFonts w:ascii="Cambria Math" w:hAnsi="Cambria Math" w:eastAsia="Noto Serif CJK SC"/>
          <w:i/>
          <w:sz w:val="23"/>
        </w:rPr>
        <w:t>Road Fog Visibility Estimation  +  Fog Evolution Forecasting</w:t>
      </w:r>
    </w:p>
    <w:p>
      <w:pPr>
        <w:spacing w:line="348" w:lineRule="auto" w:after="120"/>
        <w:ind w:firstLine="420"/>
      </w:pPr>
      <w:r>
        <w:rPr>
          <w:rFonts w:ascii="Aptos" w:hAnsi="Aptos" w:eastAsia="Noto Serif CJK SC"/>
          <w:sz w:val="21"/>
        </w:rPr>
        <w:t>最终，本研究的目标并不只是回答“这张高速公路照片有多大的雾”，而是建立从 CCTV 到连续 MOR，再到未来变化趋势与阈值时间预测的完整链条，使道路监控摄像机不仅成为图像采集设备，也成为辅助监测和预测低能见度风险的信息源。</w:t>
      </w:r>
    </w:p>
    <w:p>
      <w:pPr>
        <w:pStyle w:val="Heading1"/>
        <w:keepNext/>
        <w:keepLines/>
      </w:pPr>
      <w:r>
        <w:t>主要参考文献</w:t>
      </w:r>
    </w:p>
    <w:p>
      <w:pPr>
        <w:spacing w:after="80"/>
        <w:ind w:left="425" w:hanging="425"/>
      </w:pPr>
      <w:r>
        <w:rPr>
          <w:rFonts w:ascii="Aptos" w:hAnsi="Aptos" w:eastAsia="Noto Serif CJK SC"/>
          <w:sz w:val="19"/>
        </w:rPr>
        <w:t>1. Nayar, S. K., &amp; Narasimhan, S. G. (1999). Vision in Bad Weather. IEEE International Conference on Computer Vision (ICCV).</w:t>
      </w:r>
    </w:p>
    <w:p>
      <w:pPr>
        <w:spacing w:after="80"/>
        <w:ind w:left="425" w:hanging="425"/>
      </w:pPr>
      <w:r>
        <w:rPr>
          <w:rFonts w:ascii="Aptos" w:hAnsi="Aptos" w:eastAsia="Noto Serif CJK SC"/>
          <w:sz w:val="19"/>
        </w:rPr>
        <w:t>2. Hautière, N., et al. (2006). Automatic Fog Detection and Estimation of Visibility Distance through Use of an Onboard Camera.</w:t>
      </w:r>
    </w:p>
    <w:p>
      <w:pPr>
        <w:spacing w:after="80"/>
        <w:ind w:left="425" w:hanging="425"/>
      </w:pPr>
      <w:r>
        <w:rPr>
          <w:rFonts w:ascii="Aptos" w:hAnsi="Aptos" w:eastAsia="Noto Serif CJK SC"/>
          <w:sz w:val="19"/>
        </w:rPr>
        <w:t>3. Tan, R. T. (2008). Visibility in Bad Weather from a Single Image. IEEE Conference on Computer Vision and Pattern Recognition (CVPR).</w:t>
      </w:r>
    </w:p>
    <w:p>
      <w:pPr>
        <w:spacing w:after="80"/>
        <w:ind w:left="425" w:hanging="425"/>
      </w:pPr>
      <w:r>
        <w:rPr>
          <w:rFonts w:ascii="Aptos" w:hAnsi="Aptos" w:eastAsia="Noto Serif CJK SC"/>
          <w:sz w:val="19"/>
        </w:rPr>
        <w:t>4. Sakaridis, C., Dai, D., &amp; Van Gool, L. (2018). Semantic Foggy Scene Understanding with Synthetic Data. International Journal of Computer Vision.</w:t>
      </w:r>
    </w:p>
    <w:p>
      <w:pPr>
        <w:spacing w:after="80"/>
        <w:ind w:left="425" w:hanging="425"/>
      </w:pPr>
      <w:r>
        <w:rPr>
          <w:rFonts w:ascii="Aptos" w:hAnsi="Aptos" w:eastAsia="Noto Serif CJK SC"/>
          <w:sz w:val="19"/>
        </w:rPr>
        <w:t>5. Miao, Q., et al. (2020). Application of LSTM for Short-Term Fog Forecasting Based on Meteorological Elements. Neurocomputing.</w:t>
      </w:r>
    </w:p>
    <w:p>
      <w:pPr>
        <w:spacing w:after="80"/>
        <w:ind w:left="425" w:hanging="425"/>
      </w:pPr>
      <w:r>
        <w:rPr>
          <w:rFonts w:ascii="Aptos" w:hAnsi="Aptos" w:eastAsia="Noto Serif CJK SC"/>
          <w:sz w:val="19"/>
        </w:rPr>
        <w:t>6. Cornejo-Bueno, L., et al. (2021). Statistical Analysis and Machine Learning Prediction of Fog-Caused Low-Visibility Events at A-8 Motor-Road in Spain. Atmosphere, 12(6), 679.</w:t>
      </w:r>
    </w:p>
    <w:p>
      <w:pPr>
        <w:spacing w:after="80"/>
        <w:ind w:left="425" w:hanging="425"/>
      </w:pPr>
      <w:r>
        <w:rPr>
          <w:rFonts w:ascii="Aptos" w:hAnsi="Aptos" w:eastAsia="Noto Serif CJK SC"/>
          <w:sz w:val="19"/>
        </w:rPr>
        <w:t>7. Xiao, et al. (2023). Highway Visibility Estimation in Foggy Weather via Multi-Scale Fusion Network. Sensors, 23(24), 9739.</w:t>
      </w:r>
    </w:p>
    <w:p>
      <w:pPr>
        <w:spacing w:after="80"/>
        <w:ind w:left="425" w:hanging="425"/>
      </w:pPr>
      <w:r>
        <w:rPr>
          <w:rFonts w:ascii="Aptos" w:hAnsi="Aptos" w:eastAsia="Noto Serif CJK SC"/>
          <w:sz w:val="19"/>
        </w:rPr>
        <w:t>8. Yang, et al. (2023). Multi Visual Feature Fusion Based Fog Visibility Estimation for Expressway Surveillance Using Deep Learning Network. Expert Systems with Applications.</w:t>
      </w:r>
    </w:p>
    <w:p>
      <w:pPr>
        <w:spacing w:after="80"/>
        <w:ind w:left="425" w:hanging="425"/>
      </w:pPr>
      <w:r>
        <w:rPr>
          <w:rFonts w:ascii="Aptos" w:hAnsi="Aptos" w:eastAsia="Noto Serif CJK SC"/>
          <w:sz w:val="19"/>
        </w:rPr>
        <w:t>9. Penov, N., &amp; Guerova, G. (2023). Sofia Airport Visibility Estimation with Two Machine-Learning Techniques. Remote Sensing, 15(19), 4799.</w:t>
      </w:r>
    </w:p>
    <w:p>
      <w:pPr>
        <w:spacing w:after="80"/>
        <w:ind w:left="425" w:hanging="425"/>
      </w:pPr>
      <w:r>
        <w:rPr>
          <w:rFonts w:ascii="Aptos" w:hAnsi="Aptos" w:eastAsia="Noto Serif CJK SC"/>
          <w:sz w:val="19"/>
        </w:rPr>
        <w:t>10. 顾成恺等. (2025). 基于机器学习的能见度短临预报. 气象与减灾研究.</w:t>
      </w:r>
    </w:p>
    <w:p>
      <w:pPr>
        <w:spacing w:after="80"/>
        <w:ind w:left="425" w:hanging="425"/>
      </w:pPr>
      <w:r>
        <w:rPr>
          <w:rFonts w:ascii="Aptos" w:hAnsi="Aptos" w:eastAsia="Noto Serif CJK SC"/>
          <w:sz w:val="19"/>
        </w:rPr>
        <w:t>11. Yabra, et al. (2026). Predictability of Fog Using Surface Observation-Based Machine Learning Models.</w:t>
      </w:r>
    </w:p>
    <w:sectPr w:rsidR="00FC693F" w:rsidRPr="0006063C" w:rsidSect="00034616">
      <w:headerReference w:type="default" r:id="rId9"/>
      <w:footerReference w:type="default" r:id="rId10"/>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Noto Serif CJK SC"/>
        <w:color w:val="777777"/>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Noto Serif CJK SC"/>
        <w:color w:val="7F7F7F"/>
        <w:sz w:val="17"/>
      </w:rPr>
      <w:t>Road Fog Visibility &amp; Evolution  ·  Literature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pPr>
    <w:rPr>
      <w:rFonts w:ascii="Aptos" w:hAnsi="Aptos"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Noto Sans CJK SC"/>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Noto Sans CJK SC"/>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Noto Sans CJK SC"/>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Noto Sans CJK SC"/>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道路雾天能见度估计与雾演化预测：文献综述与 CRAAP 可信度分析</dc:title>
  <dc:subject>Road fog visibility estimation and fog evolution literature review</dc:subject>
  <dc:creator/>
  <cp:keywords>fog, visibility, highway, evolution, CRAAP, literature review</cp:keywords>
  <dc:description>generated by python-docx</dc:description>
  <cp:lastModifiedBy/>
  <cp:revision>1</cp:revision>
  <dcterms:created xsi:type="dcterms:W3CDTF">2013-12-23T23:15:00Z</dcterms:created>
  <dcterms:modified xsi:type="dcterms:W3CDTF">2013-12-23T23:15:00Z</dcterms:modified>
  <cp:category/>
</cp:coreProperties>
</file>