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7C9E3" w14:textId="467BE154" w:rsidR="00AA623C" w:rsidRDefault="00AA623C" w:rsidP="007C4CAB">
      <w:pPr>
        <w:pStyle w:val="Heading1"/>
        <w:spacing w:line="480" w:lineRule="auto"/>
        <w:divId w:val="1320232107"/>
        <w:rPr>
          <w:rFonts w:eastAsia="Times New Roman" w:cs="Times New Roman"/>
          <w:sz w:val="24"/>
          <w:szCs w:val="24"/>
        </w:rPr>
      </w:pPr>
      <w:r>
        <w:rPr>
          <w:rFonts w:eastAsia="Times New Roman" w:cs="Times New Roman"/>
          <w:sz w:val="24"/>
          <w:szCs w:val="24"/>
        </w:rPr>
        <w:t>Supplementary Information for</w:t>
      </w:r>
    </w:p>
    <w:p w14:paraId="1E38A8CC" w14:textId="4C98DE6F" w:rsidR="007C4CAB" w:rsidRDefault="0019322F" w:rsidP="007C4CAB">
      <w:pPr>
        <w:pStyle w:val="Heading1"/>
        <w:spacing w:line="480" w:lineRule="auto"/>
        <w:divId w:val="1320232107"/>
        <w:rPr>
          <w:rFonts w:eastAsia="Times New Roman" w:cs="Times New Roman"/>
          <w:sz w:val="24"/>
          <w:szCs w:val="24"/>
        </w:rPr>
      </w:pPr>
      <w:r>
        <w:rPr>
          <w:rFonts w:eastAsia="Times New Roman" w:cs="Times New Roman"/>
          <w:sz w:val="24"/>
          <w:szCs w:val="24"/>
        </w:rPr>
        <w:t xml:space="preserve">Damage </w:t>
      </w:r>
      <w:r w:rsidR="00322ECC">
        <w:rPr>
          <w:rFonts w:eastAsia="Times New Roman" w:cs="Times New Roman"/>
          <w:sz w:val="24"/>
          <w:szCs w:val="24"/>
        </w:rPr>
        <w:t xml:space="preserve">Limited by </w:t>
      </w:r>
      <w:r>
        <w:rPr>
          <w:rFonts w:eastAsia="Times New Roman" w:cs="Times New Roman"/>
          <w:sz w:val="24"/>
          <w:szCs w:val="24"/>
        </w:rPr>
        <w:t>the Distribution of High-Frequency Radiation</w:t>
      </w:r>
      <w:r w:rsidR="00322ECC">
        <w:rPr>
          <w:rFonts w:eastAsia="Times New Roman" w:cs="Times New Roman"/>
          <w:sz w:val="24"/>
          <w:szCs w:val="24"/>
        </w:rPr>
        <w:t xml:space="preserve"> in</w:t>
      </w:r>
      <w:r>
        <w:rPr>
          <w:rFonts w:eastAsia="Times New Roman" w:cs="Times New Roman"/>
          <w:sz w:val="24"/>
          <w:szCs w:val="24"/>
        </w:rPr>
        <w:t xml:space="preserve"> the 2015 Gorkha, Nepal, Earthquake</w:t>
      </w:r>
    </w:p>
    <w:p w14:paraId="19803E11" w14:textId="073D5677" w:rsidR="00AA623C" w:rsidRPr="009E44F7" w:rsidRDefault="000602A5" w:rsidP="007C4CAB">
      <w:pPr>
        <w:pStyle w:val="Heading1"/>
        <w:spacing w:line="480" w:lineRule="auto"/>
        <w:divId w:val="1320232107"/>
        <w:rPr>
          <w:rFonts w:eastAsia="Times New Roman" w:cs="Times New Roman"/>
          <w:b w:val="0"/>
          <w:sz w:val="24"/>
          <w:szCs w:val="24"/>
        </w:rPr>
      </w:pPr>
      <w:r w:rsidRPr="009E44F7">
        <w:rPr>
          <w:rFonts w:eastAsia="Times New Roman" w:cs="Times New Roman"/>
          <w:b w:val="0"/>
          <w:sz w:val="24"/>
          <w:szCs w:val="24"/>
        </w:rPr>
        <w:t>J</w:t>
      </w:r>
      <w:r w:rsidR="00AF7DE6" w:rsidRPr="009E44F7">
        <w:rPr>
          <w:rFonts w:eastAsia="Times New Roman" w:cs="Times New Roman"/>
          <w:b w:val="0"/>
          <w:sz w:val="24"/>
          <w:szCs w:val="24"/>
        </w:rPr>
        <w:t xml:space="preserve">. </w:t>
      </w:r>
      <w:r w:rsidRPr="009E44F7">
        <w:rPr>
          <w:rFonts w:eastAsia="Times New Roman" w:cs="Times New Roman"/>
          <w:b w:val="0"/>
          <w:sz w:val="24"/>
          <w:szCs w:val="24"/>
        </w:rPr>
        <w:t xml:space="preserve">P. Ampuero, </w:t>
      </w:r>
      <w:r w:rsidR="002A1007" w:rsidRPr="009E44F7">
        <w:rPr>
          <w:rFonts w:eastAsia="Times New Roman" w:cs="Times New Roman"/>
          <w:b w:val="0"/>
          <w:sz w:val="24"/>
          <w:szCs w:val="24"/>
        </w:rPr>
        <w:t xml:space="preserve">S.E. Hough, </w:t>
      </w:r>
      <w:r w:rsidRPr="009E44F7">
        <w:rPr>
          <w:rFonts w:eastAsia="Times New Roman" w:cs="Times New Roman"/>
          <w:b w:val="0"/>
          <w:sz w:val="24"/>
          <w:szCs w:val="24"/>
        </w:rPr>
        <w:t xml:space="preserve">L. Meng, </w:t>
      </w:r>
      <w:r w:rsidR="002A1007" w:rsidRPr="009E44F7">
        <w:rPr>
          <w:rFonts w:eastAsia="Times New Roman" w:cs="Times New Roman"/>
          <w:b w:val="0"/>
          <w:sz w:val="24"/>
          <w:szCs w:val="24"/>
        </w:rPr>
        <w:t xml:space="preserve">E. </w:t>
      </w:r>
      <w:r w:rsidR="008B278D">
        <w:rPr>
          <w:rFonts w:eastAsia="Times New Roman" w:cs="Times New Roman"/>
          <w:b w:val="0"/>
          <w:sz w:val="24"/>
          <w:szCs w:val="24"/>
        </w:rPr>
        <w:t xml:space="preserve">M. </w:t>
      </w:r>
      <w:r w:rsidR="002A1007" w:rsidRPr="009E44F7">
        <w:rPr>
          <w:rFonts w:eastAsia="Times New Roman" w:cs="Times New Roman"/>
          <w:b w:val="0"/>
          <w:sz w:val="24"/>
          <w:szCs w:val="24"/>
        </w:rPr>
        <w:t xml:space="preserve">Thompson, </w:t>
      </w:r>
      <w:r w:rsidR="00DB7ADC" w:rsidRPr="009E44F7">
        <w:rPr>
          <w:rFonts w:eastAsia="Times New Roman" w:cs="Times New Roman"/>
          <w:b w:val="0"/>
          <w:sz w:val="24"/>
          <w:szCs w:val="24"/>
        </w:rPr>
        <w:t xml:space="preserve">A. Zhang, </w:t>
      </w:r>
      <w:r w:rsidRPr="009E44F7">
        <w:rPr>
          <w:rFonts w:eastAsia="Times New Roman" w:cs="Times New Roman"/>
          <w:b w:val="0"/>
          <w:sz w:val="24"/>
          <w:szCs w:val="24"/>
        </w:rPr>
        <w:t>S.</w:t>
      </w:r>
      <w:r w:rsidR="00AF7DE6" w:rsidRPr="009E44F7">
        <w:rPr>
          <w:rFonts w:eastAsia="Times New Roman" w:cs="Times New Roman"/>
          <w:b w:val="0"/>
          <w:sz w:val="24"/>
          <w:szCs w:val="24"/>
        </w:rPr>
        <w:t xml:space="preserve"> </w:t>
      </w:r>
      <w:r w:rsidRPr="009E44F7">
        <w:rPr>
          <w:rFonts w:eastAsia="Times New Roman" w:cs="Times New Roman"/>
          <w:b w:val="0"/>
          <w:sz w:val="24"/>
          <w:szCs w:val="24"/>
        </w:rPr>
        <w:t xml:space="preserve">S. </w:t>
      </w:r>
      <w:r w:rsidR="00AF02A4" w:rsidRPr="009E44F7">
        <w:rPr>
          <w:rFonts w:eastAsia="Times New Roman" w:cs="Times New Roman"/>
          <w:b w:val="0"/>
          <w:sz w:val="24"/>
          <w:szCs w:val="24"/>
        </w:rPr>
        <w:t xml:space="preserve">Martin, </w:t>
      </w:r>
      <w:r w:rsidR="002A1007" w:rsidRPr="009E44F7">
        <w:rPr>
          <w:rFonts w:eastAsia="Times New Roman" w:cs="Times New Roman"/>
          <w:b w:val="0"/>
          <w:sz w:val="24"/>
          <w:szCs w:val="24"/>
        </w:rPr>
        <w:t xml:space="preserve">D. Asimaki, and </w:t>
      </w:r>
      <w:r w:rsidR="00AF02A4" w:rsidRPr="009E44F7">
        <w:rPr>
          <w:rFonts w:eastAsia="Times New Roman" w:cs="Times New Roman"/>
          <w:b w:val="0"/>
          <w:sz w:val="24"/>
          <w:szCs w:val="24"/>
        </w:rPr>
        <w:t>A. Inbal</w:t>
      </w:r>
    </w:p>
    <w:p w14:paraId="179FAB9F" w14:textId="3146DE37" w:rsidR="00DB7ADC" w:rsidRDefault="00DB7ADC" w:rsidP="00AA623C">
      <w:pPr>
        <w:spacing w:line="480" w:lineRule="auto"/>
        <w:rPr>
          <w:rFonts w:ascii="Times New Roman" w:hAnsi="Times New Roman" w:cs="Times New Roman"/>
          <w:b/>
          <w:sz w:val="22"/>
          <w:szCs w:val="22"/>
        </w:rPr>
      </w:pPr>
      <w:r w:rsidRPr="00AA623C">
        <w:rPr>
          <w:rFonts w:ascii="Times New Roman" w:hAnsi="Times New Roman" w:cs="Times New Roman"/>
          <w:b/>
          <w:sz w:val="22"/>
          <w:szCs w:val="22"/>
        </w:rPr>
        <w:t>Methods</w:t>
      </w:r>
    </w:p>
    <w:p w14:paraId="56442A48" w14:textId="77777777" w:rsidR="00AA623C" w:rsidRPr="00AA623C" w:rsidRDefault="00AA623C" w:rsidP="00AA623C">
      <w:pPr>
        <w:spacing w:line="480" w:lineRule="auto"/>
        <w:rPr>
          <w:rFonts w:ascii="Times New Roman" w:hAnsi="Times New Roman" w:cs="Times New Roman"/>
          <w:sz w:val="22"/>
          <w:szCs w:val="22"/>
        </w:rPr>
      </w:pPr>
    </w:p>
    <w:p w14:paraId="3103E0BF" w14:textId="70B711A1" w:rsidR="00DB7ADC" w:rsidRPr="0023781B" w:rsidRDefault="00DB7ADC" w:rsidP="00F46E9F">
      <w:pPr>
        <w:pStyle w:val="Normal1"/>
        <w:spacing w:line="480" w:lineRule="auto"/>
        <w:rPr>
          <w:rFonts w:ascii="Times New Roman" w:hAnsi="Times New Roman" w:cs="Times New Roman"/>
          <w:b/>
        </w:rPr>
      </w:pPr>
      <w:r w:rsidRPr="0023781B">
        <w:rPr>
          <w:rFonts w:ascii="Times New Roman" w:hAnsi="Times New Roman" w:cs="Times New Roman"/>
          <w:b/>
        </w:rPr>
        <w:t>Back-projection Analysis: Empirical Calibration Method</w:t>
      </w:r>
    </w:p>
    <w:p w14:paraId="013B2A14" w14:textId="6E654FDF" w:rsidR="00DB7ADC" w:rsidRPr="00096419" w:rsidRDefault="00DB7ADC" w:rsidP="00DB7ADC">
      <w:pPr>
        <w:pStyle w:val="Heading1"/>
        <w:spacing w:line="480" w:lineRule="auto"/>
        <w:rPr>
          <w:rFonts w:eastAsia="Times New Roman" w:cs="Times New Roman"/>
          <w:b w:val="0"/>
          <w:sz w:val="24"/>
          <w:szCs w:val="24"/>
        </w:rPr>
      </w:pPr>
      <w:r w:rsidRPr="00096419">
        <w:rPr>
          <w:rFonts w:eastAsia="Times New Roman" w:cs="Times New Roman"/>
          <w:b w:val="0"/>
          <w:sz w:val="24"/>
          <w:szCs w:val="24"/>
        </w:rPr>
        <w:t xml:space="preserve">We first shift the aftershock seismograms based on the timing correction derived from the alignment of the initial P-wave of the mainshock.  We then back-project the aftershock data recorded by all three arrays exactly as done for the mainshock; in particular, we take as reference point the mainshock hypocenter.  This provides an estimated aftershock location for each array (blue symbols in Figure </w:t>
      </w:r>
      <w:r w:rsidR="000C6304">
        <w:rPr>
          <w:rFonts w:eastAsia="Times New Roman" w:cs="Times New Roman"/>
          <w:b w:val="0"/>
          <w:sz w:val="24"/>
          <w:szCs w:val="24"/>
        </w:rPr>
        <w:t>S</w:t>
      </w:r>
      <w:r w:rsidRPr="00096419">
        <w:rPr>
          <w:rFonts w:eastAsia="Times New Roman" w:cs="Times New Roman"/>
          <w:b w:val="0"/>
          <w:sz w:val="24"/>
          <w:szCs w:val="24"/>
        </w:rPr>
        <w:t xml:space="preserve">1a), whose difference relative to the NEIC catalog location is a measure of location bias for each array.  We find that the aftershock location bias is roughly along the source-array direction (Figure </w:t>
      </w:r>
      <w:r w:rsidR="000C6304">
        <w:rPr>
          <w:rFonts w:eastAsia="Times New Roman" w:cs="Times New Roman"/>
          <w:b w:val="0"/>
          <w:sz w:val="24"/>
          <w:szCs w:val="24"/>
        </w:rPr>
        <w:t>S</w:t>
      </w:r>
      <w:r w:rsidRPr="00096419">
        <w:rPr>
          <w:rFonts w:eastAsia="Times New Roman" w:cs="Times New Roman"/>
          <w:b w:val="0"/>
          <w:sz w:val="24"/>
          <w:szCs w:val="24"/>
        </w:rPr>
        <w:t xml:space="preserve">1a).  We calibrate the mainshock back-projection based on the observed location bias. </w:t>
      </w:r>
      <w:r w:rsidR="00832BB6">
        <w:rPr>
          <w:rFonts w:eastAsia="Times New Roman" w:cs="Times New Roman"/>
          <w:b w:val="0"/>
          <w:sz w:val="24"/>
          <w:szCs w:val="24"/>
        </w:rPr>
        <w:t xml:space="preserve"> </w:t>
      </w:r>
      <w:r w:rsidRPr="00096419">
        <w:rPr>
          <w:rFonts w:eastAsia="Times New Roman" w:cs="Times New Roman"/>
          <w:b w:val="0"/>
          <w:sz w:val="24"/>
          <w:szCs w:val="24"/>
        </w:rPr>
        <w:t xml:space="preserve">The back-projection technique exploits the concept of “relative earthquake location”: the location of all sub-sources are determined relative to the hypocenter. </w:t>
      </w:r>
      <w:r w:rsidR="00832BB6">
        <w:rPr>
          <w:rFonts w:eastAsia="Times New Roman" w:cs="Times New Roman"/>
          <w:b w:val="0"/>
          <w:sz w:val="24"/>
          <w:szCs w:val="24"/>
        </w:rPr>
        <w:t xml:space="preserve"> </w:t>
      </w:r>
      <w:r w:rsidRPr="00096419">
        <w:rPr>
          <w:rFonts w:eastAsia="Times New Roman" w:cs="Times New Roman"/>
          <w:b w:val="0"/>
          <w:sz w:val="24"/>
          <w:szCs w:val="24"/>
        </w:rPr>
        <w:t>Since the location bias of a sub-source depend</w:t>
      </w:r>
      <w:r>
        <w:rPr>
          <w:rFonts w:eastAsia="Times New Roman" w:cs="Times New Roman"/>
          <w:b w:val="0"/>
          <w:sz w:val="24"/>
          <w:szCs w:val="24"/>
        </w:rPr>
        <w:t>s</w:t>
      </w:r>
      <w:r w:rsidRPr="00096419">
        <w:rPr>
          <w:rFonts w:eastAsia="Times New Roman" w:cs="Times New Roman"/>
          <w:b w:val="0"/>
          <w:sz w:val="24"/>
          <w:szCs w:val="24"/>
        </w:rPr>
        <w:t xml:space="preserve"> systematically on its horizontal </w:t>
      </w:r>
      <w:r>
        <w:rPr>
          <w:rFonts w:eastAsia="Times New Roman" w:cs="Times New Roman"/>
          <w:b w:val="0"/>
          <w:sz w:val="24"/>
          <w:szCs w:val="24"/>
        </w:rPr>
        <w:t>position</w:t>
      </w:r>
      <w:r w:rsidRPr="00096419">
        <w:rPr>
          <w:rFonts w:eastAsia="Times New Roman" w:cs="Times New Roman"/>
          <w:b w:val="0"/>
          <w:sz w:val="24"/>
          <w:szCs w:val="24"/>
        </w:rPr>
        <w:t xml:space="preserve"> ξ relative to the mainshock hypocenter, we </w:t>
      </w:r>
      <w:r>
        <w:rPr>
          <w:rFonts w:eastAsia="Times New Roman" w:cs="Times New Roman"/>
          <w:b w:val="0"/>
          <w:sz w:val="24"/>
          <w:szCs w:val="24"/>
        </w:rPr>
        <w:t xml:space="preserve">adopt a first-order representation of </w:t>
      </w:r>
      <w:r w:rsidRPr="00096419">
        <w:rPr>
          <w:rFonts w:eastAsia="Times New Roman" w:cs="Times New Roman"/>
          <w:b w:val="0"/>
          <w:sz w:val="24"/>
          <w:szCs w:val="24"/>
        </w:rPr>
        <w:t xml:space="preserve">the spatial bias </w:t>
      </w:r>
      <w:r>
        <w:rPr>
          <w:rFonts w:eastAsia="Times New Roman" w:cs="Times New Roman"/>
          <w:b w:val="0"/>
          <w:sz w:val="24"/>
          <w:szCs w:val="24"/>
        </w:rPr>
        <w:t>as</w:t>
      </w:r>
      <w:r w:rsidRPr="00096419">
        <w:rPr>
          <w:rFonts w:eastAsia="Times New Roman" w:cs="Times New Roman"/>
          <w:b w:val="0"/>
          <w:sz w:val="24"/>
          <w:szCs w:val="24"/>
        </w:rPr>
        <w:t xml:space="preserve"> a</w:t>
      </w:r>
      <w:r>
        <w:rPr>
          <w:rFonts w:eastAsia="Times New Roman" w:cs="Times New Roman"/>
          <w:b w:val="0"/>
          <w:sz w:val="24"/>
          <w:szCs w:val="24"/>
        </w:rPr>
        <w:t xml:space="preserve"> linear</w:t>
      </w:r>
      <w:r w:rsidRPr="00096419">
        <w:rPr>
          <w:rFonts w:eastAsia="Times New Roman" w:cs="Times New Roman"/>
          <w:b w:val="0"/>
          <w:sz w:val="24"/>
          <w:szCs w:val="24"/>
        </w:rPr>
        <w:t xml:space="preserve"> rotation</w:t>
      </w:r>
      <w:r>
        <w:rPr>
          <w:rFonts w:eastAsia="Times New Roman" w:cs="Times New Roman"/>
          <w:b w:val="0"/>
          <w:sz w:val="24"/>
          <w:szCs w:val="24"/>
        </w:rPr>
        <w:t>-</w:t>
      </w:r>
      <w:r w:rsidRPr="00096419">
        <w:rPr>
          <w:rFonts w:eastAsia="Times New Roman" w:cs="Times New Roman"/>
          <w:b w:val="0"/>
          <w:sz w:val="24"/>
          <w:szCs w:val="24"/>
        </w:rPr>
        <w:t>and</w:t>
      </w:r>
      <w:r>
        <w:rPr>
          <w:rFonts w:eastAsia="Times New Roman" w:cs="Times New Roman"/>
          <w:b w:val="0"/>
          <w:sz w:val="24"/>
          <w:szCs w:val="24"/>
        </w:rPr>
        <w:t>-</w:t>
      </w:r>
      <w:r w:rsidRPr="00096419">
        <w:rPr>
          <w:rFonts w:eastAsia="Times New Roman" w:cs="Times New Roman"/>
          <w:b w:val="0"/>
          <w:sz w:val="24"/>
          <w:szCs w:val="24"/>
        </w:rPr>
        <w:t>stretching operation that trans</w:t>
      </w:r>
      <w:r>
        <w:rPr>
          <w:rFonts w:eastAsia="Times New Roman" w:cs="Times New Roman"/>
          <w:b w:val="0"/>
          <w:sz w:val="24"/>
          <w:szCs w:val="24"/>
        </w:rPr>
        <w:t>forms</w:t>
      </w:r>
      <w:r w:rsidRPr="00096419">
        <w:rPr>
          <w:rFonts w:eastAsia="Times New Roman" w:cs="Times New Roman"/>
          <w:b w:val="0"/>
          <w:sz w:val="24"/>
          <w:szCs w:val="24"/>
        </w:rPr>
        <w:t xml:space="preserve"> the location ξ</w:t>
      </w:r>
      <w:r w:rsidRPr="00096419">
        <w:rPr>
          <w:rFonts w:eastAsia="Times New Roman" w:cs="Times New Roman"/>
          <w:b w:val="0"/>
          <w:sz w:val="24"/>
          <w:szCs w:val="24"/>
          <w:vertAlign w:val="subscript"/>
        </w:rPr>
        <w:t>BP</w:t>
      </w:r>
      <w:r w:rsidRPr="00096419">
        <w:rPr>
          <w:rFonts w:eastAsia="Times New Roman" w:cs="Times New Roman"/>
          <w:b w:val="0"/>
          <w:sz w:val="24"/>
          <w:szCs w:val="24"/>
        </w:rPr>
        <w:t xml:space="preserve"> estimated by back-projection to the </w:t>
      </w:r>
      <w:r>
        <w:rPr>
          <w:rFonts w:eastAsia="Times New Roman" w:cs="Times New Roman"/>
          <w:b w:val="0"/>
          <w:sz w:val="24"/>
          <w:szCs w:val="24"/>
        </w:rPr>
        <w:t>corrected</w:t>
      </w:r>
      <w:r w:rsidRPr="00096419">
        <w:rPr>
          <w:rFonts w:eastAsia="Times New Roman" w:cs="Times New Roman"/>
          <w:b w:val="0"/>
          <w:sz w:val="24"/>
          <w:szCs w:val="24"/>
        </w:rPr>
        <w:t xml:space="preserve"> source location ξ:</w:t>
      </w:r>
    </w:p>
    <w:p w14:paraId="55C9EB26" w14:textId="77777777" w:rsidR="00DB7ADC" w:rsidRPr="00096419" w:rsidRDefault="00DB7ADC" w:rsidP="00DB7ADC">
      <w:pPr>
        <w:pStyle w:val="Heading1"/>
        <w:spacing w:line="480" w:lineRule="auto"/>
        <w:rPr>
          <w:rFonts w:eastAsia="Times New Roman" w:cs="Times New Roman"/>
          <w:b w:val="0"/>
          <w:sz w:val="24"/>
          <w:szCs w:val="24"/>
        </w:rPr>
      </w:pPr>
      <m:oMathPara>
        <m:oMath>
          <m:r>
            <m:rPr>
              <m:sty m:val="b"/>
            </m:rPr>
            <w:rPr>
              <w:rFonts w:ascii="Cambria Math" w:eastAsia="Times New Roman" w:hAnsi="Cambria Math" w:cs="Times New Roman"/>
              <w:sz w:val="24"/>
              <w:szCs w:val="24"/>
            </w:rPr>
            <w:lastRenderedPageBreak/>
            <m:t xml:space="preserve"> ξ=</m:t>
          </m:r>
          <m:r>
            <m:rPr>
              <m:sty m:val="bi"/>
            </m:rPr>
            <w:rPr>
              <w:rFonts w:ascii="Cambria Math" w:eastAsia="Times New Roman" w:hAnsi="Cambria Math" w:cs="Times New Roman"/>
              <w:sz w:val="24"/>
              <w:szCs w:val="24"/>
            </w:rPr>
            <m:t>C</m:t>
          </m:r>
          <m:d>
            <m:dPr>
              <m:begChr m:val="["/>
              <m:endChr m:val="]"/>
              <m:ctrlPr>
                <w:rPr>
                  <w:rFonts w:ascii="Cambria Math" w:eastAsia="Times New Roman" w:hAnsi="Cambria Math" w:cs="Times New Roman"/>
                  <w:b w:val="0"/>
                  <w:sz w:val="24"/>
                  <w:szCs w:val="24"/>
                </w:rPr>
              </m:ctrlPr>
            </m:dPr>
            <m:e>
              <m:m>
                <m:mPr>
                  <m:mcs>
                    <m:mc>
                      <m:mcPr>
                        <m:count m:val="2"/>
                        <m:mcJc m:val="center"/>
                      </m:mcPr>
                    </m:mc>
                  </m:mcs>
                  <m:ctrlPr>
                    <w:rPr>
                      <w:rFonts w:ascii="Cambria Math" w:eastAsia="Times New Roman" w:hAnsi="Cambria Math" w:cs="Times New Roman"/>
                      <w:b w:val="0"/>
                      <w:sz w:val="24"/>
                      <w:szCs w:val="24"/>
                    </w:rPr>
                  </m:ctrlPr>
                </m:mPr>
                <m:mr>
                  <m:e>
                    <m:func>
                      <m:funcPr>
                        <m:ctrlPr>
                          <w:rPr>
                            <w:rFonts w:ascii="Cambria Math" w:eastAsia="Times New Roman" w:hAnsi="Cambria Math" w:cs="Times New Roman"/>
                            <w:b w:val="0"/>
                            <w:i/>
                            <w:sz w:val="24"/>
                            <w:szCs w:val="24"/>
                          </w:rPr>
                        </m:ctrlPr>
                      </m:funcPr>
                      <m:fName>
                        <m:r>
                          <m:rPr>
                            <m:sty m:val="b"/>
                          </m:rPr>
                          <w:rPr>
                            <w:rFonts w:ascii="Cambria Math" w:eastAsia="Times New Roman" w:hAnsi="Cambria Math" w:cs="Times New Roman"/>
                            <w:sz w:val="24"/>
                            <w:szCs w:val="24"/>
                          </w:rPr>
                          <m:t>cos</m:t>
                        </m:r>
                      </m:fName>
                      <m:e>
                        <m:r>
                          <m:rPr>
                            <m:sty m:val="bi"/>
                          </m:rPr>
                          <w:rPr>
                            <w:rFonts w:ascii="Cambria Math" w:eastAsia="Times New Roman" w:hAnsi="Cambria Math" w:cs="Times New Roman"/>
                            <w:sz w:val="24"/>
                            <w:szCs w:val="24"/>
                          </w:rPr>
                          <m:t>θ</m:t>
                        </m:r>
                      </m:e>
                    </m:func>
                  </m:e>
                  <m:e>
                    <m:r>
                      <m:rPr>
                        <m:sty m:val="bi"/>
                      </m:rPr>
                      <w:rPr>
                        <w:rFonts w:ascii="Cambria Math" w:eastAsia="Times New Roman" w:hAnsi="Cambria Math" w:cs="Times New Roman"/>
                        <w:sz w:val="24"/>
                        <w:szCs w:val="24"/>
                      </w:rPr>
                      <m:t>-</m:t>
                    </m:r>
                    <m:func>
                      <m:funcPr>
                        <m:ctrlPr>
                          <w:rPr>
                            <w:rFonts w:ascii="Cambria Math" w:eastAsia="Times New Roman" w:hAnsi="Cambria Math" w:cs="Times New Roman"/>
                            <w:b w:val="0"/>
                            <w:i/>
                            <w:sz w:val="24"/>
                            <w:szCs w:val="24"/>
                          </w:rPr>
                        </m:ctrlPr>
                      </m:funcPr>
                      <m:fName>
                        <m:r>
                          <m:rPr>
                            <m:sty m:val="b"/>
                          </m:rPr>
                          <w:rPr>
                            <w:rFonts w:ascii="Cambria Math" w:eastAsia="Times New Roman" w:hAnsi="Cambria Math" w:cs="Times New Roman"/>
                            <w:sz w:val="24"/>
                            <w:szCs w:val="24"/>
                          </w:rPr>
                          <m:t>sin</m:t>
                        </m:r>
                      </m:fName>
                      <m:e>
                        <m:r>
                          <m:rPr>
                            <m:sty m:val="bi"/>
                          </m:rPr>
                          <w:rPr>
                            <w:rFonts w:ascii="Cambria Math" w:eastAsia="Times New Roman" w:hAnsi="Cambria Math" w:cs="Times New Roman"/>
                            <w:sz w:val="24"/>
                            <w:szCs w:val="24"/>
                          </w:rPr>
                          <m:t>θ</m:t>
                        </m:r>
                      </m:e>
                    </m:func>
                  </m:e>
                </m:mr>
                <m:mr>
                  <m:e>
                    <m:func>
                      <m:funcPr>
                        <m:ctrlPr>
                          <w:rPr>
                            <w:rFonts w:ascii="Cambria Math" w:eastAsia="Times New Roman" w:hAnsi="Cambria Math" w:cs="Times New Roman"/>
                            <w:b w:val="0"/>
                            <w:i/>
                            <w:sz w:val="24"/>
                            <w:szCs w:val="24"/>
                          </w:rPr>
                        </m:ctrlPr>
                      </m:funcPr>
                      <m:fName>
                        <m:r>
                          <m:rPr>
                            <m:sty m:val="b"/>
                          </m:rPr>
                          <w:rPr>
                            <w:rFonts w:ascii="Cambria Math" w:eastAsia="Times New Roman" w:hAnsi="Cambria Math" w:cs="Times New Roman"/>
                            <w:sz w:val="24"/>
                            <w:szCs w:val="24"/>
                          </w:rPr>
                          <m:t>sin</m:t>
                        </m:r>
                      </m:fName>
                      <m:e>
                        <m:r>
                          <m:rPr>
                            <m:sty m:val="bi"/>
                          </m:rPr>
                          <w:rPr>
                            <w:rFonts w:ascii="Cambria Math" w:eastAsia="Times New Roman" w:hAnsi="Cambria Math" w:cs="Times New Roman"/>
                            <w:sz w:val="24"/>
                            <w:szCs w:val="24"/>
                          </w:rPr>
                          <m:t>θ</m:t>
                        </m:r>
                      </m:e>
                    </m:func>
                  </m:e>
                  <m:e>
                    <m:func>
                      <m:funcPr>
                        <m:ctrlPr>
                          <w:rPr>
                            <w:rFonts w:ascii="Cambria Math" w:eastAsia="Times New Roman" w:hAnsi="Cambria Math" w:cs="Times New Roman"/>
                            <w:b w:val="0"/>
                            <w:i/>
                            <w:sz w:val="24"/>
                            <w:szCs w:val="24"/>
                          </w:rPr>
                        </m:ctrlPr>
                      </m:funcPr>
                      <m:fName>
                        <m:r>
                          <m:rPr>
                            <m:sty m:val="b"/>
                          </m:rPr>
                          <w:rPr>
                            <w:rFonts w:ascii="Cambria Math" w:eastAsia="Times New Roman" w:hAnsi="Cambria Math" w:cs="Times New Roman"/>
                            <w:sz w:val="24"/>
                            <w:szCs w:val="24"/>
                          </w:rPr>
                          <m:t>cos</m:t>
                        </m:r>
                      </m:fName>
                      <m:e>
                        <m:r>
                          <m:rPr>
                            <m:sty m:val="bi"/>
                          </m:rPr>
                          <w:rPr>
                            <w:rFonts w:ascii="Cambria Math" w:eastAsia="Times New Roman" w:hAnsi="Cambria Math" w:cs="Times New Roman"/>
                            <w:sz w:val="24"/>
                            <w:szCs w:val="24"/>
                          </w:rPr>
                          <m:t>θ</m:t>
                        </m:r>
                      </m:e>
                    </m:func>
                  </m:e>
                </m:mr>
              </m:m>
            </m:e>
          </m:d>
          <m:sSub>
            <m:sSubPr>
              <m:ctrlPr>
                <w:rPr>
                  <w:rFonts w:ascii="Cambria Math" w:eastAsia="Times New Roman" w:hAnsi="Cambria Math" w:cs="Times New Roman"/>
                  <w:b w:val="0"/>
                  <w:sz w:val="24"/>
                  <w:szCs w:val="24"/>
                </w:rPr>
              </m:ctrlPr>
            </m:sSubPr>
            <m:e>
              <m:r>
                <m:rPr>
                  <m:sty m:val="b"/>
                </m:rPr>
                <w:rPr>
                  <w:rFonts w:ascii="Cambria Math" w:eastAsia="Times New Roman" w:hAnsi="Cambria Math" w:cs="Times New Roman"/>
                  <w:sz w:val="24"/>
                  <w:szCs w:val="24"/>
                </w:rPr>
                <m:t>ξ</m:t>
              </m:r>
            </m:e>
            <m:sub>
              <m:r>
                <m:rPr>
                  <m:sty m:val="bi"/>
                </m:rPr>
                <w:rPr>
                  <w:rFonts w:ascii="Cambria Math" w:eastAsia="Times New Roman" w:hAnsi="Cambria Math" w:cs="Times New Roman"/>
                  <w:sz w:val="24"/>
                  <w:szCs w:val="24"/>
                </w:rPr>
                <m:t>BP</m:t>
              </m:r>
            </m:sub>
          </m:sSub>
        </m:oMath>
      </m:oMathPara>
    </w:p>
    <w:p w14:paraId="3E4EFF40" w14:textId="62771D53" w:rsidR="00DB7ADC" w:rsidRDefault="00DB7ADC" w:rsidP="00DB7ADC">
      <w:pPr>
        <w:pStyle w:val="Heading1"/>
        <w:spacing w:line="480" w:lineRule="auto"/>
        <w:rPr>
          <w:rFonts w:eastAsia="Times New Roman" w:cs="Times New Roman"/>
          <w:b w:val="0"/>
          <w:sz w:val="24"/>
          <w:szCs w:val="24"/>
        </w:rPr>
      </w:pPr>
      <w:r w:rsidRPr="00E43FE2">
        <w:rPr>
          <w:rFonts w:eastAsia="Times New Roman" w:cs="Times New Roman"/>
          <w:b w:val="0"/>
          <w:bCs w:val="0"/>
          <w:sz w:val="24"/>
          <w:szCs w:val="24"/>
        </w:rPr>
        <w:t xml:space="preserve">where θ is the rotation angle and </w:t>
      </w:r>
      <w:r w:rsidRPr="00E43FE2">
        <w:rPr>
          <w:rFonts w:eastAsia="Times New Roman" w:cs="Times New Roman"/>
          <w:b w:val="0"/>
          <w:bCs w:val="0"/>
          <w:i/>
          <w:sz w:val="24"/>
          <w:szCs w:val="24"/>
        </w:rPr>
        <w:t>C</w:t>
      </w:r>
      <w:r w:rsidRPr="00E43FE2">
        <w:rPr>
          <w:rFonts w:eastAsia="Times New Roman" w:cs="Times New Roman"/>
          <w:b w:val="0"/>
          <w:bCs w:val="0"/>
          <w:sz w:val="24"/>
          <w:szCs w:val="24"/>
        </w:rPr>
        <w:t xml:space="preserve"> is the stretching factor.  Both parameters are calibrated by comparing the ξ</w:t>
      </w:r>
      <w:r w:rsidRPr="00E43FE2">
        <w:rPr>
          <w:rFonts w:eastAsia="Times New Roman" w:cs="Times New Roman"/>
          <w:b w:val="0"/>
          <w:bCs w:val="0"/>
          <w:sz w:val="24"/>
          <w:szCs w:val="24"/>
          <w:vertAlign w:val="subscript"/>
        </w:rPr>
        <w:t xml:space="preserve">BP </w:t>
      </w:r>
      <w:r w:rsidRPr="00E43FE2">
        <w:rPr>
          <w:rFonts w:eastAsia="Times New Roman" w:cs="Times New Roman"/>
          <w:b w:val="0"/>
          <w:bCs w:val="0"/>
          <w:sz w:val="24"/>
          <w:szCs w:val="24"/>
        </w:rPr>
        <w:t xml:space="preserve">and ξ positions of the M6.7 aftershock. </w:t>
      </w:r>
      <w:r w:rsidR="00832BB6">
        <w:rPr>
          <w:rFonts w:eastAsia="Times New Roman" w:cs="Times New Roman"/>
          <w:b w:val="0"/>
          <w:bCs w:val="0"/>
          <w:sz w:val="24"/>
          <w:szCs w:val="24"/>
        </w:rPr>
        <w:t xml:space="preserve"> </w:t>
      </w:r>
      <w:r w:rsidRPr="00E43FE2">
        <w:rPr>
          <w:rFonts w:eastAsia="Times New Roman" w:cs="Times New Roman"/>
          <w:b w:val="0"/>
          <w:bCs w:val="0"/>
          <w:sz w:val="24"/>
          <w:szCs w:val="24"/>
        </w:rPr>
        <w:t>We then apply such</w:t>
      </w:r>
      <w:r w:rsidR="00644559">
        <w:rPr>
          <w:rFonts w:eastAsia="Times New Roman" w:cs="Times New Roman"/>
          <w:b w:val="0"/>
          <w:bCs w:val="0"/>
          <w:sz w:val="24"/>
          <w:szCs w:val="24"/>
        </w:rPr>
        <w:t xml:space="preserve"> an </w:t>
      </w:r>
      <w:r w:rsidRPr="00E43FE2">
        <w:rPr>
          <w:rFonts w:eastAsia="Times New Roman" w:cs="Times New Roman"/>
          <w:b w:val="0"/>
          <w:bCs w:val="0"/>
          <w:sz w:val="24"/>
          <w:szCs w:val="24"/>
        </w:rPr>
        <w:t>operation to the back-projection results of the M7.8 Nepal earthquake.</w:t>
      </w:r>
      <w:r w:rsidRPr="00096419">
        <w:rPr>
          <w:rFonts w:eastAsia="Times New Roman" w:cs="Times New Roman"/>
          <w:bCs w:val="0"/>
          <w:sz w:val="24"/>
          <w:szCs w:val="24"/>
        </w:rPr>
        <w:t xml:space="preserve"> </w:t>
      </w:r>
      <w:r w:rsidR="00832BB6">
        <w:rPr>
          <w:rFonts w:eastAsia="Times New Roman" w:cs="Times New Roman"/>
          <w:bCs w:val="0"/>
          <w:sz w:val="24"/>
          <w:szCs w:val="24"/>
        </w:rPr>
        <w:t xml:space="preserve"> </w:t>
      </w:r>
      <w:r w:rsidRPr="00096419">
        <w:rPr>
          <w:rFonts w:eastAsia="Times New Roman" w:cs="Times New Roman"/>
          <w:b w:val="0"/>
          <w:sz w:val="24"/>
          <w:szCs w:val="24"/>
        </w:rPr>
        <w:t>The empirical aftershock correction significantly mitigates the spatial bias</w:t>
      </w:r>
      <w:r w:rsidR="000C6304">
        <w:rPr>
          <w:rFonts w:eastAsia="Times New Roman" w:cs="Times New Roman"/>
          <w:b w:val="0"/>
          <w:sz w:val="24"/>
          <w:szCs w:val="24"/>
        </w:rPr>
        <w:t xml:space="preserve"> (Figure S1b)</w:t>
      </w:r>
      <w:r w:rsidRPr="00096419">
        <w:rPr>
          <w:rFonts w:eastAsia="Times New Roman" w:cs="Times New Roman"/>
          <w:b w:val="0"/>
          <w:sz w:val="24"/>
          <w:szCs w:val="24"/>
        </w:rPr>
        <w:t>.</w:t>
      </w:r>
      <w:r w:rsidRPr="00541D82">
        <w:rPr>
          <w:rFonts w:eastAsia="Times New Roman" w:cs="Times New Roman"/>
          <w:b w:val="0"/>
          <w:sz w:val="24"/>
          <w:szCs w:val="24"/>
        </w:rPr>
        <w:t xml:space="preserve"> </w:t>
      </w:r>
      <w:r>
        <w:rPr>
          <w:rFonts w:eastAsia="Times New Roman" w:cs="Times New Roman"/>
          <w:b w:val="0"/>
          <w:sz w:val="24"/>
          <w:szCs w:val="24"/>
        </w:rPr>
        <w:t xml:space="preserve"> </w:t>
      </w:r>
    </w:p>
    <w:p w14:paraId="3E83904E" w14:textId="5230C66B" w:rsidR="000C6304" w:rsidRDefault="00207598" w:rsidP="00963E2A">
      <w:pPr>
        <w:pStyle w:val="Heading1"/>
        <w:rPr>
          <w:rFonts w:eastAsia="Times New Roman" w:cs="Times New Roman"/>
          <w:b w:val="0"/>
          <w:sz w:val="24"/>
          <w:szCs w:val="24"/>
        </w:rPr>
      </w:pPr>
      <w:r>
        <w:rPr>
          <w:rFonts w:eastAsia="Times New Roman" w:cs="Times New Roman"/>
          <w:b w:val="0"/>
          <w:noProof/>
          <w:sz w:val="24"/>
          <w:szCs w:val="24"/>
        </w:rPr>
        <w:drawing>
          <wp:inline distT="0" distB="0" distL="0" distR="0" wp14:anchorId="3438D07D" wp14:editId="60660C08">
            <wp:extent cx="54864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a-b.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857500"/>
                    </a:xfrm>
                    <a:prstGeom prst="rect">
                      <a:avLst/>
                    </a:prstGeom>
                  </pic:spPr>
                </pic:pic>
              </a:graphicData>
            </a:graphic>
          </wp:inline>
        </w:drawing>
      </w:r>
    </w:p>
    <w:p w14:paraId="4C2350B8" w14:textId="5DD3CD24" w:rsidR="00963E2A" w:rsidRDefault="00207598" w:rsidP="00F46E9F">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FBB462" wp14:editId="0E2C1C6B">
            <wp:extent cx="5486400" cy="200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c.png"/>
                    <pic:cNvPicPr/>
                  </pic:nvPicPr>
                  <pic:blipFill rotWithShape="1">
                    <a:blip r:embed="rId7">
                      <a:extLst>
                        <a:ext uri="{28A0092B-C50C-407E-A947-70E740481C1C}">
                          <a14:useLocalDpi xmlns:a14="http://schemas.microsoft.com/office/drawing/2010/main" val="0"/>
                        </a:ext>
                      </a:extLst>
                    </a:blip>
                    <a:srcRect t="12084" b="6056"/>
                    <a:stretch/>
                  </pic:blipFill>
                  <pic:spPr bwMode="auto">
                    <a:xfrm>
                      <a:off x="0" y="0"/>
                      <a:ext cx="5486400" cy="2000250"/>
                    </a:xfrm>
                    <a:prstGeom prst="rect">
                      <a:avLst/>
                    </a:prstGeom>
                    <a:ln>
                      <a:noFill/>
                    </a:ln>
                    <a:extLst>
                      <a:ext uri="{53640926-AAD7-44D8-BBD7-CCE9431645EC}">
                        <a14:shadowObscured xmlns:a14="http://schemas.microsoft.com/office/drawing/2010/main"/>
                      </a:ext>
                    </a:extLst>
                  </pic:spPr>
                </pic:pic>
              </a:graphicData>
            </a:graphic>
          </wp:inline>
        </w:drawing>
      </w:r>
    </w:p>
    <w:p w14:paraId="59A44882" w14:textId="2A8EE887" w:rsidR="00963E2A" w:rsidRPr="00963E2A" w:rsidRDefault="000C6304" w:rsidP="00963E2A">
      <w:pPr>
        <w:pStyle w:val="Normal1"/>
        <w:spacing w:line="480" w:lineRule="auto"/>
        <w:rPr>
          <w:rFonts w:ascii="Times New Roman" w:eastAsia="Times New Roman" w:hAnsi="Times New Roman" w:cs="Times New Roman"/>
          <w:sz w:val="24"/>
          <w:szCs w:val="24"/>
        </w:rPr>
      </w:pPr>
      <w:r w:rsidRPr="000C6304">
        <w:rPr>
          <w:rFonts w:ascii="Times New Roman" w:eastAsia="Times New Roman" w:hAnsi="Times New Roman" w:cs="Times New Roman"/>
          <w:sz w:val="24"/>
          <w:szCs w:val="24"/>
        </w:rPr>
        <w:t xml:space="preserve">Figure S1 (a, top left) High frequency radiation estimated using the multitaper-MUSIC back-projection technique with array data from North America (squares), Europe </w:t>
      </w:r>
      <w:r w:rsidRPr="000C6304">
        <w:rPr>
          <w:rFonts w:ascii="Times New Roman" w:eastAsia="Times New Roman" w:hAnsi="Times New Roman" w:cs="Times New Roman"/>
          <w:sz w:val="24"/>
          <w:szCs w:val="24"/>
        </w:rPr>
        <w:lastRenderedPageBreak/>
        <w:t>(diamonds) and Australia (circles). Symbols are scaled according to inferred relative strength of local HF sources.  The blue star is the location of the M6.7 aftershock by the International Seismological Centre and the connected blue symbols are the apparent aftershock locations imaged by each array.  The color scale denotes the timing of high-frequency radiations.  (b, top right)  Similar results calculated with an empirical correction applied to each data set to account for systematic biases due to 3-dimensional path effects.</w:t>
      </w:r>
      <w:r w:rsidR="00963E2A">
        <w:rPr>
          <w:rFonts w:ascii="Times New Roman" w:eastAsia="Times New Roman" w:hAnsi="Times New Roman" w:cs="Times New Roman"/>
          <w:sz w:val="24"/>
          <w:szCs w:val="24"/>
        </w:rPr>
        <w:t xml:space="preserve"> (c, bottom)  Relativ</w:t>
      </w:r>
      <w:r w:rsidR="00963E2A" w:rsidRPr="00963E2A">
        <w:rPr>
          <w:rFonts w:ascii="Times New Roman" w:eastAsia="Times New Roman" w:hAnsi="Times New Roman" w:cs="Times New Roman"/>
          <w:sz w:val="24"/>
          <w:szCs w:val="24"/>
        </w:rPr>
        <w:t xml:space="preserve">e </w:t>
      </w:r>
      <w:r w:rsidR="00601C60">
        <w:rPr>
          <w:rFonts w:ascii="Times New Roman" w:hAnsi="Times New Roman" w:cs="Times New Roman"/>
          <w:sz w:val="24"/>
          <w:szCs w:val="24"/>
        </w:rPr>
        <w:t>power of HF sources.</w:t>
      </w:r>
    </w:p>
    <w:p w14:paraId="3D0408E8" w14:textId="77777777" w:rsidR="000C6304" w:rsidRPr="000C6304" w:rsidRDefault="000C6304" w:rsidP="00F46E9F">
      <w:pPr>
        <w:pStyle w:val="Normal1"/>
        <w:spacing w:line="480" w:lineRule="auto"/>
        <w:rPr>
          <w:rFonts w:ascii="Times New Roman" w:hAnsi="Times New Roman" w:cs="Times New Roman"/>
          <w:b/>
          <w:sz w:val="24"/>
          <w:szCs w:val="24"/>
        </w:rPr>
      </w:pPr>
    </w:p>
    <w:p w14:paraId="6D778A40" w14:textId="59772D10" w:rsidR="003E4775" w:rsidRDefault="003E4775" w:rsidP="00F46E9F">
      <w:pPr>
        <w:pStyle w:val="Normal1"/>
        <w:spacing w:line="480" w:lineRule="auto"/>
        <w:rPr>
          <w:rFonts w:ascii="Times New Roman" w:hAnsi="Times New Roman" w:cs="Times New Roman"/>
          <w:b/>
          <w:sz w:val="24"/>
          <w:szCs w:val="24"/>
        </w:rPr>
      </w:pPr>
      <w:r w:rsidRPr="003E4775">
        <w:rPr>
          <w:rFonts w:ascii="Times New Roman" w:hAnsi="Times New Roman" w:cs="Times New Roman"/>
          <w:b/>
          <w:sz w:val="24"/>
          <w:szCs w:val="24"/>
        </w:rPr>
        <w:t>Intensity Data</w:t>
      </w:r>
    </w:p>
    <w:p w14:paraId="6571B6FE" w14:textId="77777777" w:rsidR="003E4775" w:rsidRPr="003E4775" w:rsidRDefault="003E4775" w:rsidP="00F46E9F">
      <w:pPr>
        <w:pStyle w:val="Normal1"/>
        <w:spacing w:line="480" w:lineRule="auto"/>
        <w:rPr>
          <w:rFonts w:ascii="Times New Roman" w:hAnsi="Times New Roman" w:cs="Times New Roman"/>
          <w:b/>
          <w:sz w:val="24"/>
          <w:szCs w:val="24"/>
        </w:rPr>
      </w:pPr>
    </w:p>
    <w:p w14:paraId="52562FAB" w14:textId="0D99ADBD" w:rsidR="003E4775" w:rsidRDefault="00DD18C6" w:rsidP="00F46E9F">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Given that intensity residuals at any location will reflect a combination of source, path, and site effects, one does not expect a perfect correspondence between residuals and HF source locations.  The correspondence will potentially be poor for isolated locations, where available intensity assignments are controlled by </w:t>
      </w:r>
      <w:r w:rsidR="00E90830">
        <w:rPr>
          <w:rFonts w:ascii="Times New Roman" w:hAnsi="Times New Roman" w:cs="Times New Roman"/>
          <w:sz w:val="24"/>
          <w:szCs w:val="24"/>
        </w:rPr>
        <w:t>one or a very few accounts.  For example, the</w:t>
      </w:r>
      <w:r>
        <w:rPr>
          <w:rFonts w:ascii="Times New Roman" w:hAnsi="Times New Roman" w:cs="Times New Roman"/>
          <w:sz w:val="24"/>
          <w:szCs w:val="24"/>
        </w:rPr>
        <w:t xml:space="preserve"> intensity residual map (Figure 2c) </w:t>
      </w:r>
      <w:r w:rsidR="00E90830">
        <w:rPr>
          <w:rFonts w:ascii="Times New Roman" w:hAnsi="Times New Roman" w:cs="Times New Roman"/>
          <w:sz w:val="24"/>
          <w:szCs w:val="24"/>
        </w:rPr>
        <w:t xml:space="preserve">reveals </w:t>
      </w:r>
      <w:r w:rsidR="003E4775" w:rsidRPr="003E4775">
        <w:rPr>
          <w:rFonts w:ascii="Times New Roman" w:hAnsi="Times New Roman" w:cs="Times New Roman"/>
          <w:sz w:val="24"/>
          <w:szCs w:val="24"/>
        </w:rPr>
        <w:t>an isolated high (</w:t>
      </w:r>
      <w:r w:rsidR="00E90830">
        <w:rPr>
          <w:rFonts w:ascii="Times New Roman" w:hAnsi="Times New Roman" w:cs="Times New Roman"/>
          <w:sz w:val="24"/>
          <w:szCs w:val="24"/>
        </w:rPr>
        <w:t xml:space="preserve">EMS 8.5) intensity at Chisapani, which </w:t>
      </w:r>
      <w:r w:rsidR="003E4775" w:rsidRPr="003E4775">
        <w:rPr>
          <w:rFonts w:ascii="Times New Roman" w:hAnsi="Times New Roman" w:cs="Times New Roman"/>
          <w:sz w:val="24"/>
          <w:szCs w:val="24"/>
        </w:rPr>
        <w:t>corresponds to an isolated village where heavy damage to reinforced cement concrete buildings was concentrated near the highest point along a ridge.</w:t>
      </w:r>
      <w:r w:rsidR="00E90830">
        <w:rPr>
          <w:rFonts w:ascii="Times New Roman" w:hAnsi="Times New Roman" w:cs="Times New Roman"/>
          <w:sz w:val="24"/>
          <w:szCs w:val="24"/>
        </w:rPr>
        <w:t xml:space="preserve">  Unlike other locations for which high intensities are assigned, there are no nearby locations with lower intensities, so the residual map is dominated by a single value.</w:t>
      </w:r>
      <w:r w:rsidR="00601C60">
        <w:rPr>
          <w:rFonts w:ascii="Times New Roman" w:hAnsi="Times New Roman" w:cs="Times New Roman"/>
          <w:sz w:val="24"/>
          <w:szCs w:val="24"/>
        </w:rPr>
        <w:t xml:space="preserve">  The map representation is provided for illustration; a more quantified consideration of residuals is presented in Figure 3 (main paper).</w:t>
      </w:r>
    </w:p>
    <w:p w14:paraId="0AEA2764" w14:textId="77777777" w:rsidR="00DD18C6" w:rsidRPr="003E4775" w:rsidRDefault="00DD18C6" w:rsidP="00F46E9F">
      <w:pPr>
        <w:pStyle w:val="Normal1"/>
        <w:spacing w:line="480" w:lineRule="auto"/>
        <w:rPr>
          <w:rFonts w:ascii="Times New Roman" w:hAnsi="Times New Roman" w:cs="Times New Roman"/>
          <w:b/>
          <w:sz w:val="24"/>
          <w:szCs w:val="24"/>
        </w:rPr>
      </w:pPr>
    </w:p>
    <w:p w14:paraId="664FC71F" w14:textId="77777777" w:rsidR="009017E7" w:rsidRDefault="009017E7" w:rsidP="00F46E9F">
      <w:pPr>
        <w:pStyle w:val="Normal1"/>
        <w:spacing w:line="480" w:lineRule="auto"/>
        <w:rPr>
          <w:rFonts w:ascii="Times New Roman" w:hAnsi="Times New Roman" w:cs="Times New Roman"/>
          <w:b/>
          <w:sz w:val="24"/>
          <w:szCs w:val="24"/>
        </w:rPr>
      </w:pPr>
    </w:p>
    <w:p w14:paraId="55D39DB6" w14:textId="1DFFAB38" w:rsidR="00DB7ADC" w:rsidRPr="00DB7ADC" w:rsidRDefault="00DB7ADC" w:rsidP="00F46E9F">
      <w:pPr>
        <w:pStyle w:val="Normal1"/>
        <w:spacing w:line="480" w:lineRule="auto"/>
        <w:rPr>
          <w:rFonts w:ascii="Times New Roman" w:hAnsi="Times New Roman" w:cs="Times New Roman"/>
          <w:b/>
          <w:sz w:val="24"/>
          <w:szCs w:val="24"/>
        </w:rPr>
      </w:pPr>
      <w:r w:rsidRPr="00DB7ADC">
        <w:rPr>
          <w:rFonts w:ascii="Times New Roman" w:hAnsi="Times New Roman" w:cs="Times New Roman"/>
          <w:b/>
          <w:sz w:val="24"/>
          <w:szCs w:val="24"/>
        </w:rPr>
        <w:lastRenderedPageBreak/>
        <w:t>Instrumental Data</w:t>
      </w:r>
    </w:p>
    <w:p w14:paraId="7EB89909" w14:textId="2915373C" w:rsidR="0052224E" w:rsidRDefault="00DB7ADC" w:rsidP="00DB7ADC">
      <w:pPr>
        <w:pStyle w:val="NormalWeb"/>
        <w:spacing w:line="480" w:lineRule="auto"/>
        <w:rPr>
          <w:sz w:val="24"/>
          <w:szCs w:val="24"/>
        </w:rPr>
      </w:pPr>
      <w:r w:rsidRPr="00AD7690">
        <w:rPr>
          <w:sz w:val="24"/>
          <w:szCs w:val="24"/>
        </w:rPr>
        <w:t xml:space="preserve">Available instrumental data from the near-field region are sparse, and concentrated within Kathmandu valley.  Recordings of the mainshock have been available from one (GeoSIG NetQuakes) accelerometer installed by the U.S. Geological Survey prior to the earthquake </w:t>
      </w:r>
      <w:r w:rsidRPr="00CC2DCD">
        <w:rPr>
          <w:sz w:val="24"/>
          <w:szCs w:val="24"/>
        </w:rPr>
        <w:t>(</w:t>
      </w:r>
      <w:r w:rsidR="00CC2DCD" w:rsidRPr="00CC2DCD">
        <w:rPr>
          <w:sz w:val="24"/>
          <w:szCs w:val="24"/>
        </w:rPr>
        <w:t>1, 2</w:t>
      </w:r>
      <w:r w:rsidRPr="00CC2DCD">
        <w:rPr>
          <w:sz w:val="24"/>
          <w:szCs w:val="24"/>
        </w:rPr>
        <w:t>)</w:t>
      </w:r>
      <w:r w:rsidRPr="00AD7690">
        <w:rPr>
          <w:sz w:val="24"/>
          <w:szCs w:val="24"/>
        </w:rPr>
        <w:t xml:space="preserve"> as well as one accelerometer installed by the Nepal Department of Mines and Geology (</w:t>
      </w:r>
      <w:r w:rsidRPr="00AD7690">
        <w:rPr>
          <w:i/>
          <w:sz w:val="24"/>
          <w:szCs w:val="24"/>
        </w:rPr>
        <w:t xml:space="preserve">Bhattarai et al. </w:t>
      </w:r>
      <w:r w:rsidRPr="00AD7690">
        <w:rPr>
          <w:sz w:val="24"/>
          <w:szCs w:val="24"/>
        </w:rPr>
        <w:t>2015).  Additionally, the mainshock was recorded by a pair of permanent GPS instruments with high-rate (5 sps) sampling (</w:t>
      </w:r>
      <w:r w:rsidRPr="00AD7690">
        <w:rPr>
          <w:i/>
          <w:sz w:val="24"/>
          <w:szCs w:val="24"/>
        </w:rPr>
        <w:t>Galetzka et al.,</w:t>
      </w:r>
      <w:r w:rsidRPr="00AD7690">
        <w:rPr>
          <w:sz w:val="24"/>
          <w:szCs w:val="24"/>
        </w:rPr>
        <w:t xml:space="preserve"> 2015), and by four strong motion instruments (</w:t>
      </w:r>
      <w:r w:rsidRPr="00AD7690">
        <w:rPr>
          <w:i/>
          <w:sz w:val="24"/>
          <w:szCs w:val="24"/>
        </w:rPr>
        <w:t>Rajaure et al.</w:t>
      </w:r>
      <w:r w:rsidRPr="00AD7690">
        <w:rPr>
          <w:sz w:val="24"/>
          <w:szCs w:val="24"/>
        </w:rPr>
        <w:t>, 2016).</w:t>
      </w:r>
      <w:r w:rsidR="0052224E">
        <w:rPr>
          <w:sz w:val="24"/>
          <w:szCs w:val="24"/>
        </w:rPr>
        <w:t xml:space="preserve">  </w:t>
      </w:r>
    </w:p>
    <w:p w14:paraId="3430BB7D" w14:textId="3A1900E6" w:rsidR="0052224E" w:rsidRDefault="007D599A" w:rsidP="0052224E">
      <w:pPr>
        <w:pStyle w:val="NormalWeb"/>
        <w:spacing w:line="480" w:lineRule="auto"/>
        <w:jc w:val="center"/>
        <w:rPr>
          <w:sz w:val="24"/>
          <w:szCs w:val="24"/>
        </w:rPr>
      </w:pPr>
      <w:r>
        <w:rPr>
          <w:noProof/>
          <w:sz w:val="24"/>
          <w:szCs w:val="24"/>
        </w:rPr>
        <w:drawing>
          <wp:inline distT="0" distB="0" distL="0" distR="0" wp14:anchorId="6C44549D" wp14:editId="399515E4">
            <wp:extent cx="3219450" cy="38633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NP_SNR.png"/>
                    <pic:cNvPicPr/>
                  </pic:nvPicPr>
                  <pic:blipFill>
                    <a:blip r:embed="rId8">
                      <a:extLst>
                        <a:ext uri="{28A0092B-C50C-407E-A947-70E740481C1C}">
                          <a14:useLocalDpi xmlns:a14="http://schemas.microsoft.com/office/drawing/2010/main" val="0"/>
                        </a:ext>
                      </a:extLst>
                    </a:blip>
                    <a:stretch>
                      <a:fillRect/>
                    </a:stretch>
                  </pic:blipFill>
                  <pic:spPr>
                    <a:xfrm>
                      <a:off x="0" y="0"/>
                      <a:ext cx="3221552" cy="3865861"/>
                    </a:xfrm>
                    <a:prstGeom prst="rect">
                      <a:avLst/>
                    </a:prstGeom>
                  </pic:spPr>
                </pic:pic>
              </a:graphicData>
            </a:graphic>
          </wp:inline>
        </w:drawing>
      </w:r>
    </w:p>
    <w:p w14:paraId="2B0C70A0" w14:textId="257DBD36" w:rsidR="00E43FE2" w:rsidRDefault="0052224E" w:rsidP="00DB7ADC">
      <w:pPr>
        <w:pStyle w:val="NormalWeb"/>
        <w:spacing w:line="480" w:lineRule="auto"/>
        <w:rPr>
          <w:sz w:val="24"/>
          <w:szCs w:val="24"/>
        </w:rPr>
      </w:pPr>
      <w:r>
        <w:rPr>
          <w:sz w:val="24"/>
          <w:szCs w:val="24"/>
        </w:rPr>
        <w:lastRenderedPageBreak/>
        <w:t>Figure S</w:t>
      </w:r>
      <w:r w:rsidR="000C6304">
        <w:rPr>
          <w:sz w:val="24"/>
          <w:szCs w:val="24"/>
        </w:rPr>
        <w:t>2</w:t>
      </w:r>
      <w:r>
        <w:rPr>
          <w:sz w:val="24"/>
          <w:szCs w:val="24"/>
        </w:rPr>
        <w:t>.  Horizontal components of acceleration (shown as %g) of KATNP recording (top panels) are shown along with the average horizontal spectrum for strong motion (black line) and pre-event noise (blue line), and signal-to-noise ratio (bottom panel.)</w:t>
      </w:r>
    </w:p>
    <w:p w14:paraId="3CF1BB17" w14:textId="3D2A3199" w:rsidR="0052224E" w:rsidRDefault="0052224E" w:rsidP="0052224E">
      <w:pPr>
        <w:pStyle w:val="NormalWeb"/>
        <w:spacing w:line="480" w:lineRule="auto"/>
        <w:rPr>
          <w:sz w:val="24"/>
          <w:szCs w:val="24"/>
        </w:rPr>
      </w:pPr>
      <w:r>
        <w:rPr>
          <w:sz w:val="24"/>
          <w:szCs w:val="24"/>
        </w:rPr>
        <w:t>The strong motion recording from KATNP has excellent signal-to-noise levels over the entire frequency range (0.1 - 10 Hz) shown in Figure 3 of the main paper (Figure S</w:t>
      </w:r>
      <w:r w:rsidR="000C6304">
        <w:rPr>
          <w:sz w:val="24"/>
          <w:szCs w:val="24"/>
        </w:rPr>
        <w:t>2</w:t>
      </w:r>
      <w:r>
        <w:rPr>
          <w:sz w:val="24"/>
          <w:szCs w:val="24"/>
        </w:rPr>
        <w:t>).  For the high-rate GPS data, although the Nyquist frequency is 2.5 Hz, signal-to-noise levels are not adequate to draw conclusions about ground motions at frequencies higher than 1 Hz (Figure S</w:t>
      </w:r>
      <w:r w:rsidR="000C6304">
        <w:rPr>
          <w:sz w:val="24"/>
          <w:szCs w:val="24"/>
        </w:rPr>
        <w:t>3</w:t>
      </w:r>
      <w:r>
        <w:rPr>
          <w:sz w:val="24"/>
          <w:szCs w:val="24"/>
        </w:rPr>
        <w:t>).</w:t>
      </w:r>
    </w:p>
    <w:p w14:paraId="4B9D7239" w14:textId="03A00AED" w:rsidR="00BF7C3F" w:rsidRDefault="0052224E" w:rsidP="0052224E">
      <w:pPr>
        <w:pStyle w:val="NormalWeb"/>
        <w:spacing w:line="480" w:lineRule="auto"/>
        <w:jc w:val="center"/>
        <w:rPr>
          <w:b/>
          <w:sz w:val="24"/>
          <w:szCs w:val="24"/>
        </w:rPr>
      </w:pPr>
      <w:r>
        <w:rPr>
          <w:b/>
          <w:noProof/>
          <w:sz w:val="24"/>
          <w:szCs w:val="24"/>
        </w:rPr>
        <w:drawing>
          <wp:inline distT="0" distB="0" distL="0" distR="0" wp14:anchorId="2DCFCCB0" wp14:editId="510315CF">
            <wp:extent cx="4857750" cy="42196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N4-N(1).png"/>
                    <pic:cNvPicPr/>
                  </pic:nvPicPr>
                  <pic:blipFill>
                    <a:blip r:embed="rId9">
                      <a:extLst>
                        <a:ext uri="{28A0092B-C50C-407E-A947-70E740481C1C}">
                          <a14:useLocalDpi xmlns:a14="http://schemas.microsoft.com/office/drawing/2010/main" val="0"/>
                        </a:ext>
                      </a:extLst>
                    </a:blip>
                    <a:stretch>
                      <a:fillRect/>
                    </a:stretch>
                  </pic:blipFill>
                  <pic:spPr>
                    <a:xfrm>
                      <a:off x="0" y="0"/>
                      <a:ext cx="4860989" cy="4222421"/>
                    </a:xfrm>
                    <a:prstGeom prst="rect">
                      <a:avLst/>
                    </a:prstGeom>
                  </pic:spPr>
                </pic:pic>
              </a:graphicData>
            </a:graphic>
          </wp:inline>
        </w:drawing>
      </w:r>
    </w:p>
    <w:p w14:paraId="40271DE1" w14:textId="61B8B428" w:rsidR="0052224E" w:rsidRPr="0052224E" w:rsidRDefault="0052224E" w:rsidP="00DB7ADC">
      <w:pPr>
        <w:pStyle w:val="NormalWeb"/>
        <w:spacing w:line="480" w:lineRule="auto"/>
        <w:rPr>
          <w:sz w:val="24"/>
          <w:szCs w:val="24"/>
        </w:rPr>
      </w:pPr>
      <w:r w:rsidRPr="0052224E">
        <w:rPr>
          <w:sz w:val="24"/>
          <w:szCs w:val="24"/>
        </w:rPr>
        <w:lastRenderedPageBreak/>
        <w:t>Figure S</w:t>
      </w:r>
      <w:r w:rsidR="000C6304">
        <w:rPr>
          <w:sz w:val="24"/>
          <w:szCs w:val="24"/>
        </w:rPr>
        <w:t>3</w:t>
      </w:r>
      <w:r w:rsidRPr="0052224E">
        <w:rPr>
          <w:sz w:val="24"/>
          <w:szCs w:val="24"/>
        </w:rPr>
        <w:t xml:space="preserve">.  </w:t>
      </w:r>
      <w:r>
        <w:rPr>
          <w:sz w:val="24"/>
          <w:szCs w:val="24"/>
        </w:rPr>
        <w:t>Inferred acceleration at hig</w:t>
      </w:r>
      <w:bookmarkStart w:id="0" w:name="_GoBack"/>
      <w:bookmarkEnd w:id="0"/>
      <w:r>
        <w:rPr>
          <w:sz w:val="24"/>
          <w:szCs w:val="24"/>
        </w:rPr>
        <w:t>h-rate GPS station KKN4 obtained by double-differentiating the displacement time history</w:t>
      </w:r>
      <w:r w:rsidR="00832BB6">
        <w:rPr>
          <w:sz w:val="24"/>
          <w:szCs w:val="24"/>
        </w:rPr>
        <w:t xml:space="preserve"> and low-pass filtering below 0.5 Hz</w:t>
      </w:r>
      <w:r>
        <w:rPr>
          <w:sz w:val="24"/>
          <w:szCs w:val="24"/>
        </w:rPr>
        <w:t xml:space="preserve"> (top); Fourier amplitude </w:t>
      </w:r>
      <w:r w:rsidR="00832BB6">
        <w:rPr>
          <w:sz w:val="24"/>
          <w:szCs w:val="24"/>
        </w:rPr>
        <w:t xml:space="preserve">multitaper </w:t>
      </w:r>
      <w:r>
        <w:rPr>
          <w:sz w:val="24"/>
          <w:szCs w:val="24"/>
        </w:rPr>
        <w:t xml:space="preserve">spectra of </w:t>
      </w:r>
      <w:r w:rsidR="00832BB6">
        <w:rPr>
          <w:sz w:val="24"/>
          <w:szCs w:val="24"/>
        </w:rPr>
        <w:t>raw GPS acceleration signal</w:t>
      </w:r>
      <w:r w:rsidR="00174448">
        <w:rPr>
          <w:sz w:val="24"/>
          <w:szCs w:val="24"/>
        </w:rPr>
        <w:t xml:space="preserve"> (blue line) and pre-event noise (red line).</w:t>
      </w:r>
    </w:p>
    <w:p w14:paraId="151A93B9" w14:textId="2A80D231" w:rsidR="00DB7ADC" w:rsidRPr="00E43FE2" w:rsidRDefault="00E43FE2" w:rsidP="00DB7ADC">
      <w:pPr>
        <w:pStyle w:val="NormalWeb"/>
        <w:spacing w:line="480" w:lineRule="auto"/>
        <w:rPr>
          <w:b/>
          <w:sz w:val="24"/>
          <w:szCs w:val="24"/>
        </w:rPr>
      </w:pPr>
      <w:r w:rsidRPr="00E43FE2">
        <w:rPr>
          <w:b/>
          <w:sz w:val="24"/>
          <w:szCs w:val="24"/>
        </w:rPr>
        <w:t>References</w:t>
      </w:r>
      <w:r w:rsidR="00DB7ADC" w:rsidRPr="00E43FE2">
        <w:rPr>
          <w:b/>
          <w:sz w:val="24"/>
          <w:szCs w:val="24"/>
        </w:rPr>
        <w:t xml:space="preserve">  </w:t>
      </w:r>
    </w:p>
    <w:p w14:paraId="6D4946B7" w14:textId="748DFB3E" w:rsidR="00CC2DCD" w:rsidRDefault="00CC2DCD" w:rsidP="00CC2DCD">
      <w:pPr>
        <w:spacing w:line="480" w:lineRule="auto"/>
        <w:rPr>
          <w:rFonts w:ascii="Times New Roman" w:hAnsi="Times New Roman" w:cs="Times New Roman"/>
          <w:i/>
          <w:sz w:val="24"/>
          <w:szCs w:val="24"/>
        </w:rPr>
      </w:pPr>
      <w:r>
        <w:rPr>
          <w:rFonts w:ascii="Times New Roman" w:hAnsi="Times New Roman" w:cs="Times New Roman"/>
          <w:sz w:val="24"/>
          <w:szCs w:val="24"/>
        </w:rPr>
        <w:t>(</w:t>
      </w:r>
      <w:r w:rsidR="00BF7C3F">
        <w:rPr>
          <w:rFonts w:ascii="Times New Roman" w:hAnsi="Times New Roman" w:cs="Times New Roman"/>
          <w:sz w:val="24"/>
          <w:szCs w:val="24"/>
        </w:rPr>
        <w:t>1</w:t>
      </w:r>
      <w:r>
        <w:rPr>
          <w:rFonts w:ascii="Times New Roman" w:hAnsi="Times New Roman" w:cs="Times New Roman"/>
          <w:sz w:val="24"/>
          <w:szCs w:val="24"/>
        </w:rPr>
        <w:t xml:space="preserve">) </w:t>
      </w:r>
      <w:r w:rsidRPr="00224771">
        <w:rPr>
          <w:rFonts w:ascii="Times New Roman" w:hAnsi="Times New Roman" w:cs="Times New Roman"/>
          <w:sz w:val="24"/>
          <w:szCs w:val="24"/>
        </w:rPr>
        <w:t>Galetzka, J., D. Melgar, J.F. Genrich, J. Geng, S. Owen,</w:t>
      </w:r>
      <w:r>
        <w:rPr>
          <w:rFonts w:ascii="Times New Roman" w:hAnsi="Times New Roman" w:cs="Times New Roman"/>
          <w:sz w:val="24"/>
          <w:szCs w:val="24"/>
        </w:rPr>
        <w:t xml:space="preserve"> E.O. Lindsey, X. Xu, Y. Bock, J</w:t>
      </w:r>
      <w:r w:rsidRPr="00224771">
        <w:rPr>
          <w:rFonts w:ascii="Times New Roman" w:hAnsi="Times New Roman" w:cs="Times New Roman"/>
          <w:sz w:val="24"/>
          <w:szCs w:val="24"/>
        </w:rPr>
        <w:t xml:space="preserve">-P. Avouac, L-B. Adhikari, B.N. Upreti, B. Pratt-Sitaula, T.N. Bhattarai, B. Sitaula, A. Moore, K.W. Hudnut, W. Szeliga, J. Normandeau, M. Fend, M. Flouzat, L. Bollinger, P. Shreshta, B. Koirala, U. Gautam, M. Bhatterai, R. Gupta, T. Kandel, C. Timsina, S.N. Sapkota, S. Rajaure, N. Maharjan (2015).  Slip pulse and resonance of Kathmandu basin during the 2015 Mw7.8 Gorkha earthquake, Nepal, imaged with space geodesy, </w:t>
      </w:r>
      <w:r w:rsidRPr="00224771">
        <w:rPr>
          <w:rFonts w:ascii="Times New Roman" w:hAnsi="Times New Roman" w:cs="Times New Roman"/>
          <w:i/>
          <w:sz w:val="24"/>
          <w:szCs w:val="24"/>
        </w:rPr>
        <w:t>Scie</w:t>
      </w:r>
      <w:r w:rsidR="00F453A7">
        <w:rPr>
          <w:rFonts w:ascii="Times New Roman" w:hAnsi="Times New Roman" w:cs="Times New Roman"/>
          <w:i/>
          <w:sz w:val="24"/>
          <w:szCs w:val="24"/>
        </w:rPr>
        <w:t>nce</w:t>
      </w:r>
      <w:r w:rsidR="00F453A7">
        <w:rPr>
          <w:rFonts w:ascii="Times New Roman" w:hAnsi="Times New Roman" w:cs="Times New Roman"/>
          <w:i/>
          <w:sz w:val="24"/>
          <w:szCs w:val="24"/>
        </w:rPr>
        <w:t xml:space="preserve">, </w:t>
      </w:r>
      <w:r w:rsidR="00F453A7" w:rsidRPr="000D055F">
        <w:rPr>
          <w:rFonts w:ascii="Times New Roman" w:hAnsi="Times New Roman" w:cs="Times New Roman"/>
          <w:b/>
          <w:sz w:val="24"/>
          <w:szCs w:val="24"/>
        </w:rPr>
        <w:t>349</w:t>
      </w:r>
      <w:r w:rsidR="00F453A7" w:rsidRPr="000D055F">
        <w:rPr>
          <w:rFonts w:ascii="Times New Roman" w:hAnsi="Times New Roman" w:cs="Times New Roman"/>
          <w:sz w:val="24"/>
          <w:szCs w:val="24"/>
        </w:rPr>
        <w:t>, 1091-1095, doi:10.1126/science.aac6383</w:t>
      </w:r>
    </w:p>
    <w:p w14:paraId="2F2AD417" w14:textId="77777777" w:rsidR="00CC2DCD" w:rsidRDefault="00CC2DCD" w:rsidP="00CC2DCD">
      <w:pPr>
        <w:spacing w:line="480" w:lineRule="auto"/>
        <w:rPr>
          <w:rFonts w:eastAsia="Times New Roman" w:cs="Times New Roman"/>
          <w:sz w:val="24"/>
          <w:szCs w:val="24"/>
        </w:rPr>
      </w:pPr>
    </w:p>
    <w:p w14:paraId="5A635AE3" w14:textId="77777777" w:rsidR="00F453A7" w:rsidRPr="005E7671" w:rsidRDefault="00CC2DCD" w:rsidP="00F453A7">
      <w:pPr>
        <w:spacing w:line="480" w:lineRule="auto"/>
        <w:rPr>
          <w:rFonts w:ascii="Times New Roman" w:hAnsi="Times New Roman" w:cs="Times New Roman"/>
          <w:sz w:val="24"/>
          <w:szCs w:val="24"/>
        </w:rPr>
      </w:pPr>
      <w:r>
        <w:rPr>
          <w:rFonts w:ascii="Times New Roman" w:hAnsi="Times New Roman" w:cs="Times New Roman"/>
          <w:sz w:val="24"/>
          <w:szCs w:val="24"/>
        </w:rPr>
        <w:t>(</w:t>
      </w:r>
      <w:r w:rsidR="00BF7C3F">
        <w:rPr>
          <w:rFonts w:ascii="Times New Roman" w:hAnsi="Times New Roman" w:cs="Times New Roman"/>
          <w:sz w:val="24"/>
          <w:szCs w:val="24"/>
        </w:rPr>
        <w:t>2</w:t>
      </w:r>
      <w:r>
        <w:rPr>
          <w:rFonts w:ascii="Times New Roman" w:hAnsi="Times New Roman" w:cs="Times New Roman"/>
          <w:sz w:val="24"/>
          <w:szCs w:val="24"/>
        </w:rPr>
        <w:t xml:space="preserve">) </w:t>
      </w:r>
      <w:r w:rsidRPr="00C31F7F">
        <w:rPr>
          <w:rFonts w:ascii="Times New Roman" w:hAnsi="Times New Roman" w:cs="Times New Roman"/>
          <w:sz w:val="24"/>
          <w:szCs w:val="24"/>
        </w:rPr>
        <w:t xml:space="preserve">Dixit, A.M., A. Ringler, D. Sumy, E. Cochran, S.E. Hough, S.S. Martin, S. Gibbons, J. Luetgert, J. Galetzka, S.N. Shrestha, S. Rajaure, and D. McNamara (2015). </w:t>
      </w:r>
      <w:r w:rsidR="00F453A7" w:rsidRPr="005E7671">
        <w:rPr>
          <w:rFonts w:ascii="Times New Roman" w:hAnsi="Times New Roman" w:cs="Times New Roman"/>
          <w:sz w:val="24"/>
          <w:szCs w:val="24"/>
        </w:rPr>
        <w:t>Strong-Motion Observations of the M 7.8 Gorkha, Nepal, Earthquake Sequence and Development of the N-SHAKE Strong-Motion Network</w:t>
      </w:r>
      <w:r w:rsidR="00F453A7" w:rsidRPr="00C31F7F">
        <w:rPr>
          <w:rFonts w:ascii="Times New Roman" w:hAnsi="Times New Roman" w:cs="Times New Roman"/>
          <w:sz w:val="24"/>
          <w:szCs w:val="24"/>
        </w:rPr>
        <w:t xml:space="preserve">, </w:t>
      </w:r>
      <w:r w:rsidR="00F453A7" w:rsidRPr="00FD5B98">
        <w:rPr>
          <w:rFonts w:ascii="Times New Roman" w:hAnsi="Times New Roman" w:cs="Times New Roman"/>
          <w:i/>
          <w:sz w:val="24"/>
          <w:szCs w:val="24"/>
        </w:rPr>
        <w:t>Seism</w:t>
      </w:r>
      <w:r w:rsidR="00F453A7">
        <w:rPr>
          <w:rFonts w:ascii="Times New Roman" w:hAnsi="Times New Roman" w:cs="Times New Roman"/>
          <w:i/>
          <w:sz w:val="24"/>
          <w:szCs w:val="24"/>
        </w:rPr>
        <w:t>. Res. Lett.</w:t>
      </w:r>
      <w:r w:rsidR="00F453A7">
        <w:rPr>
          <w:rFonts w:ascii="Times New Roman" w:hAnsi="Times New Roman" w:cs="Times New Roman"/>
          <w:sz w:val="24"/>
          <w:szCs w:val="24"/>
        </w:rPr>
        <w:t>, 86 (6),</w:t>
      </w:r>
      <w:r w:rsidR="00F453A7" w:rsidRPr="005E7671">
        <w:rPr>
          <w:rFonts w:ascii="Times New Roman" w:hAnsi="Times New Roman" w:cs="Times New Roman"/>
          <w:sz w:val="24"/>
          <w:szCs w:val="24"/>
        </w:rPr>
        <w:t xml:space="preserve"> 1533-1539</w:t>
      </w:r>
      <w:r w:rsidR="00F453A7">
        <w:rPr>
          <w:rFonts w:ascii="Times New Roman" w:hAnsi="Times New Roman" w:cs="Times New Roman"/>
          <w:sz w:val="24"/>
          <w:szCs w:val="24"/>
        </w:rPr>
        <w:t xml:space="preserve">, </w:t>
      </w:r>
      <w:r w:rsidR="00F453A7" w:rsidRPr="005E7671">
        <w:rPr>
          <w:rFonts w:ascii="Times New Roman" w:hAnsi="Times New Roman" w:cs="Times New Roman"/>
          <w:sz w:val="24"/>
          <w:szCs w:val="24"/>
        </w:rPr>
        <w:t>doi: 10.1785/0220150146</w:t>
      </w:r>
    </w:p>
    <w:p w14:paraId="36BA8B10" w14:textId="77777777" w:rsidR="00DB7ADC" w:rsidRDefault="00DB7ADC" w:rsidP="00F46E9F">
      <w:pPr>
        <w:pStyle w:val="Normal1"/>
        <w:spacing w:line="480" w:lineRule="auto"/>
      </w:pPr>
    </w:p>
    <w:p w14:paraId="74A4822C" w14:textId="735D9434" w:rsidR="00BF7C3F" w:rsidRPr="00F453A7" w:rsidRDefault="00BF7C3F" w:rsidP="00F453A7">
      <w:pPr>
        <w:pStyle w:val="Normal1"/>
        <w:spacing w:line="480" w:lineRule="auto"/>
        <w:rPr>
          <w:rFonts w:ascii="Times New Roman" w:eastAsia="Times New Roman" w:hAnsi="Times New Roman" w:cs="Times New Roman"/>
          <w:sz w:val="24"/>
          <w:szCs w:val="24"/>
        </w:rPr>
      </w:pPr>
      <w:r w:rsidRPr="00BF7C3F">
        <w:rPr>
          <w:rFonts w:ascii="Times New Roman" w:hAnsi="Times New Roman" w:cs="Times New Roman"/>
        </w:rPr>
        <w:t>(3)</w:t>
      </w:r>
      <w:r w:rsidRPr="00BF7C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Bhattarai, M., L.B.Adhikari, U.P. Gautam, A. Laurendeau, C. Labonne, R. Hoste-Colomer, O. Sebe, and B. Hernandez (2015).  Overview of the large April 25</w:t>
      </w:r>
      <w:r w:rsidRPr="00547F0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2015 Gorkha, Nepal, earthquake from accelerometric</w:t>
      </w:r>
      <w:r w:rsidR="00F453A7">
        <w:rPr>
          <w:rFonts w:ascii="Times New Roman" w:eastAsia="Times New Roman" w:hAnsi="Times New Roman" w:cs="Times New Roman"/>
          <w:sz w:val="24"/>
          <w:szCs w:val="24"/>
        </w:rPr>
        <w:t xml:space="preserve"> perspectives, </w:t>
      </w:r>
      <w:r w:rsidRPr="00547F0C">
        <w:rPr>
          <w:rFonts w:ascii="Times New Roman" w:eastAsia="Times New Roman" w:hAnsi="Times New Roman" w:cs="Times New Roman"/>
          <w:i/>
          <w:sz w:val="24"/>
          <w:szCs w:val="24"/>
        </w:rPr>
        <w:t>Seism. Res. Lett.</w:t>
      </w:r>
      <w:r w:rsidR="00F453A7">
        <w:rPr>
          <w:rFonts w:ascii="Times New Roman" w:eastAsia="Times New Roman" w:hAnsi="Times New Roman" w:cs="Times New Roman"/>
          <w:i/>
          <w:sz w:val="24"/>
          <w:szCs w:val="24"/>
        </w:rPr>
        <w:t>,</w:t>
      </w:r>
      <w:r w:rsidR="00F453A7" w:rsidRPr="00F453A7">
        <w:rPr>
          <w:rFonts w:ascii="Times New Roman" w:eastAsia="Times New Roman" w:hAnsi="Times New Roman" w:cs="Times New Roman"/>
          <w:sz w:val="24"/>
          <w:szCs w:val="24"/>
        </w:rPr>
        <w:t xml:space="preserve"> </w:t>
      </w:r>
      <w:r w:rsidR="00F453A7">
        <w:rPr>
          <w:rFonts w:ascii="Times New Roman" w:eastAsia="Times New Roman" w:hAnsi="Times New Roman" w:cs="Times New Roman"/>
          <w:sz w:val="24"/>
          <w:szCs w:val="24"/>
        </w:rPr>
        <w:t>86 (6)</w:t>
      </w:r>
      <w:r w:rsidR="00F453A7" w:rsidRPr="00F453A7">
        <w:rPr>
          <w:rFonts w:ascii="Times New Roman" w:eastAsia="Times New Roman" w:hAnsi="Times New Roman" w:cs="Times New Roman"/>
          <w:sz w:val="24"/>
          <w:szCs w:val="24"/>
        </w:rPr>
        <w:t xml:space="preserve"> 1540-1548</w:t>
      </w:r>
      <w:r w:rsidR="00F453A7">
        <w:rPr>
          <w:rFonts w:ascii="Times New Roman" w:eastAsia="Times New Roman" w:hAnsi="Times New Roman" w:cs="Times New Roman"/>
          <w:sz w:val="24"/>
          <w:szCs w:val="24"/>
        </w:rPr>
        <w:t xml:space="preserve">, </w:t>
      </w:r>
      <w:r w:rsidR="00F453A7" w:rsidRPr="00F453A7">
        <w:rPr>
          <w:rFonts w:ascii="Times New Roman" w:eastAsia="Times New Roman" w:hAnsi="Times New Roman" w:cs="Times New Roman"/>
          <w:sz w:val="24"/>
          <w:szCs w:val="24"/>
        </w:rPr>
        <w:t>doi: 10.1785/0220150140</w:t>
      </w:r>
    </w:p>
    <w:p w14:paraId="192898A4" w14:textId="77777777" w:rsidR="00BF7C3F" w:rsidRPr="00BF7C3F" w:rsidRDefault="00BF7C3F" w:rsidP="00F46E9F">
      <w:pPr>
        <w:pStyle w:val="Normal1"/>
        <w:spacing w:line="480" w:lineRule="auto"/>
        <w:rPr>
          <w:rFonts w:ascii="Times New Roman" w:hAnsi="Times New Roman" w:cs="Times New Roman"/>
        </w:rPr>
      </w:pPr>
    </w:p>
    <w:p w14:paraId="08953637" w14:textId="452F88D5" w:rsidR="00BF7C3F" w:rsidRPr="00BF7C3F" w:rsidRDefault="00BF7C3F" w:rsidP="00F46E9F">
      <w:pPr>
        <w:pStyle w:val="Normal1"/>
        <w:spacing w:line="480" w:lineRule="auto"/>
        <w:rPr>
          <w:rFonts w:ascii="Times New Roman" w:hAnsi="Times New Roman" w:cs="Times New Roman"/>
        </w:rPr>
      </w:pPr>
      <w:r w:rsidRPr="00BF7C3F">
        <w:rPr>
          <w:rFonts w:ascii="Times New Roman" w:hAnsi="Times New Roman" w:cs="Times New Roman"/>
        </w:rPr>
        <w:t xml:space="preserve">(4) </w:t>
      </w:r>
      <w:r w:rsidRPr="00BF7C3F">
        <w:rPr>
          <w:rFonts w:ascii="Times New Roman" w:eastAsia="Times New Roman" w:hAnsi="Times New Roman" w:cs="Times New Roman"/>
          <w:sz w:val="24"/>
          <w:szCs w:val="24"/>
        </w:rPr>
        <w:t xml:space="preserve">Rajaure, S., D. Asimaki, E. Thompson, S. Hough, J.P. Ampuero, A. Inbal, S. Bijukchhen, M.R. Dhital, M. Ichiyanagi, P.N. Maskey, L. Paudel, T. Sasatini, M. Shigefuji, and N. Takai (2016).  Strong motion observations of the Kathmandu valley response during the M7.8 Gorkha earthquake sequence, in review, </w:t>
      </w:r>
      <w:r w:rsidRPr="00BF7C3F">
        <w:rPr>
          <w:rFonts w:ascii="Times New Roman" w:eastAsia="Times New Roman" w:hAnsi="Times New Roman" w:cs="Times New Roman"/>
          <w:i/>
          <w:sz w:val="24"/>
          <w:szCs w:val="24"/>
        </w:rPr>
        <w:t>Geophys. Res. Lett.</w:t>
      </w:r>
    </w:p>
    <w:sectPr w:rsidR="00BF7C3F" w:rsidRPr="00BF7C3F" w:rsidSect="00374F2D">
      <w:footerReference w:type="default" r:id="rId10"/>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84A49" w14:textId="77777777" w:rsidR="005422DF" w:rsidRDefault="005422DF" w:rsidP="00374F2D">
      <w:r>
        <w:separator/>
      </w:r>
    </w:p>
  </w:endnote>
  <w:endnote w:type="continuationSeparator" w:id="0">
    <w:p w14:paraId="5FDC8817" w14:textId="77777777" w:rsidR="005422DF" w:rsidRDefault="005422DF" w:rsidP="0037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315356"/>
      <w:docPartObj>
        <w:docPartGallery w:val="Page Numbers (Bottom of Page)"/>
        <w:docPartUnique/>
      </w:docPartObj>
    </w:sdtPr>
    <w:sdtEndPr>
      <w:rPr>
        <w:noProof/>
      </w:rPr>
    </w:sdtEndPr>
    <w:sdtContent>
      <w:p w14:paraId="03498C6D" w14:textId="17B9AAD7" w:rsidR="00B95CC5" w:rsidRDefault="00B95CC5">
        <w:pPr>
          <w:pStyle w:val="Footer"/>
          <w:jc w:val="center"/>
        </w:pPr>
        <w:r>
          <w:fldChar w:fldCharType="begin"/>
        </w:r>
        <w:r>
          <w:instrText xml:space="preserve"> PAGE   \* MERGEFORMAT </w:instrText>
        </w:r>
        <w:r>
          <w:fldChar w:fldCharType="separate"/>
        </w:r>
        <w:r w:rsidR="00F453A7">
          <w:rPr>
            <w:noProof/>
          </w:rPr>
          <w:t>5</w:t>
        </w:r>
        <w:r>
          <w:rPr>
            <w:noProof/>
          </w:rPr>
          <w:fldChar w:fldCharType="end"/>
        </w:r>
      </w:p>
    </w:sdtContent>
  </w:sdt>
  <w:p w14:paraId="3DA44058" w14:textId="77777777" w:rsidR="00B95CC5" w:rsidRDefault="00B95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810F2" w14:textId="77777777" w:rsidR="005422DF" w:rsidRDefault="005422DF" w:rsidP="00374F2D">
      <w:r>
        <w:separator/>
      </w:r>
    </w:p>
  </w:footnote>
  <w:footnote w:type="continuationSeparator" w:id="0">
    <w:p w14:paraId="2BCE12CB" w14:textId="77777777" w:rsidR="005422DF" w:rsidRDefault="005422DF" w:rsidP="00374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
  <w:rsids>
    <w:rsidRoot w:val="00150806"/>
    <w:rsid w:val="000004B8"/>
    <w:rsid w:val="00000C03"/>
    <w:rsid w:val="0000747C"/>
    <w:rsid w:val="00007863"/>
    <w:rsid w:val="000100DE"/>
    <w:rsid w:val="0001157A"/>
    <w:rsid w:val="00023613"/>
    <w:rsid w:val="00030FD4"/>
    <w:rsid w:val="00041AD7"/>
    <w:rsid w:val="00042EE4"/>
    <w:rsid w:val="000433EF"/>
    <w:rsid w:val="0004725F"/>
    <w:rsid w:val="0004752F"/>
    <w:rsid w:val="000602A5"/>
    <w:rsid w:val="00096419"/>
    <w:rsid w:val="000A2011"/>
    <w:rsid w:val="000A74D1"/>
    <w:rsid w:val="000C6304"/>
    <w:rsid w:val="000D634C"/>
    <w:rsid w:val="000F2D01"/>
    <w:rsid w:val="00111FB3"/>
    <w:rsid w:val="00114837"/>
    <w:rsid w:val="0012351A"/>
    <w:rsid w:val="00133075"/>
    <w:rsid w:val="00144EFF"/>
    <w:rsid w:val="00147E6C"/>
    <w:rsid w:val="00150806"/>
    <w:rsid w:val="00155569"/>
    <w:rsid w:val="00160E14"/>
    <w:rsid w:val="00166746"/>
    <w:rsid w:val="00170CCB"/>
    <w:rsid w:val="00174448"/>
    <w:rsid w:val="00175277"/>
    <w:rsid w:val="00176588"/>
    <w:rsid w:val="00192398"/>
    <w:rsid w:val="0019322F"/>
    <w:rsid w:val="00194D96"/>
    <w:rsid w:val="001A050C"/>
    <w:rsid w:val="001A227A"/>
    <w:rsid w:val="001A26C5"/>
    <w:rsid w:val="001A67B6"/>
    <w:rsid w:val="001B10E7"/>
    <w:rsid w:val="001B53F2"/>
    <w:rsid w:val="001C2C91"/>
    <w:rsid w:val="001D0193"/>
    <w:rsid w:val="001D147C"/>
    <w:rsid w:val="001F4296"/>
    <w:rsid w:val="001F50AE"/>
    <w:rsid w:val="002000E1"/>
    <w:rsid w:val="002066DC"/>
    <w:rsid w:val="00207598"/>
    <w:rsid w:val="00211D57"/>
    <w:rsid w:val="00214B66"/>
    <w:rsid w:val="00220FC2"/>
    <w:rsid w:val="0022714E"/>
    <w:rsid w:val="0023781B"/>
    <w:rsid w:val="00256B01"/>
    <w:rsid w:val="00257B4C"/>
    <w:rsid w:val="0026236B"/>
    <w:rsid w:val="00264358"/>
    <w:rsid w:val="00275EF2"/>
    <w:rsid w:val="002805B2"/>
    <w:rsid w:val="00280EA1"/>
    <w:rsid w:val="00282399"/>
    <w:rsid w:val="00292991"/>
    <w:rsid w:val="00292A8D"/>
    <w:rsid w:val="00295EA2"/>
    <w:rsid w:val="00296E02"/>
    <w:rsid w:val="002A0AAF"/>
    <w:rsid w:val="002A1007"/>
    <w:rsid w:val="002B09FF"/>
    <w:rsid w:val="002D49E2"/>
    <w:rsid w:val="002E24ED"/>
    <w:rsid w:val="002F025E"/>
    <w:rsid w:val="002F1DC8"/>
    <w:rsid w:val="00301212"/>
    <w:rsid w:val="00302F90"/>
    <w:rsid w:val="003078A4"/>
    <w:rsid w:val="003134FE"/>
    <w:rsid w:val="0031371B"/>
    <w:rsid w:val="00322ECC"/>
    <w:rsid w:val="00324DC7"/>
    <w:rsid w:val="00337DCD"/>
    <w:rsid w:val="0034185D"/>
    <w:rsid w:val="00342082"/>
    <w:rsid w:val="003421C3"/>
    <w:rsid w:val="00360450"/>
    <w:rsid w:val="003608D8"/>
    <w:rsid w:val="00361E4A"/>
    <w:rsid w:val="003713E5"/>
    <w:rsid w:val="00374F2D"/>
    <w:rsid w:val="00393D75"/>
    <w:rsid w:val="00394361"/>
    <w:rsid w:val="003B7688"/>
    <w:rsid w:val="003B7880"/>
    <w:rsid w:val="003C4E20"/>
    <w:rsid w:val="003C7EF8"/>
    <w:rsid w:val="003D3140"/>
    <w:rsid w:val="003E26FF"/>
    <w:rsid w:val="003E4775"/>
    <w:rsid w:val="003E766C"/>
    <w:rsid w:val="004055B8"/>
    <w:rsid w:val="00405AE6"/>
    <w:rsid w:val="00423DBA"/>
    <w:rsid w:val="00432DC0"/>
    <w:rsid w:val="00444CBF"/>
    <w:rsid w:val="004514C0"/>
    <w:rsid w:val="00475996"/>
    <w:rsid w:val="00482318"/>
    <w:rsid w:val="00497AFC"/>
    <w:rsid w:val="004B20A9"/>
    <w:rsid w:val="004C6B49"/>
    <w:rsid w:val="004D3AE7"/>
    <w:rsid w:val="004D5ED7"/>
    <w:rsid w:val="00503D92"/>
    <w:rsid w:val="00504785"/>
    <w:rsid w:val="0052224E"/>
    <w:rsid w:val="00527213"/>
    <w:rsid w:val="00530FE2"/>
    <w:rsid w:val="00534A26"/>
    <w:rsid w:val="00541D82"/>
    <w:rsid w:val="005422DF"/>
    <w:rsid w:val="005515A6"/>
    <w:rsid w:val="005551B2"/>
    <w:rsid w:val="005646AB"/>
    <w:rsid w:val="00565827"/>
    <w:rsid w:val="00584C36"/>
    <w:rsid w:val="00594C5F"/>
    <w:rsid w:val="005A11EF"/>
    <w:rsid w:val="005B5C8F"/>
    <w:rsid w:val="005D3DF4"/>
    <w:rsid w:val="005D564E"/>
    <w:rsid w:val="005D6F67"/>
    <w:rsid w:val="0060074C"/>
    <w:rsid w:val="00601C60"/>
    <w:rsid w:val="00602F2B"/>
    <w:rsid w:val="00614109"/>
    <w:rsid w:val="00631895"/>
    <w:rsid w:val="006415FA"/>
    <w:rsid w:val="00644559"/>
    <w:rsid w:val="00645F98"/>
    <w:rsid w:val="00661238"/>
    <w:rsid w:val="006623F8"/>
    <w:rsid w:val="00665A37"/>
    <w:rsid w:val="00666E59"/>
    <w:rsid w:val="0067083A"/>
    <w:rsid w:val="006766E0"/>
    <w:rsid w:val="00680F5C"/>
    <w:rsid w:val="00685626"/>
    <w:rsid w:val="00691C35"/>
    <w:rsid w:val="006A14EF"/>
    <w:rsid w:val="006A6BE8"/>
    <w:rsid w:val="006A7E9D"/>
    <w:rsid w:val="006B7153"/>
    <w:rsid w:val="006C4F05"/>
    <w:rsid w:val="006C6E95"/>
    <w:rsid w:val="006D3AAB"/>
    <w:rsid w:val="006E2A41"/>
    <w:rsid w:val="006E325A"/>
    <w:rsid w:val="00702C73"/>
    <w:rsid w:val="007138DE"/>
    <w:rsid w:val="00720D00"/>
    <w:rsid w:val="00722702"/>
    <w:rsid w:val="007350D8"/>
    <w:rsid w:val="00735C9C"/>
    <w:rsid w:val="00740BEA"/>
    <w:rsid w:val="00742E90"/>
    <w:rsid w:val="007452D0"/>
    <w:rsid w:val="00765F0E"/>
    <w:rsid w:val="00767B13"/>
    <w:rsid w:val="007740C8"/>
    <w:rsid w:val="007B539F"/>
    <w:rsid w:val="007C0BD3"/>
    <w:rsid w:val="007C4CAB"/>
    <w:rsid w:val="007D599A"/>
    <w:rsid w:val="007E1F6E"/>
    <w:rsid w:val="007E5461"/>
    <w:rsid w:val="007E5B84"/>
    <w:rsid w:val="007E601A"/>
    <w:rsid w:val="007E79DB"/>
    <w:rsid w:val="007F586C"/>
    <w:rsid w:val="00804278"/>
    <w:rsid w:val="008149B3"/>
    <w:rsid w:val="00821C04"/>
    <w:rsid w:val="00832BB6"/>
    <w:rsid w:val="00842AD6"/>
    <w:rsid w:val="0086605F"/>
    <w:rsid w:val="00873061"/>
    <w:rsid w:val="00891993"/>
    <w:rsid w:val="00896521"/>
    <w:rsid w:val="008A149C"/>
    <w:rsid w:val="008A59AA"/>
    <w:rsid w:val="008B278D"/>
    <w:rsid w:val="008B61C1"/>
    <w:rsid w:val="008C3246"/>
    <w:rsid w:val="008C4921"/>
    <w:rsid w:val="008D09CF"/>
    <w:rsid w:val="008D11C4"/>
    <w:rsid w:val="008E1726"/>
    <w:rsid w:val="009017E7"/>
    <w:rsid w:val="00906F59"/>
    <w:rsid w:val="00914740"/>
    <w:rsid w:val="0091758A"/>
    <w:rsid w:val="0092133F"/>
    <w:rsid w:val="00943A83"/>
    <w:rsid w:val="00944BF4"/>
    <w:rsid w:val="009458D5"/>
    <w:rsid w:val="009479B8"/>
    <w:rsid w:val="00955FE3"/>
    <w:rsid w:val="00963E2A"/>
    <w:rsid w:val="0096408E"/>
    <w:rsid w:val="009678F8"/>
    <w:rsid w:val="0097585A"/>
    <w:rsid w:val="009923FD"/>
    <w:rsid w:val="009A72CF"/>
    <w:rsid w:val="009B7AE9"/>
    <w:rsid w:val="009C4031"/>
    <w:rsid w:val="009D6098"/>
    <w:rsid w:val="009E44F7"/>
    <w:rsid w:val="009F27D0"/>
    <w:rsid w:val="009F34E7"/>
    <w:rsid w:val="00A006BF"/>
    <w:rsid w:val="00A00888"/>
    <w:rsid w:val="00A063DF"/>
    <w:rsid w:val="00A0709B"/>
    <w:rsid w:val="00A1404F"/>
    <w:rsid w:val="00A43013"/>
    <w:rsid w:val="00A4580F"/>
    <w:rsid w:val="00A67438"/>
    <w:rsid w:val="00A7289A"/>
    <w:rsid w:val="00A7370E"/>
    <w:rsid w:val="00A91235"/>
    <w:rsid w:val="00AA623C"/>
    <w:rsid w:val="00AB4029"/>
    <w:rsid w:val="00AB72EB"/>
    <w:rsid w:val="00AD7690"/>
    <w:rsid w:val="00AE26FD"/>
    <w:rsid w:val="00AF02A4"/>
    <w:rsid w:val="00AF7DE6"/>
    <w:rsid w:val="00B063A7"/>
    <w:rsid w:val="00B0695C"/>
    <w:rsid w:val="00B20566"/>
    <w:rsid w:val="00B242E0"/>
    <w:rsid w:val="00B46C49"/>
    <w:rsid w:val="00B606B9"/>
    <w:rsid w:val="00B637CE"/>
    <w:rsid w:val="00B64DCF"/>
    <w:rsid w:val="00B660D3"/>
    <w:rsid w:val="00B710F1"/>
    <w:rsid w:val="00B76D9F"/>
    <w:rsid w:val="00B90717"/>
    <w:rsid w:val="00B95027"/>
    <w:rsid w:val="00B95CC5"/>
    <w:rsid w:val="00BA3B92"/>
    <w:rsid w:val="00BB0D30"/>
    <w:rsid w:val="00BB1FA9"/>
    <w:rsid w:val="00BB3B5A"/>
    <w:rsid w:val="00BC290A"/>
    <w:rsid w:val="00BC5686"/>
    <w:rsid w:val="00BC5D80"/>
    <w:rsid w:val="00BF7C3F"/>
    <w:rsid w:val="00C01B6D"/>
    <w:rsid w:val="00C0642C"/>
    <w:rsid w:val="00C304C8"/>
    <w:rsid w:val="00C30EB4"/>
    <w:rsid w:val="00C330DF"/>
    <w:rsid w:val="00C35B27"/>
    <w:rsid w:val="00C54C30"/>
    <w:rsid w:val="00C6124F"/>
    <w:rsid w:val="00C614CC"/>
    <w:rsid w:val="00C627C7"/>
    <w:rsid w:val="00C628BD"/>
    <w:rsid w:val="00C63199"/>
    <w:rsid w:val="00C6522A"/>
    <w:rsid w:val="00CA0B06"/>
    <w:rsid w:val="00CC01D4"/>
    <w:rsid w:val="00CC2DCD"/>
    <w:rsid w:val="00CD12E1"/>
    <w:rsid w:val="00CD73E9"/>
    <w:rsid w:val="00D07C0C"/>
    <w:rsid w:val="00D07E64"/>
    <w:rsid w:val="00D1492D"/>
    <w:rsid w:val="00D1507B"/>
    <w:rsid w:val="00D152DE"/>
    <w:rsid w:val="00D26CBF"/>
    <w:rsid w:val="00D32242"/>
    <w:rsid w:val="00D3719C"/>
    <w:rsid w:val="00D4147E"/>
    <w:rsid w:val="00D46F28"/>
    <w:rsid w:val="00D706E3"/>
    <w:rsid w:val="00D9634F"/>
    <w:rsid w:val="00DA7C4E"/>
    <w:rsid w:val="00DB7ADC"/>
    <w:rsid w:val="00DC1D8A"/>
    <w:rsid w:val="00DC28DE"/>
    <w:rsid w:val="00DC4AB4"/>
    <w:rsid w:val="00DD18C6"/>
    <w:rsid w:val="00DE02CF"/>
    <w:rsid w:val="00DE1650"/>
    <w:rsid w:val="00E10174"/>
    <w:rsid w:val="00E17FCE"/>
    <w:rsid w:val="00E27EBA"/>
    <w:rsid w:val="00E33722"/>
    <w:rsid w:val="00E33A4F"/>
    <w:rsid w:val="00E35A66"/>
    <w:rsid w:val="00E360C7"/>
    <w:rsid w:val="00E42702"/>
    <w:rsid w:val="00E43FE2"/>
    <w:rsid w:val="00E522C5"/>
    <w:rsid w:val="00E56FFB"/>
    <w:rsid w:val="00E60BF1"/>
    <w:rsid w:val="00E632A9"/>
    <w:rsid w:val="00E77351"/>
    <w:rsid w:val="00E8164E"/>
    <w:rsid w:val="00E84DB5"/>
    <w:rsid w:val="00E8669B"/>
    <w:rsid w:val="00E90830"/>
    <w:rsid w:val="00EA0B35"/>
    <w:rsid w:val="00EB1A24"/>
    <w:rsid w:val="00EB6F56"/>
    <w:rsid w:val="00EC317C"/>
    <w:rsid w:val="00EE7D77"/>
    <w:rsid w:val="00EF1A4F"/>
    <w:rsid w:val="00EF473C"/>
    <w:rsid w:val="00EF6BAD"/>
    <w:rsid w:val="00F31689"/>
    <w:rsid w:val="00F3184F"/>
    <w:rsid w:val="00F346A6"/>
    <w:rsid w:val="00F347E3"/>
    <w:rsid w:val="00F405DE"/>
    <w:rsid w:val="00F453A7"/>
    <w:rsid w:val="00F46E9F"/>
    <w:rsid w:val="00F52904"/>
    <w:rsid w:val="00F6762F"/>
    <w:rsid w:val="00F775D0"/>
    <w:rsid w:val="00F83B67"/>
    <w:rsid w:val="00F866D6"/>
    <w:rsid w:val="00F90A52"/>
    <w:rsid w:val="00F95FB8"/>
    <w:rsid w:val="00FA224D"/>
    <w:rsid w:val="00FA2D26"/>
    <w:rsid w:val="00FB288E"/>
    <w:rsid w:val="00FB6078"/>
    <w:rsid w:val="00FD3174"/>
    <w:rsid w:val="00FD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773976"/>
  <w14:defaultImageDpi w14:val="300"/>
  <w15:docId w15:val="{CCF6337A-393C-4D14-B8FB-BD3F22DD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w:eastAsiaTheme="minorEastAsia" w:hAnsi="Courier" w:cs="Courie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pPr>
      <w:spacing w:before="100" w:beforeAutospacing="1" w:after="100" w:afterAutospacing="1"/>
    </w:pPr>
    <w:rPr>
      <w:rFonts w:cs="Times New Roman"/>
    </w:rPr>
  </w:style>
  <w:style w:type="character" w:customStyle="1" w:styleId="math">
    <w:name w:val="math"/>
    <w:basedOn w:val="DefaultParagraphFont"/>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Caption">
    <w:name w:val="caption"/>
    <w:aliases w:val="caption"/>
    <w:basedOn w:val="Normal"/>
    <w:uiPriority w:val="35"/>
    <w:qFormat/>
    <w:pPr>
      <w:spacing w:before="100" w:beforeAutospacing="1" w:after="100" w:afterAutospacing="1"/>
    </w:pPr>
  </w:style>
  <w:style w:type="character" w:styleId="CommentReference">
    <w:name w:val="annotation reference"/>
    <w:basedOn w:val="DefaultParagraphFont"/>
    <w:uiPriority w:val="99"/>
    <w:semiHidden/>
    <w:unhideWhenUsed/>
    <w:rsid w:val="00B0695C"/>
    <w:rPr>
      <w:sz w:val="16"/>
      <w:szCs w:val="16"/>
    </w:rPr>
  </w:style>
  <w:style w:type="paragraph" w:styleId="CommentText">
    <w:name w:val="annotation text"/>
    <w:basedOn w:val="Normal"/>
    <w:link w:val="CommentTextChar"/>
    <w:uiPriority w:val="99"/>
    <w:semiHidden/>
    <w:unhideWhenUsed/>
    <w:rsid w:val="00B0695C"/>
  </w:style>
  <w:style w:type="character" w:customStyle="1" w:styleId="CommentTextChar">
    <w:name w:val="Comment Text Char"/>
    <w:basedOn w:val="DefaultParagraphFont"/>
    <w:link w:val="CommentText"/>
    <w:uiPriority w:val="99"/>
    <w:semiHidden/>
    <w:rsid w:val="00B0695C"/>
    <w:rPr>
      <w:rFonts w:ascii="Times" w:eastAsiaTheme="minorEastAsia" w:hAnsi="Times" w:cstheme="minorBidi"/>
    </w:rPr>
  </w:style>
  <w:style w:type="paragraph" w:styleId="CommentSubject">
    <w:name w:val="annotation subject"/>
    <w:basedOn w:val="CommentText"/>
    <w:next w:val="CommentText"/>
    <w:link w:val="CommentSubjectChar"/>
    <w:uiPriority w:val="99"/>
    <w:semiHidden/>
    <w:unhideWhenUsed/>
    <w:rsid w:val="00B0695C"/>
    <w:rPr>
      <w:b/>
      <w:bCs/>
    </w:rPr>
  </w:style>
  <w:style w:type="character" w:customStyle="1" w:styleId="CommentSubjectChar">
    <w:name w:val="Comment Subject Char"/>
    <w:basedOn w:val="CommentTextChar"/>
    <w:link w:val="CommentSubject"/>
    <w:uiPriority w:val="99"/>
    <w:semiHidden/>
    <w:rsid w:val="00B0695C"/>
    <w:rPr>
      <w:rFonts w:ascii="Times" w:eastAsiaTheme="minorEastAsia" w:hAnsi="Times" w:cstheme="minorBidi"/>
      <w:b/>
      <w:bCs/>
    </w:rPr>
  </w:style>
  <w:style w:type="paragraph" w:styleId="BalloonText">
    <w:name w:val="Balloon Text"/>
    <w:basedOn w:val="Normal"/>
    <w:link w:val="BalloonTextChar"/>
    <w:uiPriority w:val="99"/>
    <w:semiHidden/>
    <w:unhideWhenUsed/>
    <w:rsid w:val="00B0695C"/>
    <w:rPr>
      <w:rFonts w:ascii="Tahoma" w:hAnsi="Tahoma" w:cs="Tahoma"/>
      <w:sz w:val="16"/>
      <w:szCs w:val="16"/>
    </w:rPr>
  </w:style>
  <w:style w:type="character" w:customStyle="1" w:styleId="BalloonTextChar">
    <w:name w:val="Balloon Text Char"/>
    <w:basedOn w:val="DefaultParagraphFont"/>
    <w:link w:val="BalloonText"/>
    <w:uiPriority w:val="99"/>
    <w:semiHidden/>
    <w:rsid w:val="00B0695C"/>
    <w:rPr>
      <w:rFonts w:ascii="Tahoma" w:eastAsiaTheme="minorEastAsia" w:hAnsi="Tahoma" w:cs="Tahoma"/>
      <w:sz w:val="16"/>
      <w:szCs w:val="16"/>
    </w:rPr>
  </w:style>
  <w:style w:type="character" w:styleId="LineNumber">
    <w:name w:val="line number"/>
    <w:basedOn w:val="DefaultParagraphFont"/>
    <w:uiPriority w:val="99"/>
    <w:semiHidden/>
    <w:unhideWhenUsed/>
    <w:rsid w:val="00374F2D"/>
  </w:style>
  <w:style w:type="paragraph" w:styleId="Header">
    <w:name w:val="header"/>
    <w:basedOn w:val="Normal"/>
    <w:link w:val="HeaderChar"/>
    <w:uiPriority w:val="99"/>
    <w:unhideWhenUsed/>
    <w:rsid w:val="00374F2D"/>
    <w:pPr>
      <w:tabs>
        <w:tab w:val="center" w:pos="4680"/>
        <w:tab w:val="right" w:pos="9360"/>
      </w:tabs>
    </w:pPr>
  </w:style>
  <w:style w:type="character" w:customStyle="1" w:styleId="HeaderChar">
    <w:name w:val="Header Char"/>
    <w:basedOn w:val="DefaultParagraphFont"/>
    <w:link w:val="Header"/>
    <w:uiPriority w:val="99"/>
    <w:rsid w:val="00374F2D"/>
    <w:rPr>
      <w:rFonts w:ascii="Times" w:eastAsiaTheme="minorEastAsia" w:hAnsi="Times" w:cstheme="minorBidi"/>
    </w:rPr>
  </w:style>
  <w:style w:type="paragraph" w:styleId="Footer">
    <w:name w:val="footer"/>
    <w:basedOn w:val="Normal"/>
    <w:link w:val="FooterChar"/>
    <w:uiPriority w:val="99"/>
    <w:unhideWhenUsed/>
    <w:rsid w:val="00374F2D"/>
    <w:pPr>
      <w:tabs>
        <w:tab w:val="center" w:pos="4680"/>
        <w:tab w:val="right" w:pos="9360"/>
      </w:tabs>
    </w:pPr>
  </w:style>
  <w:style w:type="character" w:customStyle="1" w:styleId="FooterChar">
    <w:name w:val="Footer Char"/>
    <w:basedOn w:val="DefaultParagraphFont"/>
    <w:link w:val="Footer"/>
    <w:uiPriority w:val="99"/>
    <w:rsid w:val="00374F2D"/>
    <w:rPr>
      <w:rFonts w:ascii="Times" w:eastAsiaTheme="minorEastAsia" w:hAnsi="Times" w:cstheme="minorBidi"/>
    </w:rPr>
  </w:style>
  <w:style w:type="paragraph" w:customStyle="1" w:styleId="Normal1">
    <w:name w:val="Normal1"/>
    <w:rsid w:val="000433EF"/>
    <w:pPr>
      <w:spacing w:line="276" w:lineRule="auto"/>
    </w:pPr>
    <w:rPr>
      <w:rFonts w:ascii="Arial" w:eastAsia="Arial" w:hAnsi="Arial" w:cs="Arial"/>
      <w:color w:val="000000"/>
      <w:sz w:val="22"/>
      <w:szCs w:val="22"/>
    </w:rPr>
  </w:style>
  <w:style w:type="paragraph" w:styleId="PlainText">
    <w:name w:val="Plain Text"/>
    <w:basedOn w:val="Normal"/>
    <w:link w:val="PlainTextChar"/>
    <w:rsid w:val="000433EF"/>
    <w:rPr>
      <w:rFonts w:ascii="Courier New" w:eastAsia="Times New Roman" w:hAnsi="Courier New" w:cs="Courier New"/>
    </w:rPr>
  </w:style>
  <w:style w:type="character" w:customStyle="1" w:styleId="PlainTextChar">
    <w:name w:val="Plain Text Char"/>
    <w:basedOn w:val="DefaultParagraphFont"/>
    <w:link w:val="PlainText"/>
    <w:rsid w:val="000433EF"/>
    <w:rPr>
      <w:rFonts w:ascii="Courier New" w:hAnsi="Courier New" w:cs="Courier New"/>
    </w:rPr>
  </w:style>
  <w:style w:type="character" w:styleId="Hyperlink">
    <w:name w:val="Hyperlink"/>
    <w:basedOn w:val="DefaultParagraphFont"/>
    <w:uiPriority w:val="99"/>
    <w:unhideWhenUsed/>
    <w:rsid w:val="004D5ED7"/>
    <w:rPr>
      <w:color w:val="0000FF" w:themeColor="hyperlink"/>
      <w:u w:val="single"/>
    </w:rPr>
  </w:style>
  <w:style w:type="character" w:customStyle="1" w:styleId="apple-converted-space">
    <w:name w:val="apple-converted-space"/>
    <w:basedOn w:val="DefaultParagraphFont"/>
    <w:rsid w:val="00B606B9"/>
  </w:style>
  <w:style w:type="character" w:customStyle="1" w:styleId="il">
    <w:name w:val="il"/>
    <w:basedOn w:val="DefaultParagraphFont"/>
    <w:rsid w:val="0036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04751">
      <w:bodyDiv w:val="1"/>
      <w:marLeft w:val="0"/>
      <w:marRight w:val="0"/>
      <w:marTop w:val="0"/>
      <w:marBottom w:val="0"/>
      <w:divBdr>
        <w:top w:val="none" w:sz="0" w:space="0" w:color="auto"/>
        <w:left w:val="none" w:sz="0" w:space="0" w:color="auto"/>
        <w:bottom w:val="none" w:sz="0" w:space="0" w:color="auto"/>
        <w:right w:val="none" w:sz="0" w:space="0" w:color="auto"/>
      </w:divBdr>
    </w:div>
    <w:div w:id="694844647">
      <w:marLeft w:val="0"/>
      <w:marRight w:val="0"/>
      <w:marTop w:val="0"/>
      <w:marBottom w:val="0"/>
      <w:divBdr>
        <w:top w:val="none" w:sz="0" w:space="0" w:color="auto"/>
        <w:left w:val="none" w:sz="0" w:space="0" w:color="auto"/>
        <w:bottom w:val="none" w:sz="0" w:space="0" w:color="auto"/>
        <w:right w:val="none" w:sz="0" w:space="0" w:color="auto"/>
      </w:divBdr>
    </w:div>
    <w:div w:id="1132942311">
      <w:marLeft w:val="0"/>
      <w:marRight w:val="0"/>
      <w:marTop w:val="0"/>
      <w:marBottom w:val="0"/>
      <w:divBdr>
        <w:top w:val="none" w:sz="0" w:space="0" w:color="auto"/>
        <w:left w:val="none" w:sz="0" w:space="0" w:color="auto"/>
        <w:bottom w:val="none" w:sz="0" w:space="0" w:color="auto"/>
        <w:right w:val="none" w:sz="0" w:space="0" w:color="auto"/>
      </w:divBdr>
    </w:div>
    <w:div w:id="1277177087">
      <w:marLeft w:val="0"/>
      <w:marRight w:val="0"/>
      <w:marTop w:val="0"/>
      <w:marBottom w:val="0"/>
      <w:divBdr>
        <w:top w:val="none" w:sz="0" w:space="0" w:color="auto"/>
        <w:left w:val="none" w:sz="0" w:space="0" w:color="auto"/>
        <w:bottom w:val="none" w:sz="0" w:space="0" w:color="auto"/>
        <w:right w:val="none" w:sz="0" w:space="0" w:color="auto"/>
      </w:divBdr>
    </w:div>
    <w:div w:id="1287662129">
      <w:marLeft w:val="0"/>
      <w:marRight w:val="0"/>
      <w:marTop w:val="0"/>
      <w:marBottom w:val="0"/>
      <w:divBdr>
        <w:top w:val="none" w:sz="0" w:space="0" w:color="auto"/>
        <w:left w:val="none" w:sz="0" w:space="0" w:color="auto"/>
        <w:bottom w:val="none" w:sz="0" w:space="0" w:color="auto"/>
        <w:right w:val="none" w:sz="0" w:space="0" w:color="auto"/>
      </w:divBdr>
    </w:div>
    <w:div w:id="1320232107">
      <w:marLeft w:val="0"/>
      <w:marRight w:val="0"/>
      <w:marTop w:val="0"/>
      <w:marBottom w:val="0"/>
      <w:divBdr>
        <w:top w:val="none" w:sz="0" w:space="0" w:color="auto"/>
        <w:left w:val="none" w:sz="0" w:space="0" w:color="auto"/>
        <w:bottom w:val="none" w:sz="0" w:space="0" w:color="auto"/>
        <w:right w:val="none" w:sz="0" w:space="0" w:color="auto"/>
      </w:divBdr>
    </w:div>
    <w:div w:id="140452890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991</Words>
  <Characters>5653</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Strong motion observations of the Katmandu valley response during the M7.8 Gorkha earthquake sequence</vt:lpstr>
      <vt:lpstr>Strong motion observations of the Katmandu valley response during the M7.8 Gorkha earthquake sequence</vt:lpstr>
    </vt:vector>
  </TitlesOfParts>
  <Company>California Institute of Technology</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Strong motion observations of the Katmandu valley response during the M7.8 Gorkha earthquake sequence</dc:title>
  <dc:creator>Domniki Asimaki</dc:creator>
  <cp:lastModifiedBy>pablo</cp:lastModifiedBy>
  <cp:revision>4</cp:revision>
  <dcterms:created xsi:type="dcterms:W3CDTF">2015-10-27T19:56:00Z</dcterms:created>
  <dcterms:modified xsi:type="dcterms:W3CDTF">2015-10-29T08:03:00Z</dcterms:modified>
</cp:coreProperties>
</file>