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中山大学附属（南沙）口腔医院</w:t>
        <w:br/>
        <w:t>专项债收益复核意见</w:t>
      </w:r>
    </w:p>
    <w:p>
      <w:r>
        <w:t>参考解答｜公开材料复核时点：2025年4月28日｜编制日期：2026年10月23日</w:t>
      </w:r>
    </w:p>
    <w:p>
      <w:r>
        <w:t>本意见是评测题的参考成果，未接受任何真实财政机关委托。金额除注明外均为人民币万元。原报告页码与PDF页序一致；来源文件编号对应随附计算工作簿“来源”表。</w:t>
      </w:r>
    </w:p>
    <w:p>
      <w:pPr>
        <w:pStyle w:val="Heading1"/>
      </w:pPr>
      <w:r>
        <w:t>复核结论</w:t>
      </w:r>
    </w:p>
    <w:p>
      <w:r>
        <w:t>现有材料不宜原样沿用“压力下覆盖均大于1.2、具有较好抗风险能力”的结论。应要求补正模型，并补充逐年资金安排说明。晚版原表总覆盖1.4651虽可复现，但费用正文与表格、停车收费条件、充电增长时点及压力测试口径之间存在实质差异。按正文5%管理费联动、收入下降5%，即使暂不调整停车及充电收入，晚版覆盖已降至1.1554。</w:t>
      </w:r>
    </w:p>
    <w:p>
      <w:r>
        <w:t>将停车封顶及冻结单价、充电文字周期甲与5%管理费共同纳入后，晚版基准覆盖1.2288，收入下降5%后为1.0453；最大累计资金缺口分别7925.01和11169.23。此处1.2是原报告自身采用的风险判断尺度，不认定为通用于所有专项债项目的法定审批标准。基准和压力下总覆盖仍可能大于1，但不能由此推出每年经营收益足够付息还本。</w:t>
      </w:r>
    </w:p>
    <w:p>
      <w:r>
        <w:t>本次判断只针对公开预测的计算与证据。原报告p12—13明确其非实际经营审计，未来结果可能与预测不同；本意见不据测算缺口认定实际违约。</w:t>
      </w:r>
    </w:p>
    <w:p>
      <w:pPr>
        <w:pStyle w:val="Heading1"/>
      </w:pPr>
      <w:r>
        <w:t>一、三份附件与两套融资模型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  <w:cantSplit/>
        </w:trPr>
        <w:tc>
          <w:tcPr>
            <w:tcW w:type="dxa" w:w="3249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十二期：早版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六十一、六十九期：晚版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报告文号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光领发字（2024）07-100号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光领发字（2024）07-237号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评估截止/签署日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2024-02-29 / 2024-03-18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2024-07-31 / 2024-08-18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拟融资总额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34000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34000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评估时已发行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23000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24400（含2024十二期1400）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2024待发假设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11000；5年；3.30%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9600；10年；3.60%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总利息/本息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15703.00 / 49703.00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17502.90 / 51502.90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原表覆盖倍数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1.5181（报告显示1.52）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1.4651（报告显示1.47）</w:t>
            </w:r>
          </w:p>
        </w:tc>
      </w:tr>
    </w:tbl>
    <w:p>
      <w:r>
        <w:t>证据：三报告p1、3—4、8—9、12。六十一与六十九PDF的SHA256均为99179865586e35651cde9aaa4802cb4888ac7b6945b760f0464a63424ffbcc80，内容完全一致；保留两份输入原件用于版本核对，但计算只使用一套晚版模型。</w:t>
      </w:r>
    </w:p>
    <w:p>
      <w:r>
        <w:t>2025-04-28公告披露2024年十二、六十一、六十九期募集合计0.64亿元，即6400万元。它既不是项目全期34000万元计划的执行证明，也不能证明晚版9600万元全部已发行。结合报告已发1400万元只能推得公告另外两期合计5000万元，不能从现有材料分摊到各期。若以报告2022—2023已发23000万元加公告2024年6400万元，得到29400万元，与34000万元计划相差4600万元；这仅是口径桥接，不代表另有已落实融资。</w:t>
      </w:r>
    </w:p>
    <w:p>
      <w:r>
        <w:t>共同历史债务：20000×3.22%×20=12880；1000×2.92%×15=438；2000×2.85%×10=570。早版2024待发利息为1815；晚版1400万元5年债为158.90、9600万元10年待发债为3456。晚版总本息比早版多1799.90，不能用早版较低本息搭配晚版还款结构。</w:t>
      </w:r>
    </w:p>
    <w:p>
      <w:pPr>
        <w:pStyle w:val="Heading1"/>
      </w:pPr>
      <w:r>
        <w:t>二、运营模型及收费依据</w:t>
      </w:r>
    </w:p>
    <w:p>
      <w:r>
        <w:t>原表14年收入205183.59、成本129727.22、净收益75456.37，收入及成本逐年数加总可复现。表中第1—4年为零，第5年2028投运，第18年2041结束。门诊7500、住院850为首年基数，2029—2032按10%、2033—2037按5%、2038—2041按2%递增。未舍入公式的医疗收入总计187502.31；表列门诊168415.26与住院19087.07之和略有尾差。证据：三报告p4—7。</w:t>
      </w:r>
    </w:p>
    <w:p>
      <w:r>
        <w:t>六项非管理费首年7355=5600+170+1470+60+35+20，随后每年增长3%，14年合计125669.91。该路径来自报告而不是由收入反推。费用原表合计减原管理费得到125669.96，与驱动式差0.05，属于逐项取两位小数的尾差。</w:t>
      </w:r>
    </w:p>
    <w:p>
      <w:r>
        <w:t>管理费：正文写收入5%，表首年184.69约为9234.58的2%。但不能把整张表简单称为“按2%编制”：2037年管理费329.21，而当年收入16906.20×2%=338.12，2038—2041也存在差异。表列全期4057.26，统一2%应4103.67，相差46.41。统一2%与5%时净收益分别75410.00和69254.50；5%相对原表减少6201.87，包含费率差和原表错配，不只是收入×3%。证据：晚版p6；早版p5—6。</w:t>
      </w:r>
    </w:p>
    <w:p>
      <w:r>
        <w:t>停车：2021年2号文第二条及附件二对财政性资金室内专业停车场、非营利性医疗机构等配套停车场均设政府指导价；南沙属副中心及外围城区。报告采用的日间1.5元/半小时用于3小时内部分，夜间1元/半小时须受每车次夜间10元封顶约束，24小时封顶27元是对单车连续停放，不是对每车位一天不同车辆的收入封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  <w:cantSplit/>
        </w:trPr>
        <w:tc>
          <w:tcPr>
            <w:tcW w:type="dxa" w:w="2436"/>
          </w:tcPr>
          <w:p>
            <w:r>
              <w:rPr>
                <w:sz w:val="18"/>
              </w:rPr>
              <w:t>停车分支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首五年每年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第六年起每年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14年总额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报告原表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670.14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2033—2037：1008.50；2038起：1307.43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13622.92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冻结引用单价并夜间封顶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512.46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582.54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7805.16</w:t>
            </w:r>
          </w:p>
        </w:tc>
      </w:tr>
    </w:tbl>
    <w:p>
      <w:r>
        <w:t>首年日间=600×365×3×2×2×1.5×80%÷10000=315.36；夜间=600×365×1×min(9×2×1,10)×90%÷10000=197.10。五年后仅将两类使用率改为95%，得到582.54。报告每五年单价上升0.5元并无所引文件授权，不应作为已获批准的涨价收入。2021年2号文有效期至2026-08-31，冻结引用标准只是2025复核用比较分支，不承诺2028以后政策不变。</w:t>
      </w:r>
    </w:p>
    <w:p>
      <w:r>
        <w:t>收费优惠及运营条件仍需说明：15分钟免费、符合条件的新能源汽车充电1小时内优惠等不能遗漏；但现有资料没有符合优惠条件的车次分布，不能凭空指定免费比例，也不能直接从全部9小时夜间停车中扣除1小时。当前分支沿用报告停留与周转假设，不验证实际客流。没有材料证明机械泊位比例、单独核定或未来调价，故不据此添加上浮。</w:t>
      </w:r>
    </w:p>
    <w:p>
      <w:r>
        <w:t>充电：600×20%=120桩，每桩每日1.2车次，每次51千瓦时，按0.8元服务费和365天，首年214.4448万元。0.8元来源是2018年313号第四条；广州2018年12号转发文件明确废止2017年1号。2022年定价目录已不列电动汽车充换电服务费，配套367号第三条及政策解读要求不得保留目录外政府定价事项。因此原报告“最高限价”依据不能不加辨别地延续至2025及未来；本复核保留0.8作为经营假设，不臆造另一价格，也不把单纯收入增长认定为违反上限。证据：07、08、09、10号输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  <w:cantSplit/>
        </w:trPr>
        <w:tc>
          <w:tcPr>
            <w:tcW w:type="dxa" w:w="1949"/>
          </w:tcPr>
          <w:p>
            <w:r>
              <w:rPr>
                <w:sz w:val="18"/>
              </w:rPr>
              <w:t>充电分支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2028—2032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2033—2037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2038—2041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14年收入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rPr>
                <w:sz w:val="18"/>
              </w:rPr>
              <w:t>原表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首年214.44，其后268.05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294.86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324.35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4058.34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rPr>
                <w:sz w:val="18"/>
              </w:rPr>
              <w:t>文字周期甲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每年214.4448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基期×1.25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基期×1.25×1.10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3591.95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rPr>
                <w:sz w:val="18"/>
              </w:rPr>
              <w:t>文字周期乙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每年214.4448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基期×1.10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基期×1.10²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3289.58</w:t>
            </w:r>
          </w:p>
        </w:tc>
      </w:tr>
    </w:tbl>
    <w:p>
      <w:r>
        <w:t>报告p5文字“前5年收入每五年递增25%，第6年开始每五年递增10%”无法唯一确定首次增长的时点，但原表2029即加25%显然不同于以2028为起点满五年再调整。甲将首个五年增长25%在下一周期初体现，乙将第6年开始适用10%直接用于2033年；均只是有据解释，不宣称是编表者的唯一原意。可把增长解释为利用率/服务量变化，但应补充依据，不能从0.8元历史限价推出未来需求已实现。</w:t>
      </w:r>
    </w:p>
    <w:p>
      <w:pPr>
        <w:pStyle w:val="Heading1"/>
      </w:pPr>
      <w:r>
        <w:t>三、分支测算与压力检验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  <w:cantSplit/>
        </w:trPr>
        <w:tc>
          <w:tcPr>
            <w:tcW w:type="dxa" w:w="2436"/>
          </w:tcPr>
          <w:p>
            <w:r>
              <w:rPr>
                <w:sz w:val="18"/>
              </w:rPr>
              <w:t>情景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净收益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早版覆盖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晚版覆盖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原表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75,456.37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1.5181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1.4651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统一2%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75,410.00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1.5172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1.4642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统一5%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69,254.50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1.3934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1.3447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收费修正5%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63,727.60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1.2822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1.2374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文字周期甲2%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69,251.51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1.3933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1.3446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63,284.53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1.2733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1.2288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文字周期乙5%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62,997.28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1.2675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1.2232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原表净收益降5%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71,683.55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1.4422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1.3918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原表收入降5%成本固定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65,197.19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1.3117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1.2659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统一2%收入降5%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65,356.01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1.3149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1.2690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统一5%收入降5%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59,508.28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1.1973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1.1554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文字周期甲5%收入降5%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53,836.81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1.0832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1.0453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文字周期乙5%收入降5%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53,563.92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1.0777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1.0400</w:t>
            </w:r>
          </w:p>
        </w:tc>
      </w:tr>
    </w:tbl>
    <w:p>
      <w:r>
        <w:t>“收费修正”仅调整停车，充电仍按原表；“文字周期”同时采用修正停车和对应充电时点。其他2%/5%及压力交叉分支见工作簿38行汇总。原表使用表列两位小数；重建分支医疗收入与六项成本保持未舍入精度，显示取两位小数，不强行用隐藏数值抹平原表尾差。</w:t>
      </w:r>
    </w:p>
    <w:p>
      <w:r>
        <w:t>报告压力表71683.55=75456.37×95%。早版p9正文使用“运营收益减少5%”，其文字与算法一致；晚版p10正文改为“运营收入减少5%”，表仍用收益减5%，二者不能混同。净收益下降5%意味着少3772.82，而收入下降5%意味着少10259.18，后者若保持原表成本则净收益65197.19。</w:t>
      </w:r>
    </w:p>
    <w:p>
      <w:r>
        <w:t>联动压力公式：N(s,m)=(1−m)×R×(1−s)−F，其中m为管理费率，F为六项非管理费用路径之和，s=5%。按正文5%管理费时，未调整停车充电的晚版覆盖1.1554；最终组合甲则1.0453。不存在按同一比例整体缩放净收益、或把工资等六项费用也机械缩减5%的依据。</w:t>
      </w:r>
    </w:p>
    <w:p>
      <w:r>
        <w:t>最终采用组合甲、5%管理费作为重点补正比较分支，同时保留甲2%、乙5%及原表充电敏感性。其收入R=198899.42，F=125669.91，基准净收益63284.53。与原表比较，收入减少6284.17，成本为135614.89、增加5887.67，净收益减少12171.84；收入修正会降低管理费，不能将收入损失与固定管理费增加简单相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  <w:cantSplit/>
        </w:trPr>
        <w:tc>
          <w:tcPr>
            <w:tcW w:type="dxa" w:w="3249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到覆盖1.2的降幅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到覆盖1.0的降幅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早版，组合甲5%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1.93%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7.19%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晚版，组合甲5%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0.78%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6.24%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晚版，组合乙5%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0.63%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6.09%</w:t>
            </w:r>
          </w:p>
        </w:tc>
      </w:tr>
    </w:tbl>
    <w:p>
      <w:r>
        <w:t>容忍度公式为s=(N−kD)/[(1−m)R]，D为对应融资本息，k取1.2或1.0。负值表示基准已经低于目标，不得解释成仍有可用安全余量。这里是全周期比值的边界，不是逐年偿债安全线。</w:t>
      </w:r>
    </w:p>
    <w:p>
      <w:pPr>
        <w:pStyle w:val="Heading1"/>
      </w:pPr>
      <w:r>
        <w:t>四、资金滚动与偿债时间口径</w:t>
      </w:r>
    </w:p>
    <w:p>
      <w:r>
        <w:t>为了只比较公开预测，期初余额取0，“已融资”项1374.20计入全周期支出，不视作未来另欠一笔债。每行单年差额=净收益−本息；未补资累计余额为差额累加，最大累计缺口=max(0,−累计余额最小值)。全部正收益留存且不计息，无借新还旧、预算补贴或建设资金挪用等额外流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  <w:cantSplit/>
        </w:trPr>
        <w:tc>
          <w:tcPr>
            <w:tcW w:type="dxa" w:w="2436"/>
          </w:tcPr>
          <w:p>
            <w:r>
              <w:rPr>
                <w:sz w:val="18"/>
              </w:rPr>
              <w:t>情景及融资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最大累计缺口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时点（报告年序）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期末未补资累计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原表 / 早版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16,145.31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25,753.37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原表 / 晚版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6,617.21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23,953.47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 / 早版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16,572.14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13,581.53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 / 晚版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7,925.01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第10年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11,781.63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文字周期甲5%收入降5% / 早版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17,003.29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4,133.81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文字周期甲5%收入降5% / 晚版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11,169.23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第10年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2,333.91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rPr>
                <w:sz w:val="18"/>
              </w:rPr>
              <w:t>文字周期乙5%收入降5% / 晚版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11,198.26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第10年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2,061.02</w:t>
            </w:r>
          </w:p>
        </w:tc>
      </w:tr>
    </w:tbl>
    <w:p>
      <w:r>
        <w:t>原表早版第五年本息12093.20而收益1694.89，当年差额−10398.31；加已融资及前四年利息形成16145.31累计缺口。晚版第五年本息2507.58，差额−812.69，累计缺口6617.21。晚版第十年偿还9600本金，原表当年差额−5288.21；前期盈余留存后，其累计缺口不是全期最大值。调整组合甲后，第十年反而成为最大累计缺口点，压力下为11169.23。</w:t>
      </w:r>
    </w:p>
    <w:p>
      <w:r>
        <w:t>晚版原表末年第十八年本息20644.00、收益7358.96，单年差额−13285.04，但末期累计仍有23953.47。不能把所有单年负数简单相加作为最大一次资金需求，也不能据末期累计为正否认早期融资缺口。若另行假设历史1374.20已由外部资金覆盖且从2024开始比较，原表早/晚最大缺口分别14771.11/5243.01；这是另一个期初边界，不是本题主口径，更不是实际余额断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  <w:cantSplit/>
        </w:trPr>
        <w:tc>
          <w:tcPr>
            <w:tcW w:type="dxa" w:w="3249"/>
          </w:tcPr>
          <w:p>
            <w:r>
              <w:rPr>
                <w:sz w:val="18"/>
              </w:rPr>
              <w:t>债务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报告还本映射年份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发行年+期限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2022年20000，20年期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2041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2042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2023年1000，15年期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2038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2023年2000，10年期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2033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2024年11000早版或1400晚版，5年期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2029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rPr>
                <w:sz w:val="18"/>
              </w:rPr>
              <w:t>2024年9600晚版，10年期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2034</w:t>
            </w:r>
          </w:p>
        </w:tc>
      </w:tr>
    </w:tbl>
    <w:p>
      <w:r>
        <w:t>证据：报告p3—4、p8—9。报告将发债当年计入年末计提并按完整年度计息，第一年经2028投运反推为2024。相应年序更接近测算计提口径，并非根据逐笔起息日和兑付日编成的现金支付日历。仅凭材料不能确定每次半年付息的日内流动性，也不能自行将2042收入填零或外推并称为原报告结果。应补充实际发行批次、起息与兑付信息，重新校准会计期间、运营期及偿债期。</w:t>
      </w:r>
    </w:p>
    <w:p>
      <w:pPr>
        <w:pStyle w:val="Heading1"/>
      </w:pPr>
      <w:r>
        <w:t>五、补正清单与使用边界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r>
              <w:rPr>
                <w:sz w:val="18"/>
              </w:rPr>
              <w:t>补正事项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需要形成的可核查成果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sz w:val="18"/>
              </w:rPr>
              <w:t>融资版本与实际批次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说明公告6400与两版计划的对应、未实施计划的处理；按实际发行和拟发行分别列起息、期限、本息及支付日期。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sz w:val="18"/>
              </w:rPr>
              <w:t>收费与经营增长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停车重新计算夜间封顶，提供优惠车辆和单独核定/调价依据；说明充电0.8的经营取值和需求增长逻辑，明确五年调整时点。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sz w:val="18"/>
              </w:rPr>
              <w:t>费用与压力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确认管理费率，纠正后五年基数错配，提交公式底表；区分净收益压力与收入压力，明确费用联动方式。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sz w:val="18"/>
              </w:rPr>
              <w:t>资金衔接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说明无收益建设期、首个运营年、集中偿本年的缺口资金来源、可用金额与到位时间；说明收入缴库、专项使用及跨年盈余留存机制。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sz w:val="18"/>
              </w:rPr>
              <w:t>结论更新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用补正模型重算覆盖及年度资金滚动，再形成自求平衡意见；当前只能识别需补正事项，不能确认尚未披露的实际经营或资金安排。</w:t>
            </w:r>
          </w:p>
        </w:tc>
      </w:tr>
    </w:tbl>
    <w:p>
      <w:r>
        <w:t>10份公开输入均已取得，未用自行编造的台账或内部经营数据补齐。需要管理部门后续补充的经营批准、兑付日历和资金安排，是复核意见的处理事项，不是当前模型计算必须假造的输入。</w:t>
      </w:r>
    </w:p>
    <w:p>
      <w:r>
        <w:t>工作簿使用说明：先读“阅读说明”与“情景汇总”，再查“来源”“版本”“原表收入/费用”“融资计划”“偿债原表”“驱动复算”。“情景参数”可改变管理费和收入压力，“参数”可改变收费驱动；“情景年表”展示余额及逐年新增补资。所有计算区可见，公式无外部工作簿链接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公开预测复核参考成果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