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1CD16">
      <w:pPr>
        <w:rPr>
          <w:b/>
          <w:bCs/>
          <w:sz w:val="24"/>
          <w:szCs w:val="32"/>
        </w:rPr>
      </w:pPr>
    </w:p>
    <w:p w14:paraId="66B6705A">
      <w:pPr>
        <w:jc w:val="center"/>
        <w:rPr>
          <w:b/>
          <w:bCs/>
          <w:sz w:val="24"/>
          <w:szCs w:val="32"/>
        </w:rPr>
      </w:pPr>
    </w:p>
    <w:p w14:paraId="2E93D32E">
      <w:pPr>
        <w:jc w:val="center"/>
        <w:rPr>
          <w:b/>
          <w:bCs/>
          <w:sz w:val="24"/>
          <w:szCs w:val="32"/>
        </w:rPr>
      </w:pPr>
    </w:p>
    <w:p w14:paraId="0E7A804D">
      <w:pPr>
        <w:jc w:val="center"/>
        <w:rPr>
          <w:b/>
          <w:kern w:val="44"/>
          <w:sz w:val="52"/>
          <w:szCs w:val="52"/>
        </w:rPr>
      </w:pPr>
      <w:r>
        <w:rPr>
          <w:rFonts w:hint="eastAsia"/>
          <w:b/>
          <w:kern w:val="44"/>
          <w:sz w:val="52"/>
          <w:szCs w:val="52"/>
        </w:rPr>
        <w:t>EasyBake咖啡烘焙管理系统</w:t>
      </w:r>
    </w:p>
    <w:p w14:paraId="418C94AC">
      <w:pPr>
        <w:jc w:val="center"/>
        <w:rPr>
          <w:b/>
          <w:bCs/>
          <w:sz w:val="28"/>
          <w:szCs w:val="36"/>
        </w:rPr>
      </w:pPr>
      <w:r>
        <w:rPr>
          <w:rFonts w:hint="eastAsia"/>
          <w:b/>
          <w:bCs/>
          <w:sz w:val="28"/>
          <w:szCs w:val="36"/>
        </w:rPr>
        <w:t>版本号：V1.0</w:t>
      </w:r>
    </w:p>
    <w:p w14:paraId="183E3354">
      <w:pPr>
        <w:jc w:val="center"/>
        <w:rPr>
          <w:b/>
          <w:bCs/>
          <w:sz w:val="24"/>
          <w:szCs w:val="32"/>
        </w:rPr>
      </w:pPr>
    </w:p>
    <w:p w14:paraId="2D27503F">
      <w:pPr>
        <w:jc w:val="center"/>
        <w:rPr>
          <w:b/>
          <w:bCs/>
          <w:sz w:val="24"/>
          <w:szCs w:val="32"/>
        </w:rPr>
      </w:pPr>
    </w:p>
    <w:p w14:paraId="2BE4AE31">
      <w:pPr>
        <w:jc w:val="center"/>
        <w:rPr>
          <w:b/>
          <w:bCs/>
          <w:sz w:val="24"/>
          <w:szCs w:val="32"/>
        </w:rPr>
      </w:pPr>
    </w:p>
    <w:p w14:paraId="5DB7B640">
      <w:pPr>
        <w:jc w:val="center"/>
        <w:rPr>
          <w:b/>
          <w:bCs/>
          <w:sz w:val="24"/>
          <w:szCs w:val="32"/>
        </w:rPr>
      </w:pPr>
    </w:p>
    <w:p w14:paraId="5B881C3C">
      <w:pPr>
        <w:jc w:val="center"/>
        <w:rPr>
          <w:b/>
          <w:bCs/>
          <w:sz w:val="24"/>
          <w:szCs w:val="32"/>
        </w:rPr>
      </w:pPr>
    </w:p>
    <w:p w14:paraId="7FEFDA00">
      <w:pPr>
        <w:jc w:val="center"/>
        <w:rPr>
          <w:b/>
          <w:bCs/>
          <w:sz w:val="24"/>
          <w:szCs w:val="32"/>
        </w:rPr>
      </w:pPr>
    </w:p>
    <w:p w14:paraId="531AE24B">
      <w:pPr>
        <w:jc w:val="center"/>
        <w:rPr>
          <w:b/>
          <w:bCs/>
          <w:sz w:val="24"/>
          <w:szCs w:val="32"/>
        </w:rPr>
      </w:pPr>
    </w:p>
    <w:p w14:paraId="7C702FE6">
      <w:pPr>
        <w:jc w:val="center"/>
        <w:rPr>
          <w:b/>
          <w:bCs/>
          <w:sz w:val="24"/>
          <w:szCs w:val="32"/>
        </w:rPr>
      </w:pPr>
    </w:p>
    <w:p w14:paraId="31547737">
      <w:pPr>
        <w:jc w:val="center"/>
        <w:rPr>
          <w:b/>
          <w:bCs/>
          <w:sz w:val="24"/>
          <w:szCs w:val="32"/>
        </w:rPr>
      </w:pPr>
    </w:p>
    <w:p w14:paraId="1CA458F6">
      <w:pPr>
        <w:jc w:val="center"/>
        <w:rPr>
          <w:b/>
          <w:bCs/>
          <w:sz w:val="24"/>
          <w:szCs w:val="32"/>
        </w:rPr>
      </w:pPr>
    </w:p>
    <w:p w14:paraId="0AE7AD0D">
      <w:pPr>
        <w:jc w:val="center"/>
        <w:rPr>
          <w:b/>
          <w:bCs/>
          <w:sz w:val="24"/>
          <w:szCs w:val="32"/>
        </w:rPr>
      </w:pPr>
    </w:p>
    <w:p w14:paraId="490C8EBA">
      <w:pPr>
        <w:jc w:val="center"/>
        <w:rPr>
          <w:b/>
          <w:bCs/>
          <w:sz w:val="24"/>
          <w:szCs w:val="32"/>
        </w:rPr>
      </w:pPr>
    </w:p>
    <w:p w14:paraId="4DD8AEE4">
      <w:pPr>
        <w:jc w:val="center"/>
        <w:rPr>
          <w:b/>
          <w:bCs/>
          <w:sz w:val="24"/>
          <w:szCs w:val="32"/>
        </w:rPr>
      </w:pPr>
    </w:p>
    <w:p w14:paraId="567221D3">
      <w:pPr>
        <w:jc w:val="center"/>
        <w:rPr>
          <w:b/>
          <w:bCs/>
          <w:sz w:val="28"/>
          <w:szCs w:val="36"/>
        </w:rPr>
      </w:pPr>
    </w:p>
    <w:p w14:paraId="1FC48EEE">
      <w:pPr>
        <w:jc w:val="center"/>
        <w:rPr>
          <w:b/>
          <w:bCs/>
          <w:sz w:val="44"/>
          <w:szCs w:val="52"/>
        </w:rPr>
      </w:pPr>
      <w:r>
        <w:rPr>
          <w:rFonts w:hint="eastAsia"/>
          <w:b/>
          <w:bCs/>
          <w:sz w:val="52"/>
          <w:szCs w:val="72"/>
        </w:rPr>
        <w:t>使用说明书</w:t>
      </w:r>
    </w:p>
    <w:p w14:paraId="6F4602F9">
      <w:pPr>
        <w:widowControl w:val="0"/>
        <w:spacing w:line="360" w:lineRule="auto"/>
        <w:ind w:left="360" w:firstLine="0" w:firstLineChars="0"/>
        <w:jc w:val="both"/>
        <w:rPr>
          <w:rFonts w:ascii="宋体" w:hAnsi="宋体" w:eastAsia="宋体" w:cs="Times New Roman"/>
          <w:b/>
          <w:bCs/>
          <w:kern w:val="2"/>
          <w:sz w:val="28"/>
          <w:szCs w:val="28"/>
          <w:lang w:val="en-US" w:eastAsia="zh-CN" w:bidi="ar-SA"/>
        </w:rPr>
      </w:pPr>
    </w:p>
    <w:p w14:paraId="28FA8252">
      <w:pPr>
        <w:jc w:val="center"/>
        <w:rPr>
          <w:b/>
          <w:bCs/>
          <w:sz w:val="24"/>
          <w:szCs w:val="32"/>
        </w:rPr>
      </w:pPr>
    </w:p>
    <w:p w14:paraId="062028EF">
      <w:pPr>
        <w:jc w:val="center"/>
        <w:rPr>
          <w:b/>
          <w:bCs/>
          <w:sz w:val="24"/>
          <w:szCs w:val="32"/>
        </w:rPr>
      </w:pPr>
    </w:p>
    <w:p w14:paraId="78AAF534">
      <w:pPr>
        <w:jc w:val="center"/>
        <w:rPr>
          <w:b/>
          <w:bCs/>
          <w:sz w:val="24"/>
          <w:szCs w:val="32"/>
        </w:rPr>
      </w:pPr>
    </w:p>
    <w:p w14:paraId="674B15D8">
      <w:pPr>
        <w:jc w:val="center"/>
        <w:rPr>
          <w:b/>
          <w:bCs/>
          <w:sz w:val="24"/>
          <w:szCs w:val="32"/>
        </w:rPr>
      </w:pPr>
    </w:p>
    <w:p w14:paraId="6F790D8E">
      <w:pPr>
        <w:jc w:val="center"/>
        <w:rPr>
          <w:b/>
          <w:bCs/>
          <w:sz w:val="24"/>
          <w:szCs w:val="32"/>
        </w:rPr>
      </w:pPr>
    </w:p>
    <w:p w14:paraId="27E1FF41">
      <w:pPr>
        <w:jc w:val="center"/>
        <w:rPr>
          <w:b/>
          <w:bCs/>
          <w:sz w:val="24"/>
          <w:szCs w:val="32"/>
        </w:rPr>
      </w:pPr>
    </w:p>
    <w:p w14:paraId="59B2284D">
      <w:pPr>
        <w:jc w:val="center"/>
        <w:rPr>
          <w:b/>
          <w:bCs/>
          <w:sz w:val="24"/>
          <w:szCs w:val="32"/>
        </w:rPr>
      </w:pPr>
    </w:p>
    <w:p w14:paraId="72626EBD">
      <w:pPr>
        <w:jc w:val="center"/>
        <w:rPr>
          <w:b/>
          <w:bCs/>
          <w:sz w:val="24"/>
          <w:szCs w:val="32"/>
        </w:rPr>
      </w:pPr>
    </w:p>
    <w:p w14:paraId="461F3ED3">
      <w:pPr>
        <w:rPr>
          <w:bCs/>
          <w:sz w:val="144"/>
          <w:szCs w:val="48"/>
        </w:rPr>
      </w:pPr>
    </w:p>
    <w:p w14:paraId="10BD5230">
      <w:pPr>
        <w:sectPr>
          <w:headerReference r:id="rId3" w:type="default"/>
          <w:footerReference r:id="rId4" w:type="default"/>
          <w:pgSz w:w="11906" w:h="16838"/>
          <w:pgMar w:top="1440" w:right="1800" w:bottom="1440" w:left="1800" w:header="851" w:footer="992" w:gutter="0"/>
          <w:cols w:space="425" w:num="1"/>
          <w:docGrid w:type="lines" w:linePitch="312" w:charSpace="0"/>
        </w:sectPr>
      </w:pPr>
    </w:p>
    <w:p w14:paraId="3260E36D">
      <w:pPr>
        <w:keepNext w:val="0"/>
        <w:keepLines w:val="0"/>
        <w:pageBreakBefore w:val="0"/>
        <w:widowControl w:val="0"/>
        <w:kinsoku/>
        <w:wordWrap/>
        <w:overflowPunct/>
        <w:topLinePunct w:val="0"/>
        <w:autoSpaceDE/>
        <w:autoSpaceDN/>
        <w:bidi w:val="0"/>
        <w:adjustRightInd/>
        <w:snapToGrid/>
        <w:spacing w:before="100" w:after="100" w:line="360" w:lineRule="auto"/>
        <w:jc w:val="center"/>
        <w:textAlignment w:val="auto"/>
        <w:outlineLvl w:val="0"/>
        <w:rPr>
          <w:rFonts w:hint="eastAsia" w:ascii="宋体" w:hAnsi="宋体" w:eastAsia="宋体" w:cs="宋体"/>
          <w:b/>
          <w:bCs/>
          <w:kern w:val="0"/>
          <w:sz w:val="28"/>
          <w:szCs w:val="28"/>
          <w:lang w:val="en-US" w:eastAsia="zh-CN" w:bidi="ar-SA"/>
        </w:rPr>
      </w:pPr>
      <w:bookmarkStart w:id="0" w:name="_Toc29940_WPSOffice_Level1"/>
      <w:bookmarkStart w:id="1" w:name="_Toc26857"/>
      <w:r>
        <w:rPr>
          <w:rFonts w:ascii="Times New Roman" w:hAnsi="Times New Roman" w:eastAsia="宋体" w:cs="Times New Roman"/>
          <w:b/>
          <w:bCs/>
          <w:kern w:val="2"/>
          <w:sz w:val="28"/>
          <w:szCs w:val="28"/>
          <w:lang w:val="en-US" w:eastAsia="zh-CN" w:bidi="ar-SA"/>
        </w:rPr>
        <w:t>引   言</w:t>
      </w:r>
      <w:bookmarkEnd w:id="0"/>
      <w:bookmarkEnd w:id="1"/>
    </w:p>
    <w:p w14:paraId="1F7767C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bookmarkStart w:id="2" w:name="_Toc29831"/>
      <w:bookmarkStart w:id="3" w:name="_Toc11792_WPSOffice_Level1"/>
      <w:bookmarkStart w:id="4" w:name="_Toc30492_WPSOffice_Level1"/>
      <w:r>
        <w:rPr>
          <w:rFonts w:hint="eastAsia" w:ascii="Times New Roman" w:hAnsi="Times New Roman" w:eastAsia="宋体" w:cs="宋体"/>
          <w:kern w:val="0"/>
          <w:sz w:val="24"/>
          <w:szCs w:val="24"/>
          <w:lang w:val="en-US" w:eastAsia="zh-CN"/>
        </w:rPr>
        <w:t>随着精品咖啡消费市场的发展，咖啡烘焙业务呈现原料种类多、工艺参数复杂、生产批次频繁和经营数据分散等特点。传统纸质表格或普通电子表格管理方式，易出现生豆资料不完整、库存更新不及时、烘焙方案难以复用、生产记录难追溯及成本核算不准确等问题。</w:t>
      </w:r>
    </w:p>
    <w:p w14:paraId="589BCC4E">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EasyBake咖啡烘焙工艺与经营管理系统围绕生豆采购、库存管理、烘焙计划、烘焙记录、品质评价、成本计算和财务台账等环节设计，将分散数据形成关联业务档案。用户可在统一浏览器界面维护生豆产地、处理法、品种、风味、采购价格和库存余量等信息，并根据生豆特征、目标烘焙程度及设备条件建立节点化烘焙计划，实现从原料入库、烘焙生产到品质复盘和经营核算的完整流程。系统可依据投豆量、出豆量、采购成本、脱水率、能源、人工、包装及目标利润率，自动计算库存、损耗、成本和建议售价；通过时间、事件、炉温、风温、火力和转速等参数记录关键烘焙节点，使工艺标准化、可执行、可复用。同时支持手动创建、结构化导入和智能推荐，并关联烘焙历史、杯测评价及收支记录，为生产管理和经营决策提供可靠数据支持。</w:t>
      </w:r>
    </w:p>
    <w:p w14:paraId="36E5DA40">
      <w:pPr>
        <w:keepNext/>
        <w:keepLines/>
        <w:pageBreakBefore w:val="0"/>
        <w:widowControl w:val="0"/>
        <w:kinsoku/>
        <w:wordWrap/>
        <w:overflowPunct/>
        <w:topLinePunct w:val="0"/>
        <w:autoSpaceDE/>
        <w:autoSpaceDN/>
        <w:bidi w:val="0"/>
        <w:adjustRightInd/>
        <w:snapToGrid/>
        <w:spacing w:before="100" w:after="100" w:line="360" w:lineRule="auto"/>
        <w:jc w:val="both"/>
        <w:textAlignment w:val="auto"/>
        <w:outlineLvl w:val="0"/>
        <w:rPr>
          <w:rFonts w:ascii="Times New Roman" w:hAnsi="Times New Roman" w:eastAsia="宋体" w:cs="Times New Roman"/>
          <w:b/>
          <w:kern w:val="44"/>
          <w:sz w:val="30"/>
          <w:szCs w:val="30"/>
          <w:lang w:val="en-US" w:eastAsia="zh-CN" w:bidi="ar-SA"/>
        </w:rPr>
      </w:pPr>
      <w:r>
        <w:rPr>
          <w:rFonts w:ascii="Times New Roman" w:hAnsi="Times New Roman" w:eastAsia="宋体" w:cs="Times New Roman"/>
          <w:b/>
          <w:kern w:val="44"/>
          <w:sz w:val="30"/>
          <w:szCs w:val="30"/>
          <w:lang w:val="en-US" w:eastAsia="zh-CN" w:bidi="ar-SA"/>
        </w:rPr>
        <w:t>1 系统</w:t>
      </w:r>
      <w:r>
        <w:rPr>
          <w:rFonts w:hint="eastAsia" w:ascii="Times New Roman" w:hAnsi="Times New Roman" w:eastAsia="宋体" w:cs="Times New Roman"/>
          <w:b/>
          <w:kern w:val="44"/>
          <w:sz w:val="30"/>
          <w:szCs w:val="30"/>
          <w:lang w:val="en-US" w:eastAsia="zh-CN" w:bidi="ar-SA"/>
        </w:rPr>
        <w:t>研发背景及</w:t>
      </w:r>
      <w:r>
        <w:rPr>
          <w:rFonts w:ascii="Times New Roman" w:hAnsi="Times New Roman" w:eastAsia="宋体" w:cs="Times New Roman"/>
          <w:b/>
          <w:kern w:val="44"/>
          <w:sz w:val="30"/>
          <w:szCs w:val="30"/>
          <w:lang w:val="en-US" w:eastAsia="zh-CN" w:bidi="ar-SA"/>
        </w:rPr>
        <w:t>总体概述</w:t>
      </w:r>
      <w:bookmarkEnd w:id="2"/>
      <w:bookmarkEnd w:id="3"/>
      <w:bookmarkEnd w:id="4"/>
    </w:p>
    <w:p w14:paraId="56840366">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1.1研发背景</w:t>
      </w:r>
    </w:p>
    <w:p w14:paraId="79A96A5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近年来，精品咖啡行业快速发展，烘焙门店、独立工作室及小型生产企业的业务规模不断扩大。生豆来源、处理法、品种和风味日益丰富，不同咖啡豆需匹配相应设备、批次重量、烘焙程度和工艺参数。随着采购与生产批次增加，经营者不仅要掌握生豆库存，还需保存烘焙计划、记录实际生产数据、评价烘焙效果，并分析成本与收益。传统纸质记录或电子表格虽能保存基础资料，但数据通常相互独立，难以形成从原料采购、库存消耗、烘焙生产到财务核算的完整链条，易造成重复录入、库存更新滞后、历史方案难查及成本统计不准确等问题。</w:t>
      </w:r>
    </w:p>
    <w:p w14:paraId="3B77B34A">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咖啡烘焙具有较强专业性和经验性。投豆、回温、转黄、一爆、发展及下豆等节点，受炉温、火力、风温、滚筒转速和环境条件共同影响。若缺少统一记录，优秀方案难以保存、复制和优化，新员工也难以快速掌握工艺要求。同时，烘焙损耗、采购成本、能源、人工、包装和利润率等因素直接影响产品定价与经营收益。</w:t>
      </w:r>
    </w:p>
    <w:p w14:paraId="52D105C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基于此，研发EasyBake咖啡烘焙工艺与经营管理系统。系统以生豆库存为基础，以烘焙计划和历史为核心，以成本核算和财务台账为分析手段，实现资料维护、库存管理、节点化方案编排、批次记录、品质评价、成本计算及收支登记等功能，为工艺复盘、库存控制、成本分析和经营决策提供可靠支持。</w:t>
      </w:r>
    </w:p>
    <w:p w14:paraId="462E2301">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1.2 总体概述</w:t>
      </w:r>
    </w:p>
    <w:p w14:paraId="6EF22000">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EasyBake咖啡烘焙工艺与经营管理系统是一套面向咖啡烘焙门店、独立工作室及小型生产企业的综合管理软件。系统以烘焙生产流程为主线，集中管理生豆资料、库存数量、烘焙设备、烘焙计划、生产批次、品质评价、成本核算和财务收支等信息，建立从生豆采购入库、方案制定、生产记录到成本及收益分析的完整业务链。用户可通过浏览器在统一界面完成数据新增、查询、修改、筛选和统计，减少重复记录与分散管理造成的数据差异。</w:t>
      </w:r>
    </w:p>
    <w:p w14:paraId="483B89D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系统包括生豆库存、烘焙计划、烘焙历史、财务管理和系统设置五个模块。生豆库存模块记录名称、产地、品种、处理法、风味、采购信息及余量；烘焙计划模块按时间顺序编排入豆、回温、转黄、一爆和下豆等节点，并维护炉温、风温、火力和滚筒转速等参数；烘焙历史模块保存投豆量、出豆量、损耗率、烘焙时间和品质评价，并与库存联动；财务模块计算批次成本、单位成本、建议售价和利润率，并管理收入、支出记录；系统设置模块维护设备、成本模板及显示偏好等配置。</w:t>
      </w:r>
    </w:p>
    <w:p w14:paraId="46CD44C2">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系统采用模块化与数据关联设计。烘焙计划关联生豆和设备，烘焙历史可引用既有计划并更新库存，成本核算则结合采购价格、生产投入、熟豆产出及费用参数生成结果，使工艺信息结构化、可查询、可复用，为生产记录和经营决策提供依据。</w:t>
      </w:r>
    </w:p>
    <w:p w14:paraId="3207408B">
      <w:pPr>
        <w:keepNext/>
        <w:keepLines/>
        <w:pageBreakBefore w:val="0"/>
        <w:widowControl w:val="0"/>
        <w:kinsoku/>
        <w:wordWrap/>
        <w:overflowPunct/>
        <w:topLinePunct w:val="0"/>
        <w:autoSpaceDE/>
        <w:autoSpaceDN/>
        <w:bidi w:val="0"/>
        <w:adjustRightInd/>
        <w:snapToGrid/>
        <w:spacing w:before="100" w:after="100" w:line="360" w:lineRule="auto"/>
        <w:jc w:val="both"/>
        <w:textAlignment w:val="auto"/>
        <w:outlineLvl w:val="0"/>
        <w:rPr>
          <w:rFonts w:ascii="Times New Roman" w:hAnsi="Times New Roman" w:eastAsia="宋体" w:cs="Times New Roman"/>
          <w:b/>
          <w:kern w:val="44"/>
          <w:sz w:val="30"/>
          <w:szCs w:val="30"/>
          <w:lang w:val="en-US" w:eastAsia="zh-CN" w:bidi="ar-SA"/>
        </w:rPr>
      </w:pPr>
      <w:r>
        <w:rPr>
          <w:rFonts w:hint="eastAsia" w:ascii="Times New Roman" w:hAnsi="Times New Roman" w:eastAsia="宋体" w:cs="Times New Roman"/>
          <w:b/>
          <w:kern w:val="44"/>
          <w:sz w:val="30"/>
          <w:szCs w:val="30"/>
          <w:lang w:val="en-US" w:eastAsia="zh-CN" w:bidi="ar-SA"/>
        </w:rPr>
        <w:t>2</w:t>
      </w:r>
      <w:r>
        <w:rPr>
          <w:rFonts w:ascii="Times New Roman" w:hAnsi="Times New Roman" w:eastAsia="宋体" w:cs="Times New Roman"/>
          <w:b/>
          <w:kern w:val="44"/>
          <w:sz w:val="30"/>
          <w:szCs w:val="30"/>
          <w:lang w:val="en-US" w:eastAsia="zh-CN" w:bidi="ar-SA"/>
        </w:rPr>
        <w:t xml:space="preserve"> 系统</w:t>
      </w:r>
      <w:r>
        <w:rPr>
          <w:rFonts w:hint="eastAsia" w:ascii="Times New Roman" w:hAnsi="Times New Roman" w:eastAsia="宋体" w:cs="Times New Roman"/>
          <w:b/>
          <w:kern w:val="44"/>
          <w:sz w:val="30"/>
          <w:szCs w:val="30"/>
          <w:lang w:val="en-US" w:eastAsia="zh-CN" w:bidi="ar-SA"/>
        </w:rPr>
        <w:t>相关技术介绍</w:t>
      </w:r>
    </w:p>
    <w:p w14:paraId="44551043">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bookmarkStart w:id="5" w:name="_Toc22064"/>
      <w:bookmarkStart w:id="6" w:name="_Hlk9956834"/>
      <w:r>
        <w:rPr>
          <w:rFonts w:hint="eastAsia" w:ascii="Times New Roman" w:hAnsi="Times New Roman" w:eastAsia="宋体" w:cs="Times New Roman"/>
          <w:b/>
          <w:bCs/>
          <w:kern w:val="2"/>
          <w:sz w:val="28"/>
          <w:szCs w:val="20"/>
          <w:lang w:val="en-US" w:eastAsia="zh-CN" w:bidi="ar-SA"/>
        </w:rPr>
        <w:t>2.1 开发工具</w:t>
      </w:r>
      <w:bookmarkEnd w:id="5"/>
    </w:p>
    <w:p w14:paraId="79518B0C">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Visual Studio Code、Node.js、npm、Vite、Git、Chrome DevTools</w:t>
      </w:r>
    </w:p>
    <w:p w14:paraId="586E0142">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bookmarkStart w:id="7" w:name="_Toc7806"/>
      <w:r>
        <w:rPr>
          <w:rFonts w:hint="eastAsia" w:ascii="Times New Roman" w:hAnsi="Times New Roman" w:eastAsia="宋体" w:cs="Times New Roman"/>
          <w:b/>
          <w:bCs/>
          <w:kern w:val="2"/>
          <w:sz w:val="28"/>
          <w:szCs w:val="20"/>
          <w:lang w:val="en-US" w:eastAsia="zh-CN" w:bidi="ar-SA"/>
        </w:rPr>
        <w:t>2.2 开发语言</w:t>
      </w:r>
      <w:bookmarkEnd w:id="7"/>
    </w:p>
    <w:p w14:paraId="1C57A06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JavaScript、HTML5、CSS3、SQL。</w:t>
      </w:r>
    </w:p>
    <w:p w14:paraId="4BDE732D">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bookmarkStart w:id="8" w:name="_Toc28495"/>
      <w:bookmarkStart w:id="9" w:name="_Toc30278"/>
      <w:r>
        <w:rPr>
          <w:rFonts w:hint="eastAsia" w:ascii="Times New Roman" w:hAnsi="Times New Roman" w:eastAsia="宋体" w:cs="Times New Roman"/>
          <w:b/>
          <w:bCs/>
          <w:kern w:val="2"/>
          <w:sz w:val="28"/>
          <w:szCs w:val="20"/>
          <w:lang w:val="en-US" w:eastAsia="zh-CN" w:bidi="ar-SA"/>
        </w:rPr>
        <w:t xml:space="preserve">2.3 </w:t>
      </w:r>
      <w:bookmarkEnd w:id="8"/>
      <w:r>
        <w:rPr>
          <w:rFonts w:hint="eastAsia" w:ascii="Times New Roman" w:hAnsi="Times New Roman" w:eastAsia="宋体" w:cs="Times New Roman"/>
          <w:b/>
          <w:bCs/>
          <w:kern w:val="2"/>
          <w:sz w:val="28"/>
          <w:szCs w:val="20"/>
          <w:lang w:val="en-US" w:eastAsia="zh-CN" w:bidi="ar-SA"/>
        </w:rPr>
        <w:t>开发框架</w:t>
      </w:r>
      <w:bookmarkEnd w:id="9"/>
    </w:p>
    <w:bookmarkEnd w:id="6"/>
    <w:p w14:paraId="2CE49095">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 xml:space="preserve"> React 前端框架、Ant Design UI 组件库、PocketBase 数据服务、Vite 构建框架、React Router 路由管理、TanStack Query 数据请求、Zustand 状态管理、Tailwind CSS 样式框架。</w:t>
      </w:r>
    </w:p>
    <w:p w14:paraId="2E08C9EC">
      <w:pPr>
        <w:keepNext/>
        <w:keepLines/>
        <w:pageBreakBefore w:val="0"/>
        <w:widowControl w:val="0"/>
        <w:kinsoku/>
        <w:wordWrap/>
        <w:overflowPunct/>
        <w:topLinePunct w:val="0"/>
        <w:autoSpaceDE/>
        <w:autoSpaceDN/>
        <w:bidi w:val="0"/>
        <w:adjustRightInd/>
        <w:snapToGrid/>
        <w:spacing w:before="100" w:after="100" w:line="360" w:lineRule="auto"/>
        <w:jc w:val="both"/>
        <w:textAlignment w:val="auto"/>
        <w:outlineLvl w:val="0"/>
        <w:rPr>
          <w:rFonts w:hint="default" w:ascii="Times New Roman" w:hAnsi="Times New Roman" w:eastAsia="宋体" w:cs="Times New Roman"/>
          <w:b/>
          <w:kern w:val="44"/>
          <w:sz w:val="30"/>
          <w:szCs w:val="30"/>
          <w:lang w:val="en-US" w:eastAsia="zh-CN" w:bidi="ar-SA"/>
        </w:rPr>
      </w:pPr>
      <w:r>
        <w:rPr>
          <w:rFonts w:hint="default" w:ascii="Times New Roman" w:hAnsi="Times New Roman" w:eastAsia="宋体" w:cs="Times New Roman"/>
          <w:b/>
          <w:kern w:val="44"/>
          <w:sz w:val="30"/>
          <w:szCs w:val="30"/>
          <w:lang w:val="en-US" w:eastAsia="zh-CN" w:bidi="ar-SA"/>
        </w:rPr>
        <w:t>3 所用算法说明</w:t>
      </w:r>
    </w:p>
    <w:p w14:paraId="279DEEE9">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本系统所用算法主要包括生豆单位成本计算、库存联动、烘焙损耗计算、节点排序、批次成本核算以及建议售价计算。系统首先对用户录入的数据进行完整性和有效性校验，再根据不同业务模块调用相应的计算规则，最终生成库存余量、烘焙损耗率、批次成本、单位成本、建议售价和利润率等结果。</w:t>
      </w:r>
    </w:p>
    <w:p w14:paraId="7552219D">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3.1 算法总体处理流程</w:t>
      </w:r>
    </w:p>
    <w:p w14:paraId="07607E0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系统采用模块化计算方式。生豆采购数据用于生成库存和单位成本；烘焙记录用于计算生豆消耗、熟豆产出和烘焙损耗；成本模板用于汇总能源、人工、包装及其他费用；最终计算结果保存到对应业务记录中，供用户查询和分析。</w:t>
      </w:r>
    </w:p>
    <w:p w14:paraId="1A9AD7FA">
      <w:pPr>
        <w:widowControl/>
        <w:spacing w:line="360" w:lineRule="auto"/>
        <w:jc w:val="center"/>
        <w:rPr>
          <w:rFonts w:hint="default" w:ascii="宋体" w:hAnsi="宋体" w:cs="宋体"/>
          <w:kern w:val="0"/>
          <w:szCs w:val="22"/>
          <w:lang w:val="en-US" w:eastAsia="zh-CN"/>
        </w:rPr>
      </w:pPr>
      <w:r>
        <w:rPr>
          <w:rFonts w:hint="default" w:ascii="宋体" w:hAnsi="宋体" w:cs="宋体"/>
          <w:kern w:val="0"/>
          <w:szCs w:val="22"/>
          <w:lang w:val="en-US" w:eastAsia="zh-CN"/>
        </w:rPr>
        <w:drawing>
          <wp:inline distT="0" distB="0" distL="114300" distR="114300">
            <wp:extent cx="5273040" cy="1499870"/>
            <wp:effectExtent l="0" t="0" r="10160" b="241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8"/>
                    <a:stretch>
                      <a:fillRect/>
                    </a:stretch>
                  </pic:blipFill>
                  <pic:spPr>
                    <a:xfrm>
                      <a:off x="0" y="0"/>
                      <a:ext cx="5273040" cy="1499870"/>
                    </a:xfrm>
                    <a:prstGeom prst="rect">
                      <a:avLst/>
                    </a:prstGeom>
                    <a:noFill/>
                    <a:ln>
                      <a:noFill/>
                    </a:ln>
                  </pic:spPr>
                </pic:pic>
              </a:graphicData>
            </a:graphic>
          </wp:inline>
        </w:drawing>
      </w:r>
    </w:p>
    <w:p w14:paraId="1BBBA66B">
      <w:pPr>
        <w:widowControl/>
        <w:spacing w:line="360" w:lineRule="auto"/>
        <w:jc w:val="center"/>
        <w:rPr>
          <w:rFonts w:hint="default" w:ascii="宋体" w:hAnsi="宋体" w:eastAsia="宋体" w:cs="宋体"/>
          <w:kern w:val="0"/>
          <w:szCs w:val="22"/>
          <w:lang w:val="en-US" w:eastAsia="zh-CN"/>
        </w:rPr>
      </w:pPr>
      <w:r>
        <w:rPr>
          <w:rFonts w:hint="eastAsia"/>
          <w:b/>
        </w:rPr>
        <w:t>图3.</w:t>
      </w:r>
      <w:r>
        <w:rPr>
          <w:rFonts w:hint="eastAsia"/>
          <w:b/>
          <w:lang w:val="en-US" w:eastAsia="zh-CN"/>
        </w:rPr>
        <w:t>1 总体处理流程图</w:t>
      </w:r>
    </w:p>
    <w:p w14:paraId="1CC3902E">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3.2 生豆单位成本计算</w:t>
      </w:r>
    </w:p>
    <w:p w14:paraId="25F3026B">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系统根据生豆采购总价和采购重量计算单位采购成本。采购重量通常以克为单位录入，库存单价以元/千克为单位显示，因此需要进行重量单位换算。</w:t>
      </w:r>
    </w:p>
    <w:p w14:paraId="4DECF786">
      <w:pPr>
        <w:widowControl/>
        <w:spacing w:line="360" w:lineRule="auto"/>
        <w:jc w:val="center"/>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b</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r>
                <m:rPr/>
                <w:rPr>
                  <w:rFonts w:hint="default" w:ascii="DejaVu Math TeX Gyre" w:hAnsi="DejaVu Math TeX Gyre" w:eastAsia="宋体"/>
                  <w:sz w:val="21"/>
                </w:rPr>
                <m:t>P</m:t>
              </m:r>
              <m:ctrlPr>
                <w:rPr>
                  <w:rFonts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×1000</m:t>
          </m:r>
        </m:oMath>
      </m:oMathPara>
    </w:p>
    <w:p w14:paraId="41C16973">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r>
          <m:rPr>
            <m:sty m:val="p"/>
          </m:rPr>
          <w:rPr>
            <w:rFonts w:hint="default" w:ascii="Times New Roman" w:hAnsi="Times New Roman" w:eastAsia="宋体" w:cs="宋体"/>
            <w:kern w:val="0"/>
            <w:sz w:val="24"/>
            <w:szCs w:val="24"/>
            <w:lang w:val="en-US" w:eastAsia="zh-CN"/>
          </w:rPr>
          <m:t>C_b</m:t>
        </m:r>
      </m:oMath>
      <w:r>
        <w:rPr>
          <w:rFonts w:hint="eastAsia" w:ascii="Times New Roman" w:hAnsi="Times New Roman" w:eastAsia="宋体" w:cs="宋体"/>
          <w:kern w:val="0"/>
          <w:sz w:val="24"/>
          <w:szCs w:val="24"/>
          <w:lang w:val="en-US" w:eastAsia="zh-CN"/>
        </w:rPr>
        <w:t>表示生豆单位成本，单位为元/千克；</w:t>
      </w:r>
      <m:oMath>
        <m:r>
          <m:rPr>
            <m:sty m:val="p"/>
          </m:rPr>
          <w:rPr>
            <w:rFonts w:hint="eastAsia" w:ascii="Times New Roman" w:hAnsi="Times New Roman" w:eastAsia="宋体" w:cs="宋体"/>
            <w:kern w:val="0"/>
            <w:sz w:val="24"/>
            <w:szCs w:val="24"/>
            <w:lang w:val="en-US" w:eastAsia="zh-CN"/>
          </w:rPr>
          <m:t>P</m:t>
        </m:r>
      </m:oMath>
      <w:r>
        <w:rPr>
          <w:rFonts w:hint="default" w:ascii="Times New Roman" w:hAnsi="Times New Roman" w:eastAsia="宋体" w:cs="宋体"/>
          <w:kern w:val="0"/>
          <w:sz w:val="24"/>
          <w:szCs w:val="24"/>
          <w:lang w:val="en-US" w:eastAsia="zh-CN"/>
        </w:rPr>
        <w:t>表示该批生豆的采购总价，单位为元；</w:t>
      </w:r>
      <m:oMath>
        <m:r>
          <m:rPr>
            <m:sty m:val="p"/>
          </m:rPr>
          <w:rPr>
            <w:rFonts w:hint="eastAsia" w:ascii="Times New Roman" w:hAnsi="Times New Roman" w:eastAsia="宋体" w:cs="宋体"/>
            <w:kern w:val="0"/>
            <w:sz w:val="24"/>
            <w:szCs w:val="24"/>
            <w:lang w:val="en-US" w:eastAsia="zh-CN"/>
          </w:rPr>
          <m:t>W_p</m:t>
        </m:r>
      </m:oMath>
      <w:r>
        <w:rPr>
          <w:rFonts w:hint="default" w:ascii="Times New Roman" w:hAnsi="Times New Roman" w:eastAsia="宋体" w:cs="宋体"/>
          <w:kern w:val="0"/>
          <w:sz w:val="24"/>
          <w:szCs w:val="24"/>
          <w:lang w:val="en-US" w:eastAsia="zh-CN"/>
        </w:rPr>
        <w:t>表示采购重量，单位为克。</w:t>
      </w:r>
    </w:p>
    <w:p w14:paraId="0E32839C">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3.3 库存联动算法</w:t>
      </w:r>
    </w:p>
    <w:p w14:paraId="3BDF6154">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系统以生豆采购重量作为初始库存，并根据有效烘焙记录中的投豆量扣减库存。</w:t>
      </w:r>
    </w:p>
    <w:p w14:paraId="20F99D03">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r</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r>
            <m:rPr/>
            <w:rPr>
              <w:rFonts w:hint="default" w:ascii="DejaVu Math TeX Gyre" w:hAnsi="DejaVu Math TeX Gyre" w:eastAsia="宋体"/>
              <w:sz w:val="21"/>
            </w:rPr>
            <m:t>−</m:t>
          </m:r>
          <m:nary>
            <m:naryPr>
              <m:chr m:val="∑"/>
              <m:limLoc m:val="subSup"/>
              <m:ctrlPr>
                <w:rPr>
                  <w:rFonts w:hint="default" w:ascii="DejaVu Math TeX Gyre" w:hAnsi="DejaVu Math TeX Gyre" w:eastAsia="宋体"/>
                  <w:sz w:val="21"/>
                </w:rPr>
              </m:ctrlPr>
            </m:naryPr>
            <m:sub>
              <m:r>
                <m:rPr/>
                <w:rPr>
                  <w:rFonts w:hint="default" w:ascii="DejaVu Math TeX Gyre" w:hAnsi="DejaVu Math TeX Gyre" w:eastAsia="宋体"/>
                  <w:sz w:val="21"/>
                </w:rPr>
                <m:t>i=1</m:t>
              </m:r>
              <m:ctrlPr>
                <w:rPr>
                  <w:rFonts w:ascii="DejaVu Math TeX Gyre" w:hAnsi="DejaVu Math TeX Gyre" w:eastAsia="宋体"/>
                  <w:sz w:val="21"/>
                </w:rPr>
              </m:ctrlPr>
            </m:sub>
            <m:sup>
              <m:r>
                <m:rPr/>
                <w:rPr>
                  <w:rFonts w:hint="default" w:ascii="DejaVu Math TeX Gyre" w:hAnsi="DejaVu Math TeX Gyre" w:eastAsia="宋体"/>
                  <w:sz w:val="21"/>
                </w:rPr>
                <m:t>n</m:t>
              </m:r>
              <m:ctrlPr>
                <w:rPr>
                  <w:rFonts w:ascii="DejaVu Math TeX Gyre" w:hAnsi="DejaVu Math TeX Gyre" w:eastAsia="宋体"/>
                  <w:sz w:val="21"/>
                </w:rPr>
              </m:ctrlPr>
            </m:sup>
            <m:e>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e>
          </m:nary>
        </m:oMath>
      </m:oMathPara>
    </w:p>
    <w:p w14:paraId="400AB028">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l</m:t>
            </m:r>
            <m:ctrlPr>
              <w:rPr>
                <w:rFonts w:hint="eastAsia" w:ascii="DejaVu Math TeX Gyre" w:hAnsi="DejaVu Math TeX Gyre" w:eastAsia="宋体" w:cs="宋体"/>
                <w:kern w:val="0"/>
                <w:sz w:val="24"/>
                <w:szCs w:val="24"/>
                <w:lang w:val="en-US" w:eastAsia="zh-CN"/>
              </w:rPr>
            </m:ctrlPr>
          </m:sub>
        </m:sSub>
        <m:r>
          <m:rPr>
            <m:sty m:val="p"/>
          </m:rPr>
          <w:rPr>
            <w:rFonts w:hint="default" w:ascii="Times New Roman" w:hAnsi="Times New Roman" w:eastAsia="宋体" w:cs="宋体"/>
            <w:kern w:val="0"/>
            <w:sz w:val="24"/>
            <w:szCs w:val="24"/>
            <w:lang w:val="en-US" w:eastAsia="zh-CN"/>
          </w:rPr>
          <m:t>=</m:t>
        </m:r>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i</m:t>
            </m:r>
            <m:ctrlPr>
              <w:rPr>
                <w:rFonts w:hint="eastAsia" w:ascii="DejaVu Math TeX Gyre" w:hAnsi="DejaVu Math TeX Gyre" w:eastAsia="宋体" w:cs="宋体"/>
                <w:kern w:val="0"/>
                <w:sz w:val="24"/>
                <w:szCs w:val="24"/>
                <w:lang w:val="en-US" w:eastAsia="zh-CN"/>
              </w:rPr>
            </m:ctrlPr>
          </m:sub>
        </m:sSub>
        <m:r>
          <m:rPr>
            <m:sty m:val="p"/>
          </m:rPr>
          <w:rPr>
            <w:rFonts w:hint="default" w:ascii="Times New Roman" w:hAnsi="Times New Roman" w:eastAsia="宋体" w:cs="宋体"/>
            <w:kern w:val="0"/>
            <w:sz w:val="24"/>
            <w:szCs w:val="24"/>
            <w:lang w:val="en-US" w:eastAsia="zh-CN"/>
          </w:rPr>
          <m:t>−</m:t>
        </m:r>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o</m:t>
            </m:r>
            <m:ctrlPr>
              <w:rPr>
                <w:rFonts w:hint="eastAsia"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表示当前剩余库存；</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l</m:t>
            </m:r>
            <m:ctrlPr>
              <w:rPr>
                <w:rFonts w:hint="eastAsia" w:ascii="DejaVu Math TeX Gyre" w:hAnsi="DejaVu Math TeX Gyre" w:eastAsia="宋体" w:cs="宋体"/>
                <w:kern w:val="0"/>
                <w:sz w:val="24"/>
                <w:szCs w:val="24"/>
                <w:lang w:val="en-US" w:eastAsia="zh-CN"/>
              </w:rPr>
            </m:ctrlPr>
          </m:sub>
        </m:sSub>
        <m:r>
          <m:rPr>
            <m:sty m:val="p"/>
          </m:rPr>
          <w:rPr>
            <w:rFonts w:hint="default" w:ascii="Times New Roman" w:hAnsi="Times New Roman" w:eastAsia="宋体" w:cs="宋体"/>
            <w:kern w:val="0"/>
            <w:sz w:val="24"/>
            <w:szCs w:val="24"/>
            <w:lang w:val="en-US" w:eastAsia="zh-CN"/>
          </w:rPr>
          <m:t>=</m:t>
        </m:r>
        <m:f>
          <m:fPr>
            <m:ctrlPr>
              <w:rPr>
                <w:rFonts w:hint="default" w:ascii="DejaVu Math TeX Gyre" w:hAnsi="DejaVu Math TeX Gyre" w:eastAsia="宋体" w:cs="宋体"/>
                <w:kern w:val="0"/>
                <w:sz w:val="24"/>
                <w:szCs w:val="24"/>
                <w:lang w:val="en-US" w:eastAsia="zh-CN"/>
              </w:rPr>
            </m:ctrlPr>
          </m:fPr>
          <m:num>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i</m:t>
                </m:r>
                <m:ctrlPr>
                  <w:rPr>
                    <w:rFonts w:hint="eastAsia" w:ascii="DejaVu Math TeX Gyre" w:hAnsi="DejaVu Math TeX Gyre" w:eastAsia="宋体" w:cs="宋体"/>
                    <w:kern w:val="0"/>
                    <w:sz w:val="24"/>
                    <w:szCs w:val="24"/>
                    <w:lang w:val="en-US" w:eastAsia="zh-CN"/>
                  </w:rPr>
                </m:ctrlPr>
              </m:sub>
            </m:sSub>
            <m:r>
              <m:rPr>
                <m:sty m:val="p"/>
              </m:rPr>
              <w:rPr>
                <w:rFonts w:hint="default" w:ascii="Times New Roman" w:hAnsi="Times New Roman" w:eastAsia="宋体" w:cs="宋体"/>
                <w:kern w:val="0"/>
                <w:sz w:val="24"/>
                <w:szCs w:val="24"/>
                <w:lang w:val="en-US" w:eastAsia="zh-CN"/>
              </w:rPr>
              <m:t>−</m:t>
            </m:r>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o</m:t>
                </m:r>
                <m:ctrlPr>
                  <w:rPr>
                    <w:rFonts w:hint="eastAsia" w:ascii="DejaVu Math TeX Gyre" w:hAnsi="DejaVu Math TeX Gyre" w:eastAsia="宋体" w:cs="宋体"/>
                    <w:kern w:val="0"/>
                    <w:sz w:val="24"/>
                    <w:szCs w:val="24"/>
                    <w:lang w:val="en-US" w:eastAsia="zh-CN"/>
                  </w:rPr>
                </m:ctrlPr>
              </m:sub>
            </m:sSub>
            <m:ctrlPr>
              <w:rPr>
                <w:rFonts w:hint="default" w:ascii="DejaVu Math TeX Gyre" w:hAnsi="DejaVu Math TeX Gyre" w:eastAsia="宋体" w:cs="宋体"/>
                <w:kern w:val="0"/>
                <w:sz w:val="24"/>
                <w:szCs w:val="24"/>
                <w:lang w:val="en-US" w:eastAsia="zh-CN"/>
              </w:rPr>
            </m:ctrlPr>
          </m:num>
          <m:den>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i</m:t>
                </m:r>
                <m:ctrlPr>
                  <w:rPr>
                    <w:rFonts w:hint="eastAsia" w:ascii="DejaVu Math TeX Gyre" w:hAnsi="DejaVu Math TeX Gyre" w:eastAsia="宋体" w:cs="宋体"/>
                    <w:kern w:val="0"/>
                    <w:sz w:val="24"/>
                    <w:szCs w:val="24"/>
                    <w:lang w:val="en-US" w:eastAsia="zh-CN"/>
                  </w:rPr>
                </m:ctrlPr>
              </m:sub>
            </m:sSub>
            <m:ctrlPr>
              <w:rPr>
                <w:rFonts w:hint="default" w:ascii="DejaVu Math TeX Gyre" w:hAnsi="DejaVu Math TeX Gyre" w:eastAsia="宋体" w:cs="宋体"/>
                <w:kern w:val="0"/>
                <w:sz w:val="24"/>
                <w:szCs w:val="24"/>
                <w:lang w:val="en-US" w:eastAsia="zh-CN"/>
              </w:rPr>
            </m:ctrlPr>
          </m:den>
        </m:f>
        <m:r>
          <m:rPr>
            <m:sty m:val="p"/>
          </m:rPr>
          <w:rPr>
            <w:rFonts w:hint="default" w:ascii="Times New Roman" w:hAnsi="Times New Roman" w:eastAsia="宋体" w:cs="宋体"/>
            <w:kern w:val="0"/>
            <w:sz w:val="24"/>
            <w:szCs w:val="24"/>
            <w:lang w:val="en-US" w:eastAsia="zh-CN"/>
          </w:rPr>
          <m:t>×100%</m:t>
        </m:r>
      </m:oMath>
      <w:r>
        <w:rPr>
          <w:rFonts w:hint="default" w:ascii="Times New Roman" w:hAnsi="Times New Roman" w:eastAsia="宋体" w:cs="宋体"/>
          <w:kern w:val="0"/>
          <w:sz w:val="24"/>
          <w:szCs w:val="24"/>
          <w:lang w:val="en-US" w:eastAsia="zh-CN"/>
        </w:rPr>
        <w:t>表示生豆采购重量；</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y</m:t>
            </m:r>
            <m:ctrlPr>
              <w:rPr>
                <w:rFonts w:hint="eastAsia" w:ascii="DejaVu Math TeX Gyre" w:hAnsi="DejaVu Math TeX Gyre" w:eastAsia="宋体" w:cs="宋体"/>
                <w:kern w:val="0"/>
                <w:sz w:val="24"/>
                <w:szCs w:val="24"/>
                <w:lang w:val="en-US" w:eastAsia="zh-CN"/>
              </w:rPr>
            </m:ctrlPr>
          </m:sub>
        </m:sSub>
        <m:r>
          <m:rPr>
            <m:sty m:val="p"/>
          </m:rPr>
          <w:rPr>
            <w:rFonts w:hint="default" w:ascii="Times New Roman" w:hAnsi="Times New Roman" w:eastAsia="宋体" w:cs="宋体"/>
            <w:kern w:val="0"/>
            <w:sz w:val="24"/>
            <w:szCs w:val="24"/>
            <w:lang w:val="en-US" w:eastAsia="zh-CN"/>
          </w:rPr>
          <m:t>=</m:t>
        </m:r>
        <m:f>
          <m:fPr>
            <m:ctrlPr>
              <w:rPr>
                <w:rFonts w:hint="default" w:ascii="DejaVu Math TeX Gyre" w:hAnsi="DejaVu Math TeX Gyre" w:eastAsia="宋体" w:cs="宋体"/>
                <w:kern w:val="0"/>
                <w:sz w:val="24"/>
                <w:szCs w:val="24"/>
                <w:lang w:val="en-US" w:eastAsia="zh-CN"/>
              </w:rPr>
            </m:ctrlPr>
          </m:fPr>
          <m:num>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o</m:t>
                </m:r>
                <m:ctrlPr>
                  <w:rPr>
                    <w:rFonts w:hint="eastAsia" w:ascii="DejaVu Math TeX Gyre" w:hAnsi="DejaVu Math TeX Gyre" w:eastAsia="宋体" w:cs="宋体"/>
                    <w:kern w:val="0"/>
                    <w:sz w:val="24"/>
                    <w:szCs w:val="24"/>
                    <w:lang w:val="en-US" w:eastAsia="zh-CN"/>
                  </w:rPr>
                </m:ctrlPr>
              </m:sub>
            </m:sSub>
            <m:ctrlPr>
              <w:rPr>
                <w:rFonts w:hint="default" w:ascii="DejaVu Math TeX Gyre" w:hAnsi="DejaVu Math TeX Gyre" w:eastAsia="宋体" w:cs="宋体"/>
                <w:kern w:val="0"/>
                <w:sz w:val="24"/>
                <w:szCs w:val="24"/>
                <w:lang w:val="en-US" w:eastAsia="zh-CN"/>
              </w:rPr>
            </m:ctrlPr>
          </m:num>
          <m:den>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eastAsia"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i</m:t>
                </m:r>
                <m:ctrlPr>
                  <w:rPr>
                    <w:rFonts w:hint="eastAsia" w:ascii="DejaVu Math TeX Gyre" w:hAnsi="DejaVu Math TeX Gyre" w:eastAsia="宋体" w:cs="宋体"/>
                    <w:kern w:val="0"/>
                    <w:sz w:val="24"/>
                    <w:szCs w:val="24"/>
                    <w:lang w:val="en-US" w:eastAsia="zh-CN"/>
                  </w:rPr>
                </m:ctrlPr>
              </m:sub>
            </m:sSub>
            <m:ctrlPr>
              <w:rPr>
                <w:rFonts w:hint="default" w:ascii="DejaVu Math TeX Gyre" w:hAnsi="DejaVu Math TeX Gyre" w:eastAsia="宋体" w:cs="宋体"/>
                <w:kern w:val="0"/>
                <w:sz w:val="24"/>
                <w:szCs w:val="24"/>
                <w:lang w:val="en-US" w:eastAsia="zh-CN"/>
              </w:rPr>
            </m:ctrlPr>
          </m:den>
        </m:f>
        <m:r>
          <m:rPr>
            <m:sty m:val="p"/>
          </m:rPr>
          <w:rPr>
            <w:rFonts w:hint="default" w:ascii="Times New Roman" w:hAnsi="Times New Roman" w:eastAsia="宋体" w:cs="宋体"/>
            <w:kern w:val="0"/>
            <w:sz w:val="24"/>
            <w:szCs w:val="24"/>
            <w:lang w:val="en-US" w:eastAsia="zh-CN"/>
          </w:rPr>
          <m:t>×100%</m:t>
        </m:r>
      </m:oMath>
      <w:r>
        <w:rPr>
          <w:rFonts w:hint="default" w:ascii="Times New Roman" w:hAnsi="Times New Roman" w:eastAsia="宋体" w:cs="宋体"/>
          <w:kern w:val="0"/>
          <w:sz w:val="24"/>
          <w:szCs w:val="24"/>
          <w:lang w:val="en-US" w:eastAsia="zh-CN"/>
        </w:rPr>
        <w:t>表示第</w:t>
      </w:r>
      <m:oMath>
        <m:r>
          <m:rPr>
            <m:sty m:val="p"/>
          </m:rPr>
          <w:rPr>
            <w:rFonts w:hint="default" w:ascii="Times New Roman" w:hAnsi="Times New Roman" w:eastAsia="宋体" w:cs="宋体"/>
            <w:kern w:val="0"/>
            <w:sz w:val="24"/>
            <w:szCs w:val="24"/>
            <w:lang w:val="en-US" w:eastAsia="zh-CN"/>
          </w:rPr>
          <m:t>i</m:t>
        </m:r>
      </m:oMath>
      <w:r>
        <w:rPr>
          <w:rFonts w:hint="default" w:ascii="Times New Roman" w:hAnsi="Times New Roman" w:eastAsia="宋体" w:cs="宋体"/>
          <w:kern w:val="0"/>
          <w:sz w:val="24"/>
          <w:szCs w:val="24"/>
          <w:lang w:val="en-US" w:eastAsia="zh-CN"/>
        </w:rPr>
        <w:t>次烘焙的投豆量；</w:t>
      </w:r>
      <m:oMath>
        <m:r>
          <m:rPr>
            <m:sty m:val="p"/>
          </m:rPr>
          <w:rPr>
            <w:rFonts w:hint="default" w:ascii="Times New Roman" w:hAnsi="Times New Roman" w:eastAsia="宋体" w:cs="宋体"/>
            <w:kern w:val="0"/>
            <w:sz w:val="24"/>
            <w:szCs w:val="24"/>
            <w:lang w:val="en-US" w:eastAsia="zh-CN"/>
          </w:rPr>
          <m:t>n</m:t>
        </m:r>
      </m:oMath>
      <w:r>
        <w:rPr>
          <w:rFonts w:hint="default" w:ascii="Times New Roman" w:hAnsi="Times New Roman" w:eastAsia="宋体" w:cs="宋体"/>
          <w:kern w:val="0"/>
          <w:sz w:val="24"/>
          <w:szCs w:val="24"/>
          <w:lang w:val="en-US" w:eastAsia="zh-CN"/>
        </w:rPr>
        <w:t>表示已完成的有效烘焙批次数量。采用差值调整方式可以避免修改烘焙记录时重复扣减库存。库存联动处理逻辑如下：</w:t>
      </w:r>
    </w:p>
    <w:p w14:paraId="35737CE3">
      <w:pPr>
        <w:widowControl/>
        <w:spacing w:line="360" w:lineRule="auto"/>
        <w:ind w:firstLine="420" w:firstLineChars="200"/>
        <w:jc w:val="center"/>
        <w:rPr>
          <w:rFonts w:hint="default" w:ascii="宋体" w:hAnsi="宋体" w:cs="宋体"/>
          <w:kern w:val="0"/>
          <w:szCs w:val="22"/>
          <w:lang w:val="en-US" w:eastAsia="zh-CN"/>
        </w:rPr>
      </w:pPr>
      <w:r>
        <w:rPr>
          <w:rFonts w:hint="default" w:ascii="宋体" w:hAnsi="宋体" w:cs="宋体"/>
          <w:kern w:val="0"/>
          <w:szCs w:val="22"/>
          <w:lang w:val="en-US" w:eastAsia="zh-CN"/>
        </w:rPr>
        <w:drawing>
          <wp:inline distT="0" distB="0" distL="114300" distR="114300">
            <wp:extent cx="4714875" cy="5379085"/>
            <wp:effectExtent l="0" t="0" r="9525" b="571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9"/>
                    <a:srcRect l="410"/>
                    <a:stretch>
                      <a:fillRect/>
                    </a:stretch>
                  </pic:blipFill>
                  <pic:spPr>
                    <a:xfrm>
                      <a:off x="0" y="0"/>
                      <a:ext cx="4714875" cy="5379085"/>
                    </a:xfrm>
                    <a:prstGeom prst="rect">
                      <a:avLst/>
                    </a:prstGeom>
                    <a:noFill/>
                    <a:ln>
                      <a:noFill/>
                    </a:ln>
                  </pic:spPr>
                </pic:pic>
              </a:graphicData>
            </a:graphic>
          </wp:inline>
        </w:drawing>
      </w:r>
    </w:p>
    <w:p w14:paraId="3DACB190">
      <w:pPr>
        <w:widowControl/>
        <w:spacing w:line="360" w:lineRule="auto"/>
        <w:ind w:firstLine="420" w:firstLineChars="200"/>
        <w:jc w:val="center"/>
        <w:rPr>
          <w:rFonts w:hint="default" w:ascii="宋体" w:hAnsi="宋体" w:cs="宋体"/>
          <w:kern w:val="0"/>
          <w:szCs w:val="22"/>
          <w:lang w:val="en-US" w:eastAsia="zh-CN"/>
        </w:rPr>
      </w:pPr>
      <w:r>
        <w:rPr>
          <w:rFonts w:hint="eastAsia"/>
          <w:b/>
        </w:rPr>
        <w:t>图3.</w:t>
      </w:r>
      <w:r>
        <w:rPr>
          <w:rFonts w:hint="eastAsia"/>
          <w:b/>
          <w:lang w:val="en-US" w:eastAsia="zh-CN"/>
        </w:rPr>
        <w:t>2</w:t>
      </w:r>
      <w:r>
        <w:rPr>
          <w:rFonts w:hint="eastAsia" w:ascii="Times New Roman" w:eastAsia="宋体"/>
          <w:b/>
          <w:lang w:val="en-US" w:eastAsia="zh-CN"/>
        </w:rPr>
        <w:t xml:space="preserve"> 库存联动处理逻辑图</w:t>
      </w:r>
    </w:p>
    <w:p w14:paraId="457C2BD8">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3.4 烘焙损耗率与产出率计算</w:t>
      </w:r>
    </w:p>
    <w:p w14:paraId="536B21B2">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系统根据投豆量和出豆量计算烘焙损耗，用于反映咖啡豆在烘焙过程中的重量变化。</w:t>
      </w:r>
    </w:p>
    <w:p w14:paraId="0C2CF2AC">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烘焙损耗量计算公式为：</w:t>
      </w:r>
    </w:p>
    <w:p w14:paraId="461A1F1E">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l</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oMath>
      </m:oMathPara>
    </w:p>
    <w:p w14:paraId="6B819C28">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烘焙损耗率计算公式为：</w:t>
      </w:r>
    </w:p>
    <w:p w14:paraId="51EBB658">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l</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×100%</m:t>
          </m:r>
        </m:oMath>
      </m:oMathPara>
    </w:p>
    <w:p w14:paraId="325CE3B9">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熟豆产出率计算公式为：</w:t>
      </w:r>
    </w:p>
    <w:p w14:paraId="5B87C2DF">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R</m:t>
              </m:r>
              <m:ctrlPr>
                <w:rPr>
                  <w:rFonts w:ascii="DejaVu Math TeX Gyre" w:hAnsi="DejaVu Math TeX Gyre" w:eastAsia="宋体"/>
                  <w:sz w:val="21"/>
                </w:rPr>
              </m:ctrlPr>
            </m:e>
            <m:sub>
              <m:r>
                <m:rPr/>
                <w:rPr>
                  <w:rFonts w:hint="default" w:ascii="DejaVu Math TeX Gyre" w:hAnsi="DejaVu Math TeX Gyre" w:eastAsia="宋体"/>
                  <w:sz w:val="21"/>
                </w:rPr>
                <m:t>y</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i</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×100%</m:t>
          </m:r>
        </m:oMath>
      </m:oMathPara>
    </w:p>
    <w:p w14:paraId="18DDD571">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i</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表示投豆量；</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o</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表示出豆量；</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l</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表示烘焙损耗量；</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l</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 xml:space="preserve"> 表示烘焙损耗率；</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y</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表示熟豆产出率。</w:t>
      </w:r>
    </w:p>
    <w:p w14:paraId="60525C0C">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3.5 烘焙节点排序算法</w:t>
      </w:r>
    </w:p>
    <w:p w14:paraId="514CC0C8">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系统将一次烘焙过程划分为多个有序节点，每个节点包含时间、事件、操作、炉温、风温、火力及滚筒转速等参数。系统先将节点时间统一转换为秒，再按照时间值进行升序排列。</w:t>
      </w:r>
    </w:p>
    <w:p w14:paraId="558434EA">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s</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m</m:t>
              </m:r>
              <m:ctrlPr>
                <w:rPr>
                  <w:rFonts w:ascii="DejaVu Math TeX Gyre" w:hAnsi="DejaVu Math TeX Gyre" w:eastAsia="宋体"/>
                  <w:sz w:val="21"/>
                </w:rPr>
              </m:ctrlPr>
            </m:sub>
          </m:sSub>
          <m:r>
            <m:rPr/>
            <w:rPr>
              <w:rFonts w:hint="default" w:ascii="DejaVu Math TeX Gyre" w:hAnsi="DejaVu Math TeX Gyre" w:eastAsia="宋体"/>
              <w:sz w:val="21"/>
            </w:rPr>
            <m:t>×60+</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r</m:t>
              </m:r>
              <m:ctrlPr>
                <w:rPr>
                  <w:rFonts w:ascii="DejaVu Math TeX Gyre" w:hAnsi="DejaVu Math TeX Gyre" w:eastAsia="宋体"/>
                  <w:sz w:val="21"/>
                </w:rPr>
              </m:ctrlPr>
            </m:sub>
          </m:sSub>
        </m:oMath>
      </m:oMathPara>
    </w:p>
    <w:p w14:paraId="3A22B15C">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T</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s</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 xml:space="preserve"> 表示节点的总秒数；</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T</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m</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表示分钟数；</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T</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表示不足一分钟的秒数。当用户执行节点上移、下移、增加或删除操作后，系统重新生成节点序号，并校验节点时间是否符合烘焙过程的先后顺序。节点排序关系可以表示为：</w:t>
      </w:r>
    </w:p>
    <w:p w14:paraId="715108F6">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1</m:t>
              </m:r>
              <m:ctrlPr>
                <w:rPr>
                  <w:rFonts w:ascii="DejaVu Math TeX Gyre" w:hAnsi="DejaVu Math TeX Gyre" w:eastAsia="宋体"/>
                  <w:sz w:val="21"/>
                </w:rPr>
              </m:ctrlPr>
            </m:sub>
          </m:sSub>
          <m:r>
            <m:rPr/>
            <w:rPr>
              <w:rFonts w:hint="default" w:ascii="DejaVu Math TeX Gyre" w:hAnsi="DejaVu Math TeX Gyre" w:eastAsia="宋体"/>
              <w:sz w:val="21"/>
            </w:rPr>
            <m:t>&lt;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2</m:t>
              </m:r>
              <m:ctrlPr>
                <w:rPr>
                  <w:rFonts w:ascii="DejaVu Math TeX Gyre" w:hAnsi="DejaVu Math TeX Gyre" w:eastAsia="宋体"/>
                  <w:sz w:val="21"/>
                </w:rPr>
              </m:ctrlPr>
            </m:sub>
          </m:sSub>
          <m:r>
            <m:rPr/>
            <w:rPr>
              <w:rFonts w:hint="default" w:ascii="DejaVu Math TeX Gyre" w:hAnsi="DejaVu Math TeX Gyre" w:eastAsia="宋体"/>
              <w:sz w:val="21"/>
            </w:rPr>
            <m:t>&lt;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3</m:t>
              </m:r>
              <m:ctrlPr>
                <w:rPr>
                  <w:rFonts w:ascii="DejaVu Math TeX Gyre" w:hAnsi="DejaVu Math TeX Gyre" w:eastAsia="宋体"/>
                  <w:sz w:val="21"/>
                </w:rPr>
              </m:ctrlPr>
            </m:sub>
          </m:sSub>
          <m:r>
            <m:rPr/>
            <w:rPr>
              <w:rFonts w:hint="default" w:ascii="DejaVu Math TeX Gyre" w:hAnsi="DejaVu Math TeX Gyre" w:eastAsia="宋体"/>
              <w:sz w:val="21"/>
            </w:rPr>
            <m:t>&lt;⋯&lt;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T</m:t>
              </m:r>
              <m:ctrlPr>
                <w:rPr>
                  <w:rFonts w:ascii="DejaVu Math TeX Gyre" w:hAnsi="DejaVu Math TeX Gyre" w:eastAsia="宋体"/>
                  <w:sz w:val="21"/>
                </w:rPr>
              </m:ctrlPr>
            </m:e>
            <m:sub>
              <m:r>
                <m:rPr/>
                <w:rPr>
                  <w:rFonts w:hint="default" w:ascii="DejaVu Math TeX Gyre" w:hAnsi="DejaVu Math TeX Gyre" w:eastAsia="宋体"/>
                  <w:sz w:val="21"/>
                </w:rPr>
                <m:t>n</m:t>
              </m:r>
              <m:ctrlPr>
                <w:rPr>
                  <w:rFonts w:ascii="DejaVu Math TeX Gyre" w:hAnsi="DejaVu Math TeX Gyre" w:eastAsia="宋体"/>
                  <w:sz w:val="21"/>
                </w:rPr>
              </m:ctrlPr>
            </m:sub>
          </m:sSub>
        </m:oMath>
      </m:oMathPara>
    </w:p>
    <w:p w14:paraId="5DD0EA3A">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3.6 批次成本核算</w:t>
      </w:r>
    </w:p>
    <w:p w14:paraId="20984E0F">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单批生豆原料成本计算公式为：</w:t>
      </w:r>
    </w:p>
    <w:p w14:paraId="37FE0F9A">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r</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b</m:t>
                  </m:r>
                  <m:ctrlPr>
                    <w:rPr>
                      <w:rFonts w:ascii="DejaVu Math TeX Gyre" w:hAnsi="DejaVu Math TeX Gyre" w:eastAsia="宋体"/>
                      <w:sz w:val="21"/>
                    </w:rPr>
                  </m:ctrlPr>
                </m:sub>
              </m:sSub>
              <m:ctrlPr>
                <w:rPr>
                  <w:rFonts w:hint="default" w:ascii="DejaVu Math TeX Gyre" w:hAnsi="DejaVu Math TeX Gyre" w:eastAsia="宋体"/>
                  <w:sz w:val="21"/>
                </w:rPr>
              </m:ctrlPr>
            </m:num>
            <m:den>
              <m:r>
                <m:rPr/>
                <w:rPr>
                  <w:rFonts w:hint="default" w:ascii="DejaVu Math TeX Gyre" w:hAnsi="DejaVu Math TeX Gyre" w:eastAsia="宋体"/>
                  <w:sz w:val="21"/>
                </w:rPr>
                <m:t>1000</m:t>
              </m:r>
              <m:ctrlPr>
                <w:rPr>
                  <w:rFonts w:hint="default" w:ascii="DejaVu Math TeX Gyre" w:hAnsi="DejaVu Math TeX Gyre" w:eastAsia="宋体"/>
                  <w:sz w:val="21"/>
                </w:rPr>
              </m:ctrlPr>
            </m:den>
          </m:f>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hint="default" w:ascii="DejaVu Math TeX Gyre" w:hAnsi="DejaVu Math TeX Gyre" w:eastAsia="宋体"/>
                  <w:sz w:val="21"/>
                </w:rPr>
              </m:ctrlPr>
            </m:e>
            <m:sub>
              <m:r>
                <m:rPr/>
                <w:rPr>
                  <w:rFonts w:hint="default" w:ascii="DejaVu Math TeX Gyre" w:hAnsi="DejaVu Math TeX Gyre" w:eastAsia="宋体"/>
                  <w:sz w:val="21"/>
                </w:rPr>
                <m:t>i</m:t>
              </m:r>
              <m:ctrlPr>
                <w:rPr>
                  <w:rFonts w:hint="default" w:ascii="DejaVu Math TeX Gyre" w:hAnsi="DejaVu Math TeX Gyre" w:eastAsia="宋体"/>
                  <w:sz w:val="21"/>
                </w:rPr>
              </m:ctrlPr>
            </m:sub>
          </m:sSub>
        </m:oMath>
      </m:oMathPara>
    </w:p>
    <w:p w14:paraId="0D949650">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批次总成本计算公式为：</w:t>
      </w:r>
    </w:p>
    <w:p w14:paraId="68491B6E">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t</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r</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e</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l</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p</m:t>
              </m:r>
              <m:ctrlPr>
                <w:rPr>
                  <w:rFonts w:ascii="DejaVu Math TeX Gyre" w:hAnsi="DejaVu Math TeX Gyre" w:eastAsia="宋体"/>
                  <w:sz w:val="21"/>
                </w:rPr>
              </m:ctrlPr>
            </m:sub>
          </m:sSub>
          <m:r>
            <m:rPr/>
            <w:rPr>
              <w:rFonts w:hint="default" w:ascii="DejaVu Math TeX Gyre" w:hAnsi="DejaVu Math TeX Gyre" w:eastAsia="宋体"/>
              <w:sz w:val="21"/>
            </w:rPr>
            <m:t>+</m:t>
          </m:r>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oMath>
      </m:oMathPara>
    </w:p>
    <w:p w14:paraId="3C160A47">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表示生豆原料成本；</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e</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表示能源费用；</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l</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 xml:space="preserve"> 表示人工费用；</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p</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表示包装费用；</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o</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表示其他费用；</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t</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表示本次烘焙批次总成本。熟豆每千克成本计算公式为：</w:t>
      </w:r>
    </w:p>
    <w:p w14:paraId="2A131A26">
      <w:pPr>
        <w:widowControl/>
        <w:spacing w:line="360" w:lineRule="auto"/>
        <w:ind w:firstLine="420" w:firstLineChars="200"/>
        <w:jc w:val="left"/>
        <w:rPr>
          <w:rFonts w:hint="default" w:ascii="宋体" w:hAnsi="宋体" w:cs="宋体"/>
          <w:kern w:val="0"/>
          <w:szCs w:val="22"/>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k</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t</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ctrlPr>
                <w:rPr>
                  <w:rFonts w:hint="default" w:ascii="DejaVu Math TeX Gyre" w:hAnsi="DejaVu Math TeX Gyre" w:eastAsia="宋体"/>
                  <w:sz w:val="21"/>
                </w:rPr>
              </m:ctrlPr>
            </m:den>
          </m:f>
          <m:r>
            <m:rPr/>
            <w:rPr>
              <w:rFonts w:hint="default" w:ascii="DejaVu Math TeX Gyre" w:hAnsi="DejaVu Math TeX Gyre" w:eastAsia="宋体"/>
              <w:sz w:val="21"/>
            </w:rPr>
            <m:t>×1000</m:t>
          </m:r>
        </m:oMath>
      </m:oMathPara>
    </w:p>
    <w:p w14:paraId="2230BA79">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如果按照固定重量分装销售，则：</w:t>
      </w:r>
    </w:p>
    <w:p w14:paraId="3F56CD7E">
      <w:pPr>
        <w:widowControl/>
        <w:spacing w:line="360" w:lineRule="auto"/>
        <w:ind w:firstLine="420" w:firstLineChars="200"/>
        <w:jc w:val="left"/>
        <w:rPr>
          <w:rFonts w:hint="default" w:hAnsi="DejaVu Math TeX Gyre" w:eastAsia="宋体"/>
          <w:i w:val="0"/>
          <w:sz w:val="21"/>
        </w:rPr>
      </w:pPr>
      <m:oMathPara>
        <m:oMath>
          <m:r>
            <m:rPr/>
            <w:rPr>
              <w:rFonts w:hint="default" w:ascii="DejaVu Math TeX Gyre" w:hAnsi="DejaVu Math TeX Gyre" w:eastAsia="宋体"/>
              <w:sz w:val="21"/>
            </w:rPr>
            <m:t>N=</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o</m:t>
                  </m:r>
                  <m:ctrlPr>
                    <w:rPr>
                      <w:rFonts w:ascii="DejaVu Math TeX Gyre" w:hAnsi="DejaVu Math TeX Gyre" w:eastAsia="宋体"/>
                      <w:sz w:val="21"/>
                    </w:rPr>
                  </m:ctrlPr>
                </m:sub>
              </m:sSub>
              <m:ctrlPr>
                <w:rPr>
                  <w:rFonts w:hint="default" w:ascii="DejaVu Math TeX Gyre" w:hAnsi="DejaVu Math TeX Gyre" w:eastAsia="宋体"/>
                  <w:sz w:val="21"/>
                </w:rPr>
              </m:ctrlPr>
            </m:num>
            <m:den>
              <m:sSub>
                <m:sSubPr>
                  <m:ctrlPr>
                    <w:rPr>
                      <w:rFonts w:hint="default" w:ascii="DejaVu Math TeX Gyre" w:hAnsi="DejaVu Math TeX Gyre" w:eastAsia="宋体"/>
                      <w:sz w:val="21"/>
                    </w:rPr>
                  </m:ctrlPr>
                </m:sSubPr>
                <m:e>
                  <m:r>
                    <m:rPr/>
                    <w:rPr>
                      <w:rFonts w:hint="default" w:ascii="DejaVu Math TeX Gyre" w:hAnsi="DejaVu Math TeX Gyre" w:eastAsia="宋体"/>
                      <w:sz w:val="21"/>
                    </w:rPr>
                    <m:t>W</m:t>
                  </m:r>
                  <m:ctrlPr>
                    <w:rPr>
                      <w:rFonts w:ascii="DejaVu Math TeX Gyre" w:hAnsi="DejaVu Math TeX Gyre" w:eastAsia="宋体"/>
                      <w:sz w:val="21"/>
                    </w:rPr>
                  </m:ctrlPr>
                </m:e>
                <m:sub>
                  <m:r>
                    <m:rPr/>
                    <w:rPr>
                      <w:rFonts w:hint="default" w:ascii="DejaVu Math TeX Gyre" w:hAnsi="DejaVu Math TeX Gyre" w:eastAsia="宋体"/>
                      <w:sz w:val="21"/>
                    </w:rPr>
                    <m:t>u</m:t>
                  </m:r>
                  <m:ctrlPr>
                    <w:rPr>
                      <w:rFonts w:ascii="DejaVu Math TeX Gyre" w:hAnsi="DejaVu Math TeX Gyre" w:eastAsia="宋体"/>
                      <w:sz w:val="21"/>
                    </w:rPr>
                  </m:ctrlPr>
                </m:sub>
              </m:sSub>
              <m:ctrlPr>
                <w:rPr>
                  <w:rFonts w:hint="default" w:ascii="DejaVu Math TeX Gyre" w:hAnsi="DejaVu Math TeX Gyre" w:eastAsia="宋体"/>
                  <w:sz w:val="21"/>
                </w:rPr>
              </m:ctrlPr>
            </m:den>
          </m:f>
        </m:oMath>
      </m:oMathPara>
    </w:p>
    <w:p w14:paraId="02990C6D">
      <w:pPr>
        <w:widowControl/>
        <w:spacing w:line="360" w:lineRule="auto"/>
        <w:ind w:firstLine="420" w:firstLineChars="200"/>
        <w:jc w:val="left"/>
        <w:rPr>
          <w:rFonts w:hint="default" w:hAnsi="DejaVu Math TeX Gyre" w:eastAsia="宋体"/>
          <w:i w:val="0"/>
          <w:sz w:val="21"/>
          <w:lang w:val="en-US" w:eastAsia="zh-CN"/>
        </w:rPr>
      </w:pPr>
      <m:oMathPara>
        <m:oMath>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u</m:t>
              </m:r>
              <m:ctrlPr>
                <w:rPr>
                  <w:rFonts w:ascii="DejaVu Math TeX Gyre" w:hAnsi="DejaVu Math TeX Gyre" w:eastAsia="宋体"/>
                  <w:sz w:val="21"/>
                </w:rPr>
              </m:ctrlPr>
            </m:sub>
          </m:sSub>
          <m:r>
            <m:rPr/>
            <w:rPr>
              <w:rFonts w:hint="default" w:ascii="DejaVu Math TeX Gyre" w:hAnsi="DejaVu Math TeX Gyre" w:eastAsia="宋体"/>
              <w:sz w:val="21"/>
            </w:rPr>
            <m:t>=</m:t>
          </m:r>
          <m:f>
            <m:fPr>
              <m:ctrlPr>
                <w:rPr>
                  <w:rFonts w:hint="default" w:ascii="DejaVu Math TeX Gyre" w:hAnsi="DejaVu Math TeX Gyre" w:eastAsia="宋体"/>
                  <w:sz w:val="21"/>
                </w:rPr>
              </m:ctrlPr>
            </m:fPr>
            <m:num>
              <m:sSub>
                <m:sSubPr>
                  <m:ctrlPr>
                    <w:rPr>
                      <w:rFonts w:hint="default" w:ascii="DejaVu Math TeX Gyre" w:hAnsi="DejaVu Math TeX Gyre" w:eastAsia="宋体"/>
                      <w:sz w:val="21"/>
                    </w:rPr>
                  </m:ctrlPr>
                </m:sSubPr>
                <m:e>
                  <m:r>
                    <m:rPr/>
                    <w:rPr>
                      <w:rFonts w:hint="default" w:ascii="DejaVu Math TeX Gyre" w:hAnsi="DejaVu Math TeX Gyre" w:eastAsia="宋体"/>
                      <w:sz w:val="21"/>
                    </w:rPr>
                    <m:t>C</m:t>
                  </m:r>
                  <m:ctrlPr>
                    <w:rPr>
                      <w:rFonts w:ascii="DejaVu Math TeX Gyre" w:hAnsi="DejaVu Math TeX Gyre" w:eastAsia="宋体"/>
                      <w:sz w:val="21"/>
                    </w:rPr>
                  </m:ctrlPr>
                </m:e>
                <m:sub>
                  <m:r>
                    <m:rPr/>
                    <w:rPr>
                      <w:rFonts w:hint="default" w:ascii="DejaVu Math TeX Gyre" w:hAnsi="DejaVu Math TeX Gyre" w:eastAsia="宋体"/>
                      <w:sz w:val="21"/>
                    </w:rPr>
                    <m:t>t</m:t>
                  </m:r>
                  <m:ctrlPr>
                    <w:rPr>
                      <w:rFonts w:ascii="DejaVu Math TeX Gyre" w:hAnsi="DejaVu Math TeX Gyre" w:eastAsia="宋体"/>
                      <w:sz w:val="21"/>
                    </w:rPr>
                  </m:ctrlPr>
                </m:sub>
              </m:sSub>
              <m:ctrlPr>
                <w:rPr>
                  <w:rFonts w:hint="default" w:ascii="DejaVu Math TeX Gyre" w:hAnsi="DejaVu Math TeX Gyre" w:eastAsia="宋体"/>
                  <w:sz w:val="21"/>
                </w:rPr>
              </m:ctrlPr>
            </m:num>
            <m:den>
              <m:r>
                <m:rPr/>
                <w:rPr>
                  <w:rFonts w:hint="default" w:ascii="DejaVu Math TeX Gyre" w:hAnsi="DejaVu Math TeX Gyre" w:eastAsia="宋体"/>
                  <w:sz w:val="21"/>
                </w:rPr>
                <m:t>N</m:t>
              </m:r>
              <m:ctrlPr>
                <w:rPr>
                  <w:rFonts w:hint="default" w:ascii="DejaVu Math TeX Gyre" w:hAnsi="DejaVu Math TeX Gyre" w:eastAsia="宋体"/>
                  <w:sz w:val="21"/>
                </w:rPr>
              </m:ctrlPr>
            </m:den>
          </m:f>
        </m:oMath>
      </m:oMathPara>
    </w:p>
    <w:p w14:paraId="6DC35EFC">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其中，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W</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u</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为单份销售重量，</w:t>
      </w:r>
      <m:oMath>
        <m:r>
          <m:rPr>
            <m:sty m:val="p"/>
          </m:rPr>
          <w:rPr>
            <w:rFonts w:hint="default" w:ascii="Times New Roman" w:hAnsi="Times New Roman" w:eastAsia="宋体" w:cs="宋体"/>
            <w:kern w:val="0"/>
            <w:sz w:val="24"/>
            <w:szCs w:val="24"/>
            <w:lang w:val="en-US" w:eastAsia="zh-CN"/>
          </w:rPr>
          <m:t>N</m:t>
        </m:r>
      </m:oMath>
      <w:r>
        <w:rPr>
          <w:rFonts w:hint="default" w:ascii="Times New Roman" w:hAnsi="Times New Roman" w:eastAsia="宋体" w:cs="宋体"/>
          <w:kern w:val="0"/>
          <w:sz w:val="24"/>
          <w:szCs w:val="24"/>
          <w:lang w:val="en-US" w:eastAsia="zh-CN"/>
        </w:rPr>
        <w:t>为可销售份数，</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C</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u</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为单份产品成本。</w:t>
      </w:r>
    </w:p>
    <w:p w14:paraId="38632CD1">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default" w:ascii="Times New Roman" w:hAnsi="Times New Roman" w:eastAsia="宋体" w:cs="Times New Roman"/>
          <w:b/>
          <w:bCs/>
          <w:kern w:val="2"/>
          <w:sz w:val="28"/>
          <w:szCs w:val="20"/>
          <w:lang w:val="en-US" w:eastAsia="zh-CN" w:bidi="ar-SA"/>
        </w:rPr>
      </w:pPr>
      <w:r>
        <w:rPr>
          <w:rFonts w:hint="default" w:ascii="Times New Roman" w:hAnsi="Times New Roman" w:eastAsia="宋体" w:cs="Times New Roman"/>
          <w:b/>
          <w:bCs/>
          <w:kern w:val="2"/>
          <w:sz w:val="28"/>
          <w:szCs w:val="20"/>
          <w:lang w:val="en-US" w:eastAsia="zh-CN" w:bidi="ar-SA"/>
        </w:rPr>
        <w:t>3.7 建议售价与利润率计算</w:t>
      </w:r>
    </w:p>
    <w:tbl>
      <w:tblPr>
        <w:tblStyle w:val="11"/>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0"/>
        <w:gridCol w:w="6366"/>
      </w:tblGrid>
      <w:tr w14:paraId="2FAA3F09">
        <w:trPr>
          <w:jc w:val="center"/>
        </w:trPr>
        <w:tc>
          <w:tcPr>
            <w:tcW w:w="1572" w:type="pct"/>
            <w:vAlign w:val="center"/>
          </w:tcPr>
          <w:p w14:paraId="4C7C959E">
            <w:pPr>
              <w:widowControl/>
              <w:spacing w:line="360" w:lineRule="auto"/>
              <w:jc w:val="center"/>
              <w:rPr>
                <w:rFonts w:hint="default" w:hAnsi="DejaVu Math TeX Gyre"/>
                <w:i w:val="0"/>
                <w:sz w:val="21"/>
                <w:vertAlign w:val="baseline"/>
                <w:lang w:val="en-US" w:eastAsia="zh-CN"/>
              </w:rPr>
            </w:pPr>
            <w:r>
              <w:rPr>
                <w:rFonts w:hint="default" w:hAnsi="DejaVu Math TeX Gyre"/>
                <w:i w:val="0"/>
                <w:sz w:val="21"/>
                <w:vertAlign w:val="baseline"/>
                <w:lang w:val="en-US" w:eastAsia="zh-CN"/>
              </w:rPr>
              <w:t>建议售价</w:t>
            </w:r>
          </w:p>
        </w:tc>
        <w:tc>
          <w:tcPr>
            <w:tcW w:w="3427" w:type="pct"/>
            <w:vAlign w:val="center"/>
          </w:tcPr>
          <w:p w14:paraId="094327C2">
            <w:pPr>
              <w:widowControl/>
              <w:spacing w:line="360" w:lineRule="auto"/>
              <w:jc w:val="center"/>
              <w:rPr>
                <w:rFonts w:hint="default" w:hAnsi="DejaVu Math TeX Gyre"/>
                <w:i w:val="0"/>
                <w:sz w:val="21"/>
                <w:vertAlign w:val="baseline"/>
                <w:lang w:val="en-US" w:eastAsia="zh-CN"/>
              </w:rPr>
            </w:pPr>
            <m:oMathPara>
              <m:oMath>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P</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s</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C</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u</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×(1+</m:t>
                </m:r>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R</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t</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oMath>
            </m:oMathPara>
          </w:p>
        </w:tc>
      </w:tr>
      <w:tr w14:paraId="7BF31759">
        <w:trPr>
          <w:jc w:val="center"/>
        </w:trPr>
        <w:tc>
          <w:tcPr>
            <w:tcW w:w="1572" w:type="pct"/>
            <w:vAlign w:val="center"/>
          </w:tcPr>
          <w:p w14:paraId="77BB5B6A">
            <w:pPr>
              <w:widowControl/>
              <w:spacing w:line="360" w:lineRule="auto"/>
              <w:jc w:val="center"/>
              <w:rPr>
                <w:rFonts w:hint="default" w:hAnsi="DejaVu Math TeX Gyre"/>
                <w:i w:val="0"/>
                <w:sz w:val="21"/>
                <w:vertAlign w:val="baseline"/>
                <w:lang w:val="en-US" w:eastAsia="zh-CN"/>
              </w:rPr>
            </w:pPr>
            <w:r>
              <w:rPr>
                <w:rFonts w:hint="default" w:hAnsi="DejaVu Math TeX Gyre"/>
                <w:i w:val="0"/>
                <w:sz w:val="21"/>
                <w:vertAlign w:val="baseline"/>
                <w:lang w:val="en-US" w:eastAsia="zh-CN"/>
              </w:rPr>
              <w:t>单份利润</w:t>
            </w:r>
          </w:p>
        </w:tc>
        <w:tc>
          <w:tcPr>
            <w:tcW w:w="3427" w:type="pct"/>
            <w:vAlign w:val="center"/>
          </w:tcPr>
          <w:p w14:paraId="1D8FD620">
            <w:pPr>
              <w:widowControl/>
              <w:spacing w:line="360" w:lineRule="auto"/>
              <w:jc w:val="center"/>
              <w:rPr>
                <w:rFonts w:hint="default" w:hAnsi="DejaVu Math TeX Gyre"/>
                <w:i w:val="0"/>
                <w:sz w:val="21"/>
                <w:vertAlign w:val="baseline"/>
                <w:lang w:val="en-US" w:eastAsia="zh-CN"/>
              </w:rPr>
            </w:pPr>
            <m:oMathPara>
              <m:oMath>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P</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u</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P</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a</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C</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u</m:t>
                    </m:r>
                    <m:ctrlPr>
                      <w:rPr>
                        <w:rFonts w:hint="default" w:ascii="DejaVu Math TeX Gyre" w:hAnsi="DejaVu Math TeX Gyre"/>
                        <w:i w:val="0"/>
                        <w:sz w:val="21"/>
                        <w:vertAlign w:val="baseline"/>
                        <w:lang w:val="en-US" w:eastAsia="zh-CN"/>
                      </w:rPr>
                    </m:ctrlPr>
                  </m:sub>
                </m:sSub>
              </m:oMath>
            </m:oMathPara>
          </w:p>
        </w:tc>
      </w:tr>
      <w:tr w14:paraId="4CE638E3">
        <w:trPr>
          <w:jc w:val="center"/>
        </w:trPr>
        <w:tc>
          <w:tcPr>
            <w:tcW w:w="1572" w:type="pct"/>
            <w:vAlign w:val="center"/>
          </w:tcPr>
          <w:p w14:paraId="1BB35EC6">
            <w:pPr>
              <w:widowControl/>
              <w:spacing w:line="360" w:lineRule="auto"/>
              <w:jc w:val="center"/>
              <w:rPr>
                <w:rFonts w:hint="default" w:hAnsi="DejaVu Math TeX Gyre"/>
                <w:i w:val="0"/>
                <w:sz w:val="21"/>
                <w:vertAlign w:val="baseline"/>
                <w:lang w:val="en-US" w:eastAsia="zh-CN"/>
              </w:rPr>
            </w:pPr>
            <w:r>
              <w:rPr>
                <w:rFonts w:hint="default" w:hAnsi="DejaVu Math TeX Gyre"/>
                <w:i w:val="0"/>
                <w:sz w:val="21"/>
                <w:vertAlign w:val="baseline"/>
                <w:lang w:val="en-US" w:eastAsia="zh-CN"/>
              </w:rPr>
              <w:t>利润率</w:t>
            </w:r>
          </w:p>
        </w:tc>
        <w:tc>
          <w:tcPr>
            <w:tcW w:w="3427" w:type="pct"/>
            <w:vAlign w:val="center"/>
          </w:tcPr>
          <w:p w14:paraId="0E1091A0">
            <w:pPr>
              <w:widowControl/>
              <w:spacing w:line="360" w:lineRule="auto"/>
              <w:jc w:val="center"/>
              <w:rPr>
                <w:rFonts w:hint="default" w:hAnsi="DejaVu Math TeX Gyre"/>
                <w:i w:val="0"/>
                <w:sz w:val="21"/>
                <w:vertAlign w:val="baseline"/>
                <w:lang w:val="en-US" w:eastAsia="zh-CN"/>
              </w:rPr>
            </w:pPr>
            <m:oMathPara>
              <m:oMath>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R</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a</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f>
                  <m:fPr>
                    <m:ctrlPr>
                      <w:rPr>
                        <w:rFonts w:hint="default" w:ascii="DejaVu Math TeX Gyre" w:hAnsi="DejaVu Math TeX Gyre"/>
                        <w:i w:val="0"/>
                        <w:sz w:val="21"/>
                        <w:vertAlign w:val="baseline"/>
                        <w:lang w:val="en-US" w:eastAsia="zh-CN"/>
                      </w:rPr>
                    </m:ctrlPr>
                  </m:fPr>
                  <m:num>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P</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a</m:t>
                        </m:r>
                        <m:ctrlPr>
                          <w:rPr>
                            <w:rFonts w:hint="default" w:ascii="DejaVu Math TeX Gyre" w:hAnsi="DejaVu Math TeX Gyre"/>
                            <w:i w:val="0"/>
                            <w:sz w:val="21"/>
                            <w:vertAlign w:val="baseline"/>
                            <w:lang w:val="en-US" w:eastAsia="zh-CN"/>
                          </w:rPr>
                        </m:ctrlPr>
                      </m:sub>
                    </m:sSub>
                    <m:r>
                      <m:rPr>
                        <m:sty m:val="p"/>
                      </m:rPr>
                      <w:rPr>
                        <w:rFonts w:hint="default"/>
                        <w:sz w:val="21"/>
                        <w:vertAlign w:val="baseline"/>
                        <w:lang w:val="en-US" w:eastAsia="zh-CN"/>
                      </w:rPr>
                      <m:t>−</m:t>
                    </m:r>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C</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u</m:t>
                        </m:r>
                        <m:ctrlPr>
                          <w:rPr>
                            <w:rFonts w:hint="default" w:ascii="DejaVu Math TeX Gyre" w:hAnsi="DejaVu Math TeX Gyre"/>
                            <w:i w:val="0"/>
                            <w:sz w:val="21"/>
                            <w:vertAlign w:val="baseline"/>
                            <w:lang w:val="en-US" w:eastAsia="zh-CN"/>
                          </w:rPr>
                        </m:ctrlPr>
                      </m:sub>
                    </m:sSub>
                    <m:ctrlPr>
                      <w:rPr>
                        <w:rFonts w:hint="default" w:ascii="DejaVu Math TeX Gyre" w:hAnsi="DejaVu Math TeX Gyre"/>
                        <w:i w:val="0"/>
                        <w:sz w:val="21"/>
                        <w:vertAlign w:val="baseline"/>
                        <w:lang w:val="en-US" w:eastAsia="zh-CN"/>
                      </w:rPr>
                    </m:ctrlPr>
                  </m:num>
                  <m:den>
                    <m:sSub>
                      <m:sSubPr>
                        <m:ctrlPr>
                          <w:rPr>
                            <w:rFonts w:hint="default" w:ascii="DejaVu Math TeX Gyre" w:hAnsi="DejaVu Math TeX Gyre"/>
                            <w:i w:val="0"/>
                            <w:sz w:val="21"/>
                            <w:vertAlign w:val="baseline"/>
                            <w:lang w:val="en-US" w:eastAsia="zh-CN"/>
                          </w:rPr>
                        </m:ctrlPr>
                      </m:sSubPr>
                      <m:e>
                        <m:r>
                          <m:rPr>
                            <m:sty m:val="p"/>
                          </m:rPr>
                          <w:rPr>
                            <w:rFonts w:hint="default"/>
                            <w:sz w:val="21"/>
                            <w:vertAlign w:val="baseline"/>
                            <w:lang w:val="en-US" w:eastAsia="zh-CN"/>
                          </w:rPr>
                          <m:t>P</m:t>
                        </m:r>
                        <m:ctrlPr>
                          <w:rPr>
                            <w:rFonts w:hint="default" w:ascii="DejaVu Math TeX Gyre" w:hAnsi="DejaVu Math TeX Gyre"/>
                            <w:i w:val="0"/>
                            <w:sz w:val="21"/>
                            <w:vertAlign w:val="baseline"/>
                            <w:lang w:val="en-US" w:eastAsia="zh-CN"/>
                          </w:rPr>
                        </m:ctrlPr>
                      </m:e>
                      <m:sub>
                        <m:r>
                          <m:rPr>
                            <m:sty m:val="p"/>
                          </m:rPr>
                          <w:rPr>
                            <w:rFonts w:hint="default"/>
                            <w:sz w:val="21"/>
                            <w:vertAlign w:val="baseline"/>
                            <w:lang w:val="en-US" w:eastAsia="zh-CN"/>
                          </w:rPr>
                          <m:t>a</m:t>
                        </m:r>
                        <m:ctrlPr>
                          <w:rPr>
                            <w:rFonts w:hint="default" w:ascii="DejaVu Math TeX Gyre" w:hAnsi="DejaVu Math TeX Gyre"/>
                            <w:i w:val="0"/>
                            <w:sz w:val="21"/>
                            <w:vertAlign w:val="baseline"/>
                            <w:lang w:val="en-US" w:eastAsia="zh-CN"/>
                          </w:rPr>
                        </m:ctrlPr>
                      </m:sub>
                    </m:sSub>
                    <m:ctrlPr>
                      <w:rPr>
                        <w:rFonts w:hint="default" w:ascii="DejaVu Math TeX Gyre" w:hAnsi="DejaVu Math TeX Gyre"/>
                        <w:i w:val="0"/>
                        <w:sz w:val="21"/>
                        <w:vertAlign w:val="baseline"/>
                        <w:lang w:val="en-US" w:eastAsia="zh-CN"/>
                      </w:rPr>
                    </m:ctrlPr>
                  </m:den>
                </m:f>
                <m:r>
                  <m:rPr>
                    <m:sty m:val="p"/>
                  </m:rPr>
                  <w:rPr>
                    <w:rFonts w:hint="default"/>
                    <w:sz w:val="21"/>
                    <w:vertAlign w:val="baseline"/>
                    <w:lang w:val="en-US" w:eastAsia="zh-CN"/>
                  </w:rPr>
                  <m:t>×100%</m:t>
                </m:r>
              </m:oMath>
            </m:oMathPara>
          </w:p>
        </w:tc>
      </w:tr>
    </w:tbl>
    <w:p w14:paraId="4C35DDCB">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式中：</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P</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s</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表示建议售价；</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P</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a</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 xml:space="preserve"> 表示实际售价；</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P</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u</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 xml:space="preserve"> 表示单份利润；</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t</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表示目标利润率；</w:t>
      </w:r>
      <m:oMath>
        <m:sSub>
          <m:sSubPr>
            <m:ctrlPr>
              <w:rPr>
                <w:rFonts w:hint="default" w:ascii="DejaVu Math TeX Gyre" w:hAnsi="DejaVu Math TeX Gyre" w:eastAsia="宋体" w:cs="宋体"/>
                <w:kern w:val="0"/>
                <w:sz w:val="24"/>
                <w:szCs w:val="24"/>
                <w:lang w:val="en-US" w:eastAsia="zh-CN"/>
              </w:rPr>
            </m:ctrlPr>
          </m:sSubPr>
          <m:e>
            <m:r>
              <m:rPr>
                <m:sty m:val="p"/>
              </m:rPr>
              <w:rPr>
                <w:rFonts w:hint="default" w:ascii="Times New Roman" w:hAnsi="Times New Roman" w:eastAsia="宋体" w:cs="宋体"/>
                <w:kern w:val="0"/>
                <w:sz w:val="24"/>
                <w:szCs w:val="24"/>
                <w:lang w:val="en-US" w:eastAsia="zh-CN"/>
              </w:rPr>
              <m:t>R</m:t>
            </m:r>
            <m:ctrlPr>
              <w:rPr>
                <w:rFonts w:hint="default" w:ascii="DejaVu Math TeX Gyre" w:hAnsi="DejaVu Math TeX Gyre" w:eastAsia="宋体" w:cs="宋体"/>
                <w:kern w:val="0"/>
                <w:sz w:val="24"/>
                <w:szCs w:val="24"/>
                <w:lang w:val="en-US" w:eastAsia="zh-CN"/>
              </w:rPr>
            </m:ctrlPr>
          </m:e>
          <m:sub>
            <m:r>
              <m:rPr>
                <m:sty m:val="p"/>
              </m:rPr>
              <w:rPr>
                <w:rFonts w:hint="default" w:ascii="Times New Roman" w:hAnsi="Times New Roman" w:eastAsia="宋体" w:cs="宋体"/>
                <w:kern w:val="0"/>
                <w:sz w:val="24"/>
                <w:szCs w:val="24"/>
                <w:lang w:val="en-US" w:eastAsia="zh-CN"/>
              </w:rPr>
              <m:t>a</m:t>
            </m:r>
            <m:ctrlPr>
              <w:rPr>
                <w:rFonts w:hint="default" w:ascii="DejaVu Math TeX Gyre" w:hAnsi="DejaVu Math TeX Gyre" w:eastAsia="宋体" w:cs="宋体"/>
                <w:kern w:val="0"/>
                <w:sz w:val="24"/>
                <w:szCs w:val="24"/>
                <w:lang w:val="en-US" w:eastAsia="zh-CN"/>
              </w:rPr>
            </m:ctrlPr>
          </m:sub>
        </m:sSub>
      </m:oMath>
      <w:r>
        <w:rPr>
          <w:rFonts w:hint="default" w:ascii="Times New Roman" w:hAnsi="Times New Roman" w:eastAsia="宋体" w:cs="宋体"/>
          <w:kern w:val="0"/>
          <w:sz w:val="24"/>
          <w:szCs w:val="24"/>
          <w:lang w:val="en-US" w:eastAsia="zh-CN"/>
        </w:rPr>
        <w:t>表示实际利润率。完整成本和定价关系如下：</w:t>
      </w:r>
    </w:p>
    <w:p w14:paraId="5004989B">
      <w:pPr>
        <w:widowControl/>
        <w:spacing w:line="360" w:lineRule="auto"/>
        <w:ind w:firstLine="420" w:firstLineChars="200"/>
        <w:jc w:val="center"/>
        <w:rPr>
          <w:rFonts w:hint="default" w:ascii="宋体" w:hAnsi="宋体" w:cs="宋体"/>
          <w:kern w:val="0"/>
          <w:szCs w:val="22"/>
          <w:lang w:val="en-US" w:eastAsia="zh-CN"/>
        </w:rPr>
      </w:pPr>
      <w:r>
        <w:rPr>
          <w:rFonts w:hint="default" w:ascii="宋体" w:hAnsi="宋体" w:cs="宋体"/>
          <w:kern w:val="0"/>
          <w:szCs w:val="22"/>
          <w:lang w:val="en-US" w:eastAsia="zh-CN"/>
        </w:rPr>
        <w:drawing>
          <wp:inline distT="0" distB="0" distL="114300" distR="114300">
            <wp:extent cx="4248150" cy="2442845"/>
            <wp:effectExtent l="0" t="0" r="19050" b="2095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0"/>
                    <a:stretch>
                      <a:fillRect/>
                    </a:stretch>
                  </pic:blipFill>
                  <pic:spPr>
                    <a:xfrm>
                      <a:off x="0" y="0"/>
                      <a:ext cx="4248150" cy="2442845"/>
                    </a:xfrm>
                    <a:prstGeom prst="rect">
                      <a:avLst/>
                    </a:prstGeom>
                    <a:noFill/>
                    <a:ln>
                      <a:noFill/>
                    </a:ln>
                  </pic:spPr>
                </pic:pic>
              </a:graphicData>
            </a:graphic>
          </wp:inline>
        </w:drawing>
      </w:r>
    </w:p>
    <w:p w14:paraId="30ACF3D6">
      <w:pPr>
        <w:keepNext w:val="0"/>
        <w:keepLines w:val="0"/>
        <w:pageBreakBefore w:val="0"/>
        <w:widowControl w:val="0"/>
        <w:kinsoku/>
        <w:wordWrap/>
        <w:overflowPunct/>
        <w:topLinePunct w:val="0"/>
        <w:autoSpaceDE/>
        <w:autoSpaceDN/>
        <w:bidi w:val="0"/>
        <w:adjustRightInd/>
        <w:snapToGrid/>
        <w:spacing w:before="60" w:after="60" w:line="360" w:lineRule="auto"/>
        <w:jc w:val="center"/>
        <w:textAlignment w:val="auto"/>
        <w:outlineLvl w:val="1"/>
        <w:rPr>
          <w:rFonts w:hint="eastAsia" w:ascii="Times New Roman" w:eastAsia="宋体"/>
          <w:b/>
          <w:lang w:val="en-US" w:eastAsia="zh-CN"/>
        </w:rPr>
      </w:pPr>
      <w:r>
        <w:rPr>
          <w:rFonts w:hint="eastAsia"/>
          <w:b/>
        </w:rPr>
        <w:t>图3.</w:t>
      </w:r>
      <w:r>
        <w:rPr>
          <w:rFonts w:hint="eastAsia" w:ascii="Times New Roman" w:eastAsia="宋体"/>
          <w:b/>
          <w:lang w:val="en-US" w:eastAsia="zh-CN"/>
        </w:rPr>
        <w:t xml:space="preserve">3 </w:t>
      </w:r>
      <w:r>
        <w:rPr>
          <w:rFonts w:hint="eastAsia" w:eastAsia="宋体"/>
          <w:b/>
          <w:lang w:val="en-US" w:eastAsia="zh-CN"/>
        </w:rPr>
        <w:t>成本定价关系</w:t>
      </w:r>
      <w:r>
        <w:rPr>
          <w:rFonts w:hint="eastAsia" w:ascii="Times New Roman" w:eastAsia="宋体"/>
          <w:b/>
          <w:lang w:val="en-US" w:eastAsia="zh-CN"/>
        </w:rPr>
        <w:t>图</w:t>
      </w:r>
    </w:p>
    <w:p w14:paraId="59254750">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3.8 AI 烘焙助手辅助算法</w:t>
      </w:r>
    </w:p>
    <w:p w14:paraId="2136D4B7">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AI 烘焙助手采用对话式交互方式，根据用户选择的功能模式及关联数据调用智能推荐服务，生成烘焙分析结果和计划建议。</w:t>
      </w:r>
    </w:p>
    <w:p w14:paraId="6171309D">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在计划模式下，系统读取生豆基础信息和用户设定的烘焙目标，结合相似豆种的历史参数、目标烘焙程度规律及用户偏好，生成包含投豆、回温、转黄、一爆、发展和下豆等关键节点的初始烘焙计划草稿。</w:t>
      </w:r>
    </w:p>
    <w:p w14:paraId="122066C3">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在复盘模式下，系统综合分析原计划参数、实际投豆量、出豆量、烘焙时长、损耗率和杯测评价，对比计划与实际执行的差异，识别可能影响风味的关键问题，并生成针对火力、转速或节点时间的优化建议。</w:t>
      </w:r>
    </w:p>
    <w:p w14:paraId="1D136024">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kern w:val="0"/>
          <w:sz w:val="24"/>
          <w:szCs w:val="24"/>
          <w:lang w:val="en-US" w:eastAsia="zh-CN"/>
        </w:rPr>
      </w:pPr>
      <w:r>
        <w:rPr>
          <w:rFonts w:hint="default" w:ascii="Times New Roman" w:hAnsi="Times New Roman" w:eastAsia="宋体" w:cs="宋体"/>
          <w:kern w:val="0"/>
          <w:sz w:val="24"/>
          <w:szCs w:val="24"/>
          <w:lang w:val="en-US" w:eastAsia="zh-CN"/>
        </w:rPr>
        <w:t>对于常识性问题，系统基于咖啡烘焙知识库直接生成理论说明和操作建议。历史对话按生豆 ID 或对话类型分类保存，方便用户检索既往分析记录并继续讨论。系统还对各类功能设置月度使用额度，每次成功生成分析或计划后自动扣减，前端实时显示剩余次数。</w:t>
      </w:r>
    </w:p>
    <w:p w14:paraId="3C1247CD">
      <w:pPr>
        <w:keepNext/>
        <w:keepLines/>
        <w:pageBreakBefore w:val="0"/>
        <w:widowControl w:val="0"/>
        <w:kinsoku/>
        <w:wordWrap/>
        <w:overflowPunct/>
        <w:topLinePunct w:val="0"/>
        <w:autoSpaceDE/>
        <w:autoSpaceDN/>
        <w:bidi w:val="0"/>
        <w:adjustRightInd/>
        <w:snapToGrid/>
        <w:spacing w:before="100" w:after="100" w:line="360" w:lineRule="auto"/>
        <w:jc w:val="both"/>
        <w:textAlignment w:val="auto"/>
        <w:outlineLvl w:val="0"/>
        <w:rPr>
          <w:rFonts w:hint="eastAsia" w:ascii="Times New Roman" w:hAnsi="Times New Roman" w:eastAsia="宋体" w:cs="Times New Roman"/>
          <w:b/>
          <w:kern w:val="44"/>
          <w:sz w:val="30"/>
          <w:szCs w:val="30"/>
          <w:lang w:val="en-US" w:eastAsia="zh-CN" w:bidi="ar-SA"/>
        </w:rPr>
      </w:pPr>
      <w:bookmarkStart w:id="10" w:name="_Toc9270805"/>
      <w:bookmarkStart w:id="11" w:name="_Toc22741"/>
      <w:r>
        <w:rPr>
          <w:rFonts w:hint="eastAsia" w:ascii="Times New Roman" w:hAnsi="Times New Roman" w:eastAsia="宋体" w:cs="Times New Roman"/>
          <w:b/>
          <w:kern w:val="44"/>
          <w:sz w:val="30"/>
          <w:szCs w:val="30"/>
          <w:lang w:val="en-US" w:eastAsia="zh-CN" w:bidi="ar-SA"/>
        </w:rPr>
        <w:t>4 系统设计</w:t>
      </w:r>
      <w:bookmarkEnd w:id="10"/>
      <w:r>
        <w:rPr>
          <w:rFonts w:hint="eastAsia" w:ascii="Times New Roman" w:hAnsi="Times New Roman" w:eastAsia="宋体" w:cs="Times New Roman"/>
          <w:b/>
          <w:kern w:val="44"/>
          <w:sz w:val="30"/>
          <w:szCs w:val="30"/>
          <w:lang w:val="en-US" w:eastAsia="zh-CN" w:bidi="ar-SA"/>
        </w:rPr>
        <w:t>与实现</w:t>
      </w:r>
      <w:bookmarkEnd w:id="11"/>
    </w:p>
    <w:p w14:paraId="579CE72C">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4.1 烘焙助手页面</w:t>
      </w:r>
    </w:p>
    <w:p w14:paraId="7588BFD2">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AI 烘焙助手页面是系统开展烘焙方案讨论、历史复盘和知识查询的主要入口。页面采用对话式设计，用户可通过文本输入框与 AI 进行多轮交流，系统根据所选模式及关联数据返回分析结果和计划建议。</w:t>
      </w:r>
    </w:p>
    <w:p w14:paraId="0F5D3881">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页面顶部设有新建对话和历史对话入口，便于用户开启新的分析会话或查看既往记录。中部为消息列表，按时间顺序展示用户输入和系统回复，并支持独立滚动浏览。底部工作区包括模式选择、关联数据选择、月度额度提示和输入框。</w:t>
      </w:r>
    </w:p>
    <w:p w14:paraId="7367A797">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当系统生成烘焙计划草稿时，对话内容中会显示创建计划操作入口。用户点击后可打开计划确认区域，对关键节点及参数进行补充或调整，并保存为正式烘焙计划。</w:t>
      </w:r>
    </w:p>
    <w:p w14:paraId="5A760D79">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工作区右侧实时显示当前模式的剩余使用次数。计划生成、烘焙复盘和知识问答分别独立计次，方便用户掌握各项功能的月度额度。消息列表为空时，系统会根据当前模式及已关联的生豆或烘焙记录提供若干常用操作提示，用户点击后即可快速发起相应对话。</w:t>
      </w:r>
    </w:p>
    <w:p w14:paraId="4810B3FB">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478280" cy="3060065"/>
            <wp:effectExtent l="0" t="0" r="20320" b="1333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1478280" cy="3060065"/>
                    </a:xfrm>
                    <a:prstGeom prst="rect">
                      <a:avLst/>
                    </a:prstGeom>
                    <a:noFill/>
                    <a:ln>
                      <a:noFill/>
                    </a:ln>
                  </pic:spPr>
                </pic:pic>
              </a:graphicData>
            </a:graphic>
          </wp:inline>
        </w:drawing>
      </w:r>
    </w:p>
    <w:p w14:paraId="0A62C6E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eastAsia="宋体"/>
          <w:lang w:val="en-US" w:eastAsia="zh-CN"/>
        </w:rPr>
      </w:pPr>
      <w:r>
        <w:rPr>
          <w:rFonts w:hint="eastAsia" w:ascii="Times New Roman" w:eastAsia="宋体"/>
          <w:lang w:val="en-US" w:eastAsia="zh-CN"/>
        </w:rPr>
        <w:t>图4.1 AI 烘焙助手页面空状态</w:t>
      </w:r>
    </w:p>
    <w:p w14:paraId="4BAB3E7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1476375" cy="3060065"/>
            <wp:effectExtent l="0" t="0" r="22225" b="1333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2"/>
                    <a:stretch>
                      <a:fillRect/>
                    </a:stretch>
                  </pic:blipFill>
                  <pic:spPr>
                    <a:xfrm>
                      <a:off x="0" y="0"/>
                      <a:ext cx="1476375" cy="3060065"/>
                    </a:xfrm>
                    <a:prstGeom prst="rect">
                      <a:avLst/>
                    </a:prstGeom>
                    <a:noFill/>
                    <a:ln>
                      <a:noFill/>
                    </a:ln>
                  </pic:spPr>
                </pic:pic>
              </a:graphicData>
            </a:graphic>
          </wp:inline>
        </w:drawing>
      </w:r>
    </w:p>
    <w:p w14:paraId="2835B3D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rPr>
          <w:rFonts w:hint="default"/>
          <w:lang w:val="en-US" w:eastAsia="zh-CN"/>
        </w:rPr>
        <w:t>图4.</w:t>
      </w:r>
      <w:r>
        <w:rPr>
          <w:rFonts w:hint="eastAsia" w:ascii="Times New Roman" w:eastAsia="宋体"/>
          <w:lang w:val="en-US" w:eastAsia="zh-CN"/>
        </w:rPr>
        <w:t>2</w:t>
      </w:r>
      <w:r>
        <w:rPr>
          <w:rFonts w:hint="default"/>
          <w:lang w:val="en-US" w:eastAsia="zh-CN"/>
        </w:rPr>
        <w:t xml:space="preserve"> AI 烘焙助手对话状态</w:t>
      </w:r>
    </w:p>
    <w:p w14:paraId="45D63115">
      <w:pPr>
        <w:widowControl/>
        <w:spacing w:line="360" w:lineRule="auto"/>
        <w:ind w:firstLine="480" w:firstLineChars="200"/>
        <w:jc w:val="both"/>
        <w:rPr>
          <w:rFonts w:hint="default"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页面右上角提供新建对话和历史对话两个快捷按钮，用于管理对话会话。点击新建对话按钮，系统会清空当前对话内容，重置模式选择器和上下文选择器，用户可以重新选择工作模式和关联数据，开始一次全新的对话会话。点击历史对话按钮，系统会打开历史对话抽屉，展示所有保存的对话记录。对话记录按生豆分组显示，每个生豆组显示该豆子关联的所有对话（包括计划模式和复盘模式的对话）。常识性提问的对话单独保存在常识性提问分组下。用户点击任意历史对话条目，系统会快速恢复该对话的完整上下文，包括选择的模式、关联的数据、所有历史消息和 AI 回复。历史对话功能帮助用户建立每支豆子的完整烘焙知识库，方便回溯分析思路、对比不同批次的优化方向，以及复用成功的烘焙方案。</w:t>
      </w:r>
    </w:p>
    <w:p w14:paraId="6DC5589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477645" cy="3060065"/>
            <wp:effectExtent l="0" t="0" r="20955" b="1333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3"/>
                    <a:stretch>
                      <a:fillRect/>
                    </a:stretch>
                  </pic:blipFill>
                  <pic:spPr>
                    <a:xfrm>
                      <a:off x="0" y="0"/>
                      <a:ext cx="1477645" cy="3060065"/>
                    </a:xfrm>
                    <a:prstGeom prst="rect">
                      <a:avLst/>
                    </a:prstGeom>
                    <a:noFill/>
                    <a:ln>
                      <a:noFill/>
                    </a:ln>
                  </pic:spPr>
                </pic:pic>
              </a:graphicData>
            </a:graphic>
          </wp:inline>
        </w:drawing>
      </w:r>
    </w:p>
    <w:p w14:paraId="4000A7B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rPr>
          <w:rFonts w:hint="default"/>
          <w:lang w:val="en-US" w:eastAsia="zh-CN"/>
        </w:rPr>
        <w:t>图4.</w:t>
      </w:r>
      <w:r>
        <w:rPr>
          <w:rFonts w:hint="eastAsia" w:eastAsia="宋体"/>
          <w:lang w:val="en-US" w:eastAsia="zh-CN"/>
        </w:rPr>
        <w:t>3</w:t>
      </w:r>
      <w:r>
        <w:rPr>
          <w:rFonts w:hint="default"/>
          <w:lang w:val="en-US" w:eastAsia="zh-CN"/>
        </w:rPr>
        <w:t xml:space="preserve"> AI 烘焙助手对话状态</w:t>
      </w:r>
    </w:p>
    <w:p w14:paraId="6AC60E8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p>
    <w:p w14:paraId="73E7C878">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4.2 计划模式</w:t>
      </w:r>
    </w:p>
    <w:p w14:paraId="294952CA">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计划模式用于在开炉前生成新豆的起始烘焙方案，适合初次接触某支豆子或尝试新烘法的场景。用户首先在页面底部工作区的模式选择器中选择生豆烘焙计划推荐，然后在生豆选择器中选择目标生豆。系统会自动读取该生豆的名称、产地、品种、处理法、风味描述和采购信息等基础数据作为对话上下文。用户可以在输入框中描述烘焙目标和期望风味，例如：生成一份适合手冲的中浅烘计划，突出花香与果酸，避免焦苦。点击发送后，AI 会根据生豆特征和用户需求，结合烘焙工艺的一般规律和相似豆种的历史参数，生成包含投豆时间、回温点温度、转黄时间与温度、一爆开始时间与温度、发展阶段时长、下豆时间与温度等关键节点的烘焙计划草稿。每个节点还会附带建议的炉温、风温、火力和滚筒转速参数。用户可以在对话中继续提问，当用户对计划草稿满意后，点击消息中的确认并创建计划按钮，系统会打开计划确认抽屉，展示完整的节点列表和参数表格，用户可以在此进一步编辑节点时间、调整火力曲线、添加操作备注，最终点击创建按钮保存为正式的烘焙计划。</w:t>
      </w:r>
    </w:p>
    <w:p w14:paraId="14D3E8EF">
      <w:pPr>
        <w:keepNext w:val="0"/>
        <w:keepLines w:val="0"/>
        <w:pageBreakBefore w:val="0"/>
        <w:widowControl w:val="0"/>
        <w:kinsoku/>
        <w:wordWrap/>
        <w:overflowPunct/>
        <w:topLinePunct w:val="0"/>
        <w:autoSpaceDE/>
        <w:autoSpaceDN/>
        <w:bidi w:val="0"/>
        <w:adjustRightInd/>
        <w:snapToGrid/>
        <w:spacing w:before="80" w:after="80" w:line="360" w:lineRule="auto"/>
        <w:jc w:val="center"/>
        <w:textAlignment w:val="auto"/>
      </w:pPr>
      <w:r>
        <w:drawing>
          <wp:inline distT="0" distB="0" distL="114300" distR="114300">
            <wp:extent cx="1477645" cy="3060065"/>
            <wp:effectExtent l="0" t="0" r="20955" b="133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4"/>
                    <a:stretch>
                      <a:fillRect/>
                    </a:stretch>
                  </pic:blipFill>
                  <pic:spPr>
                    <a:xfrm>
                      <a:off x="0" y="0"/>
                      <a:ext cx="1477645" cy="3060065"/>
                    </a:xfrm>
                    <a:prstGeom prst="rect">
                      <a:avLst/>
                    </a:prstGeom>
                    <a:noFill/>
                    <a:ln>
                      <a:noFill/>
                    </a:ln>
                  </pic:spPr>
                </pic:pic>
              </a:graphicData>
            </a:graphic>
          </wp:inline>
        </w:drawing>
      </w:r>
    </w:p>
    <w:p w14:paraId="3FEFB02B">
      <w:pPr>
        <w:keepNext w:val="0"/>
        <w:keepLines w:val="0"/>
        <w:pageBreakBefore w:val="0"/>
        <w:widowControl w:val="0"/>
        <w:kinsoku/>
        <w:wordWrap/>
        <w:overflowPunct/>
        <w:topLinePunct w:val="0"/>
        <w:autoSpaceDE/>
        <w:autoSpaceDN/>
        <w:bidi w:val="0"/>
        <w:adjustRightInd/>
        <w:snapToGrid/>
        <w:spacing w:before="80" w:after="80" w:line="360" w:lineRule="auto"/>
        <w:jc w:val="center"/>
        <w:textAlignment w:val="auto"/>
        <w:rPr>
          <w:rFonts w:hint="eastAsia"/>
          <w:lang w:val="en-US" w:eastAsia="zh-CN"/>
        </w:rPr>
      </w:pPr>
      <w:r>
        <w:rPr>
          <w:rFonts w:hint="eastAsia" w:ascii="Times New Roman" w:eastAsia="宋体"/>
          <w:lang w:val="en-US" w:eastAsia="zh-CN"/>
        </w:rPr>
        <w:t xml:space="preserve">图4.3 </w:t>
      </w:r>
      <w:r>
        <w:rPr>
          <w:rFonts w:hint="eastAsia"/>
          <w:lang w:val="en-US" w:eastAsia="zh-CN"/>
        </w:rPr>
        <w:t>计划</w:t>
      </w:r>
      <w:r>
        <w:rPr>
          <w:rFonts w:hint="eastAsia" w:ascii="Times New Roman" w:eastAsia="宋体"/>
          <w:lang w:val="en-US" w:eastAsia="zh-CN"/>
        </w:rPr>
        <w:t>模式工作界面</w:t>
      </w:r>
    </w:p>
    <w:p w14:paraId="4C6E04BA">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4.3 复盘模式</w:t>
      </w:r>
    </w:p>
    <w:p w14:paraId="657D64AE">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复盘模式用于分析已完成的烘焙记录，找出问题并生成优化计划，适合迭代改进已有烘焙方案的场景。用户在模式选择器中选择烘焙计划分析，然后在烘焙记录选择器中选择一次已完成的烘焙批次。系统会自动加载该批次的原始计划、实际投豆量、出豆量、烘焙时长、损耗率、烘焙日期，以及杯测评价（如有）等完整数据作为对话上下文。用户可以向 AI 提问，例如：这炉最需要调整什么？或为什么会有明显的焦苦味？AI 会结合原计划与实际执行情况，分析关键节点的偏差，并指出这些偏差对最终风味的可能影响。随后 AI 会生成一份优化计划草稿，针对性地调整火力策略、节点时间或转速参数。用户可以在对话中继续讨论，当确认优化方案后，用户点击确认并创建计划，系统会将优化后的计划保存为新的烘焙方案，供下一炉使用。</w:t>
      </w:r>
    </w:p>
    <w:p w14:paraId="352B14B8">
      <w:pPr>
        <w:keepNext w:val="0"/>
        <w:keepLines w:val="0"/>
        <w:pageBreakBefore w:val="0"/>
        <w:widowControl w:val="0"/>
        <w:kinsoku/>
        <w:wordWrap/>
        <w:overflowPunct/>
        <w:topLinePunct w:val="0"/>
        <w:autoSpaceDE/>
        <w:autoSpaceDN/>
        <w:bidi w:val="0"/>
        <w:adjustRightInd/>
        <w:snapToGrid/>
        <w:spacing w:before="80" w:after="80" w:line="360" w:lineRule="auto"/>
        <w:jc w:val="center"/>
        <w:textAlignment w:val="auto"/>
      </w:pPr>
      <w:r>
        <w:drawing>
          <wp:inline distT="0" distB="0" distL="114300" distR="114300">
            <wp:extent cx="1478915" cy="3060065"/>
            <wp:effectExtent l="0" t="0" r="19685" b="1333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5"/>
                    <a:stretch>
                      <a:fillRect/>
                    </a:stretch>
                  </pic:blipFill>
                  <pic:spPr>
                    <a:xfrm>
                      <a:off x="0" y="0"/>
                      <a:ext cx="1478915" cy="3060065"/>
                    </a:xfrm>
                    <a:prstGeom prst="rect">
                      <a:avLst/>
                    </a:prstGeom>
                    <a:noFill/>
                    <a:ln>
                      <a:noFill/>
                    </a:ln>
                  </pic:spPr>
                </pic:pic>
              </a:graphicData>
            </a:graphic>
          </wp:inline>
        </w:drawing>
      </w:r>
    </w:p>
    <w:p w14:paraId="2E0C6C23">
      <w:pPr>
        <w:keepNext w:val="0"/>
        <w:keepLines w:val="0"/>
        <w:pageBreakBefore w:val="0"/>
        <w:widowControl w:val="0"/>
        <w:kinsoku/>
        <w:wordWrap/>
        <w:overflowPunct/>
        <w:topLinePunct w:val="0"/>
        <w:autoSpaceDE/>
        <w:autoSpaceDN/>
        <w:bidi w:val="0"/>
        <w:adjustRightInd/>
        <w:snapToGrid/>
        <w:spacing w:before="80" w:after="80" w:line="360" w:lineRule="auto"/>
        <w:jc w:val="center"/>
        <w:textAlignment w:val="auto"/>
        <w:rPr>
          <w:rFonts w:hint="default" w:eastAsia="宋体"/>
          <w:lang w:val="en-US" w:eastAsia="zh-CN"/>
        </w:rPr>
      </w:pPr>
      <w:r>
        <w:rPr>
          <w:rFonts w:hint="eastAsia" w:ascii="Times New Roman" w:eastAsia="宋体"/>
          <w:lang w:val="en-US" w:eastAsia="zh-CN"/>
        </w:rPr>
        <w:t>图4.</w:t>
      </w:r>
      <w:r>
        <w:rPr>
          <w:rFonts w:hint="eastAsia"/>
          <w:lang w:val="en-US" w:eastAsia="zh-CN"/>
        </w:rPr>
        <w:t>4</w:t>
      </w:r>
      <w:r>
        <w:rPr>
          <w:rFonts w:hint="eastAsia" w:ascii="Times New Roman" w:eastAsia="宋体"/>
          <w:lang w:val="en-US" w:eastAsia="zh-CN"/>
        </w:rPr>
        <w:t xml:space="preserve"> 复盘模式工作界面</w:t>
      </w:r>
    </w:p>
    <w:p w14:paraId="7C34A10B">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4.4 常识性提问模式</w:t>
      </w:r>
    </w:p>
    <w:p w14:paraId="36AE19AF">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常识性提问模式不关联任何生豆或烘焙记录，用于快速解答咖啡烘焙领域的常识性问题，适合烘焙新手快速学习、经验丰富的用户临场解决疑问，或在不确定具体操作时寻求理论指导的场景。用户无需选择任何上下文数据，直接在输入框中提问即可。常见的问题类型包括烘焙理论（例如一爆通常意味着什么？、美拉德反应发生在哪个阶段？）、技巧判断（例如浅烘焙如何避免尖酸？、如何判断 RoR 是否稳定？）、品质评估（例如如何判断豆子是否养好？、豆表油光是过度烘焙吗？）和设备操作（例如风门大小如何影响烘焙？、滚筒转速对热传导的影响？）等。AI 会基于预训练的咖啡烘焙知识库给出简洁明确的回答，帮助用户理解烘焙原理、判断品质问题或学习操作技巧。常识性提问模式不会生成烘焙计划草稿，也不会消耗计划或复盘模式的月度额度，而是单独计次。</w:t>
      </w:r>
    </w:p>
    <w:p w14:paraId="2EFEE8B6">
      <w:pPr>
        <w:spacing w:before="80" w:after="80" w:line="240" w:lineRule="auto"/>
        <w:jc w:val="center"/>
      </w:pPr>
      <w:r>
        <w:drawing>
          <wp:inline distT="0" distB="0" distL="114300" distR="114300">
            <wp:extent cx="1477645" cy="3060065"/>
            <wp:effectExtent l="0" t="0" r="20955" b="133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6"/>
                    <a:stretch>
                      <a:fillRect/>
                    </a:stretch>
                  </pic:blipFill>
                  <pic:spPr>
                    <a:xfrm>
                      <a:off x="0" y="0"/>
                      <a:ext cx="1477645" cy="3060065"/>
                    </a:xfrm>
                    <a:prstGeom prst="rect">
                      <a:avLst/>
                    </a:prstGeom>
                    <a:noFill/>
                    <a:ln>
                      <a:noFill/>
                    </a:ln>
                  </pic:spPr>
                </pic:pic>
              </a:graphicData>
            </a:graphic>
          </wp:inline>
        </w:drawing>
      </w:r>
    </w:p>
    <w:p w14:paraId="6B4A59EA">
      <w:pPr>
        <w:tabs>
          <w:tab w:val="left" w:pos="5460"/>
        </w:tabs>
        <w:spacing w:before="80" w:after="80" w:line="240" w:lineRule="auto"/>
        <w:jc w:val="center"/>
        <w:rPr>
          <w:rFonts w:hint="default"/>
          <w:lang w:val="en-US" w:eastAsia="zh-CN"/>
        </w:rPr>
      </w:pPr>
      <w:r>
        <w:rPr>
          <w:rFonts w:hint="eastAsia" w:ascii="Times New Roman" w:eastAsia="宋体"/>
          <w:lang w:val="en-US" w:eastAsia="zh-CN"/>
        </w:rPr>
        <w:t>图4.</w:t>
      </w:r>
      <w:r>
        <w:rPr>
          <w:rFonts w:hint="eastAsia"/>
          <w:lang w:val="en-US" w:eastAsia="zh-CN"/>
        </w:rPr>
        <w:t>5</w:t>
      </w:r>
      <w:r>
        <w:rPr>
          <w:rFonts w:hint="eastAsia" w:ascii="Times New Roman" w:eastAsia="宋体"/>
          <w:lang w:val="en-US" w:eastAsia="zh-CN"/>
        </w:rPr>
        <w:t xml:space="preserve"> 常识性提问模式示例</w:t>
      </w:r>
    </w:p>
    <w:p w14:paraId="70637E8C">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4.5 计划确认与创建</w:t>
      </w:r>
    </w:p>
    <w:p w14:paraId="76957918">
      <w:pPr>
        <w:widowControl/>
        <w:spacing w:line="360" w:lineRule="auto"/>
        <w:ind w:firstLine="480" w:firstLineChars="200"/>
        <w:jc w:val="both"/>
        <w:rPr>
          <w:rFonts w:hint="eastAsia" w:ascii="Times New Roman" w:hAnsi="Times New Roman" w:eastAsia="宋体" w:cs="宋体"/>
          <w:kern w:val="0"/>
          <w:sz w:val="24"/>
          <w:szCs w:val="24"/>
          <w:lang w:val="en-US" w:eastAsia="zh-CN"/>
        </w:rPr>
      </w:pPr>
      <w:r>
        <w:rPr>
          <w:rFonts w:hint="eastAsia" w:ascii="Times New Roman" w:hAnsi="Times New Roman" w:eastAsia="宋体" w:cs="宋体"/>
          <w:kern w:val="0"/>
          <w:sz w:val="24"/>
          <w:szCs w:val="24"/>
          <w:lang w:val="en-US" w:eastAsia="zh-CN"/>
        </w:rPr>
        <w:t>当 AI 在对话中生成烘焙计划草稿后，对应的消息卡片会附带确认并创建计划按钮。点击该按钮后，系统会打开计划确认抽屉，从底部滑出并占据大部分屏幕高度。抽屉顶部显示标题确认烘焙计划和关闭按钮。抽屉内容区域展示完整的烘焙计划表单，包括生豆名称（自动填充为对话关联的生豆）、烘焙日期（默认为当天）、目标烘焙程度（可选择浅烘、中浅烘、中烘、中深烘、深烘）、设备名称（选择已配置的烘焙机）、投豆量（克）、预期出豆量（克）和计划备注等基础字段。抽屉下方展示节点列表，以表格形式列出所有烘焙节点，每行包含节点时间（分:秒）、事件名称（如投豆、回温、转黄、一爆开始、下豆）、炉温、风温、火力、滚筒转速和操作备注等字段。用户可以直接在表格中编辑任意节点的参数，也可以点击上移、下移、删除按钮调整节点顺序或移除不需要的节点。抽屉底部提供添加节点按钮，用户可以手动增加自定义节点。用户完成编辑后，点击抽屉底部的创建按钮，系统会校验节点时间顺序和必填字段完整性，校验通过后保存为正式的烘焙计划并关闭抽屉。</w:t>
      </w:r>
    </w:p>
    <w:p w14:paraId="05DA50D1">
      <w:pPr>
        <w:spacing w:before="80" w:after="80" w:line="240" w:lineRule="auto"/>
        <w:jc w:val="center"/>
      </w:pPr>
      <w:r>
        <w:drawing>
          <wp:inline distT="0" distB="0" distL="114300" distR="114300">
            <wp:extent cx="1482725" cy="3060065"/>
            <wp:effectExtent l="0" t="0" r="15875" b="1333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7"/>
                    <a:stretch>
                      <a:fillRect/>
                    </a:stretch>
                  </pic:blipFill>
                  <pic:spPr>
                    <a:xfrm>
                      <a:off x="0" y="0"/>
                      <a:ext cx="1482725" cy="3060065"/>
                    </a:xfrm>
                    <a:prstGeom prst="rect">
                      <a:avLst/>
                    </a:prstGeom>
                    <a:noFill/>
                    <a:ln>
                      <a:noFill/>
                    </a:ln>
                  </pic:spPr>
                </pic:pic>
              </a:graphicData>
            </a:graphic>
          </wp:inline>
        </w:drawing>
      </w:r>
    </w:p>
    <w:p w14:paraId="7BF32A0B">
      <w:pPr>
        <w:spacing w:before="80" w:after="80" w:line="240" w:lineRule="auto"/>
        <w:jc w:val="center"/>
        <w:rPr>
          <w:rFonts w:hint="default"/>
          <w:lang w:val="en-US"/>
        </w:rPr>
      </w:pPr>
      <w:r>
        <w:rPr>
          <w:rFonts w:hint="eastAsia" w:ascii="Times New Roman" w:eastAsia="宋体"/>
          <w:lang w:val="en-US" w:eastAsia="zh-CN"/>
        </w:rPr>
        <w:t>图4.</w:t>
      </w:r>
      <w:r>
        <w:rPr>
          <w:rFonts w:hint="eastAsia" w:eastAsia="宋体"/>
          <w:lang w:val="en-US" w:eastAsia="zh-CN"/>
        </w:rPr>
        <w:t>6</w:t>
      </w:r>
      <w:r>
        <w:rPr>
          <w:rFonts w:hint="eastAsia" w:ascii="Times New Roman" w:eastAsia="宋体"/>
          <w:lang w:val="en-US" w:eastAsia="zh-CN"/>
        </w:rPr>
        <w:t xml:space="preserve"> </w:t>
      </w:r>
      <w:r>
        <w:rPr>
          <w:rFonts w:hint="eastAsia" w:eastAsia="宋体"/>
          <w:lang w:val="en-US" w:eastAsia="zh-CN"/>
        </w:rPr>
        <w:t>计划返回后页面</w:t>
      </w:r>
    </w:p>
    <w:p w14:paraId="2210E3CA">
      <w:pPr>
        <w:spacing w:before="80" w:after="80" w:line="240" w:lineRule="auto"/>
        <w:jc w:val="center"/>
      </w:pPr>
      <w:r>
        <w:drawing>
          <wp:inline distT="0" distB="0" distL="114300" distR="114300">
            <wp:extent cx="1475740" cy="3060065"/>
            <wp:effectExtent l="0" t="0" r="22860" b="1333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8"/>
                    <a:stretch>
                      <a:fillRect/>
                    </a:stretch>
                  </pic:blipFill>
                  <pic:spPr>
                    <a:xfrm>
                      <a:off x="0" y="0"/>
                      <a:ext cx="1475740" cy="3060065"/>
                    </a:xfrm>
                    <a:prstGeom prst="rect">
                      <a:avLst/>
                    </a:prstGeom>
                    <a:noFill/>
                    <a:ln>
                      <a:noFill/>
                    </a:ln>
                  </pic:spPr>
                </pic:pic>
              </a:graphicData>
            </a:graphic>
          </wp:inline>
        </w:drawing>
      </w:r>
    </w:p>
    <w:p w14:paraId="1F76CE94">
      <w:pPr>
        <w:spacing w:before="80" w:after="80" w:line="240" w:lineRule="auto"/>
        <w:jc w:val="center"/>
      </w:pPr>
      <w:r>
        <w:rPr>
          <w:rFonts w:hint="eastAsia" w:ascii="Times New Roman" w:eastAsia="宋体"/>
          <w:lang w:val="en-US" w:eastAsia="zh-CN"/>
        </w:rPr>
        <w:t>图4.</w:t>
      </w:r>
      <w:r>
        <w:rPr>
          <w:rFonts w:hint="eastAsia"/>
          <w:lang w:val="en-US" w:eastAsia="zh-CN"/>
        </w:rPr>
        <w:t>7</w:t>
      </w:r>
      <w:r>
        <w:rPr>
          <w:rFonts w:hint="eastAsia" w:ascii="Times New Roman" w:eastAsia="宋体"/>
          <w:lang w:val="en-US" w:eastAsia="zh-CN"/>
        </w:rPr>
        <w:t xml:space="preserve"> 计划确认抽屉</w:t>
      </w:r>
    </w:p>
    <w:p w14:paraId="642DF36B">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4.6 生豆库存页面</w:t>
      </w:r>
    </w:p>
    <w:p w14:paraId="66FF15E3">
      <w:pPr>
        <w:spacing w:after="160"/>
        <w:ind w:firstLine="420" w:firstLineChars="0"/>
      </w:pPr>
      <w:r>
        <w:rPr>
          <w:rFonts w:hint="eastAsia" w:ascii="Times New Roman" w:hAnsi="Times New Roman" w:eastAsia="宋体" w:cs="宋体"/>
          <w:kern w:val="0"/>
          <w:sz w:val="24"/>
          <w:szCs w:val="24"/>
          <w:lang w:val="en-US" w:eastAsia="zh-CN"/>
        </w:rPr>
        <w:t>生豆库存页面用于集中查看和维护全部生豆。页面支持按生豆名称、产地、处理法和风味进行搜索，并提供筛选入口；顶部汇总展示总剩余库存和平均采购单价</w:t>
      </w:r>
      <w:bookmarkStart w:id="12" w:name="_GoBack"/>
      <w:bookmarkEnd w:id="12"/>
      <w:r>
        <w:rPr>
          <w:rFonts w:hint="eastAsia" w:ascii="Times New Roman" w:hAnsi="Times New Roman" w:eastAsia="宋体" w:cs="宋体"/>
          <w:kern w:val="0"/>
          <w:sz w:val="24"/>
          <w:szCs w:val="24"/>
          <w:lang w:val="en-US" w:eastAsia="zh-CN"/>
        </w:rPr>
        <w:t>。每张生豆卡片展示名称、豆种、采购成本、默认单份售价、剩余数量及库存进度，用户可通过卡片操作菜单进入详情或执行后续库存管理。</w:t>
      </w:r>
    </w:p>
    <w:p w14:paraId="6A469751">
      <w:pPr>
        <w:spacing w:after="120"/>
        <w:jc w:val="center"/>
      </w:pPr>
      <w:r>
        <w:drawing>
          <wp:inline distT="0" distB="0" distL="114300" distR="114300">
            <wp:extent cx="1411605" cy="3060065"/>
            <wp:effectExtent l="0" t="0" r="10795"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1411605" cy="3060065"/>
                    </a:xfrm>
                    <a:prstGeom prst="rect">
                      <a:avLst/>
                    </a:prstGeom>
                  </pic:spPr>
                </pic:pic>
              </a:graphicData>
            </a:graphic>
          </wp:inline>
        </w:drawing>
      </w:r>
    </w:p>
    <w:p w14:paraId="60FC703D">
      <w:pPr>
        <w:spacing w:before="80" w:after="80" w:line="240" w:lineRule="auto"/>
        <w:jc w:val="center"/>
      </w:pPr>
      <w:r>
        <w:rPr>
          <w:rFonts w:hint="eastAsia" w:ascii="Times New Roman" w:eastAsia="宋体"/>
          <w:lang w:val="en-US" w:eastAsia="zh-CN"/>
        </w:rPr>
        <w:t>图4.8 生豆库存页面</w:t>
      </w:r>
    </w:p>
    <w:p w14:paraId="64A69207">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4.7 生豆详情页面</w:t>
      </w:r>
    </w:p>
    <w:p w14:paraId="667336ED">
      <w:pPr>
        <w:spacing w:after="160"/>
        <w:ind w:firstLine="420" w:firstLineChars="0"/>
      </w:pPr>
      <w:r>
        <w:rPr>
          <w:rFonts w:hint="eastAsia" w:ascii="Times New Roman" w:hAnsi="Times New Roman" w:eastAsia="宋体" w:cs="宋体"/>
          <w:kern w:val="0"/>
          <w:sz w:val="24"/>
          <w:szCs w:val="24"/>
          <w:lang w:val="en-US" w:eastAsia="zh-CN"/>
        </w:rPr>
        <w:t>生豆详情页面按基础信息、库存与成本、产地与风味等分组展示单支生豆档案。系统记录名称、编号、等级、处理法、豆种、产季、总库存、剩余库存、采购成本、成本模板、默认烘焙量、默认单份售价和默认单份重量，并以标签形式呈现产地、供应商及风味描述，便于后续烘焙计划和成本核算复用。</w:t>
      </w:r>
    </w:p>
    <w:p w14:paraId="28424848">
      <w:pPr>
        <w:spacing w:after="120"/>
        <w:jc w:val="center"/>
      </w:pPr>
      <w:r>
        <w:drawing>
          <wp:inline distT="0" distB="0" distL="114300" distR="114300">
            <wp:extent cx="1411605" cy="3060065"/>
            <wp:effectExtent l="0" t="0" r="10795" b="133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1411605" cy="3060065"/>
                    </a:xfrm>
                    <a:prstGeom prst="rect">
                      <a:avLst/>
                    </a:prstGeom>
                  </pic:spPr>
                </pic:pic>
              </a:graphicData>
            </a:graphic>
          </wp:inline>
        </w:drawing>
      </w:r>
    </w:p>
    <w:p w14:paraId="0F6AC6B7">
      <w:pPr>
        <w:spacing w:before="80" w:after="80" w:line="240" w:lineRule="auto"/>
        <w:jc w:val="center"/>
      </w:pPr>
      <w:r>
        <w:rPr>
          <w:rFonts w:hint="eastAsia" w:ascii="Times New Roman" w:eastAsia="宋体"/>
          <w:lang w:val="en-US" w:eastAsia="zh-CN"/>
        </w:rPr>
        <w:t>图4.9 生豆详情页面</w:t>
      </w:r>
    </w:p>
    <w:p w14:paraId="0B4B3803">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rPr>
          <w:rFonts w:hint="eastAsia" w:ascii="Times New Roman" w:hAnsi="Times New Roman" w:eastAsia="宋体" w:cs="Times New Roman"/>
          <w:b/>
          <w:bCs/>
          <w:kern w:val="2"/>
          <w:sz w:val="28"/>
          <w:szCs w:val="20"/>
          <w:lang w:val="en-US" w:eastAsia="zh-CN" w:bidi="ar-SA"/>
        </w:rPr>
      </w:pPr>
      <w:r>
        <w:rPr>
          <w:rFonts w:hint="eastAsia" w:ascii="Times New Roman" w:hAnsi="Times New Roman" w:eastAsia="宋体" w:cs="Times New Roman"/>
          <w:b/>
          <w:bCs/>
          <w:kern w:val="2"/>
          <w:sz w:val="28"/>
          <w:szCs w:val="20"/>
          <w:lang w:val="en-US" w:eastAsia="zh-CN" w:bidi="ar-SA"/>
        </w:rPr>
        <w:t>4.8 烘焙计划列表页面</w:t>
      </w:r>
    </w:p>
    <w:p w14:paraId="7FCA89A0">
      <w:pPr>
        <w:spacing w:after="160"/>
        <w:ind w:firstLine="420" w:firstLineChars="0"/>
      </w:pPr>
      <w:r>
        <w:rPr>
          <w:rFonts w:hint="eastAsia" w:ascii="Times New Roman" w:hAnsi="Times New Roman" w:eastAsia="宋体" w:cs="宋体"/>
          <w:kern w:val="0"/>
          <w:sz w:val="24"/>
          <w:szCs w:val="24"/>
          <w:lang w:val="en-US" w:eastAsia="zh-CN"/>
        </w:rPr>
        <w:t>烘焙计划页面用于管理待执行计划和查看烘焙历史。页面提供按计划名称、生豆和烘焙程度搜索的入口，并通过“烘焙计划”“烘焙历史”标签切换视图。计划卡片展示计划名称、总时间、发展时间、生豆、烘焙目标等关键信息，支持从列表进入计划详情或通过操作菜单进行维护。</w:t>
      </w:r>
    </w:p>
    <w:p w14:paraId="6510933D">
      <w:pPr>
        <w:spacing w:after="120"/>
        <w:jc w:val="center"/>
      </w:pPr>
      <w:r>
        <w:drawing>
          <wp:inline distT="0" distB="0" distL="114300" distR="114300">
            <wp:extent cx="1411605" cy="3060065"/>
            <wp:effectExtent l="0" t="0" r="10795" b="133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1411605" cy="3060065"/>
                    </a:xfrm>
                    <a:prstGeom prst="rect">
                      <a:avLst/>
                    </a:prstGeom>
                  </pic:spPr>
                </pic:pic>
              </a:graphicData>
            </a:graphic>
          </wp:inline>
        </w:drawing>
      </w:r>
    </w:p>
    <w:p w14:paraId="34E54A4A">
      <w:pPr>
        <w:spacing w:before="80" w:after="80" w:line="240" w:lineRule="auto"/>
        <w:jc w:val="center"/>
      </w:pPr>
      <w:r>
        <w:rPr>
          <w:rFonts w:hint="eastAsia" w:ascii="Times New Roman" w:eastAsia="宋体"/>
          <w:lang w:val="en-US" w:eastAsia="zh-CN"/>
        </w:rPr>
        <w:t>图4.10 烘焙计划列表页面</w:t>
      </w:r>
    </w:p>
    <w:p w14:paraId="70ADF36A">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4.9 烘焙计划详情页面</w:t>
      </w:r>
    </w:p>
    <w:p w14:paraId="65D5DFAE">
      <w:pPr>
        <w:spacing w:after="160"/>
        <w:ind w:firstLine="420" w:firstLineChars="0"/>
      </w:pPr>
      <w:r>
        <w:rPr>
          <w:rFonts w:hint="eastAsia" w:ascii="Times New Roman" w:hAnsi="Times New Roman" w:eastAsia="宋体" w:cs="宋体"/>
          <w:kern w:val="0"/>
          <w:sz w:val="24"/>
          <w:szCs w:val="24"/>
          <w:lang w:val="en-US" w:eastAsia="zh-CN"/>
        </w:rPr>
        <w:t>烘焙计划详情页面展示计划概览和按顺序排列的烘焙节点。计划概览包含计划名称、烘豆机型号、批次重量、烘焙目标、用途及当前状态；节点记录时间、事件、操作、炉温、风温、火力和转速等参数，支持完整追溯入豆、回温点、转黄及后续关键操作，为实际烘焙执行和复盘提供依据。</w:t>
      </w:r>
    </w:p>
    <w:p w14:paraId="1FF47483">
      <w:pPr>
        <w:spacing w:after="120"/>
        <w:jc w:val="center"/>
      </w:pPr>
      <w:r>
        <w:drawing>
          <wp:inline distT="0" distB="0" distL="114300" distR="114300">
            <wp:extent cx="1411605" cy="3060065"/>
            <wp:effectExtent l="0" t="0" r="10795"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1411605" cy="3060065"/>
                    </a:xfrm>
                    <a:prstGeom prst="rect">
                      <a:avLst/>
                    </a:prstGeom>
                  </pic:spPr>
                </pic:pic>
              </a:graphicData>
            </a:graphic>
          </wp:inline>
        </w:drawing>
      </w:r>
    </w:p>
    <w:p w14:paraId="32A4225F">
      <w:pPr>
        <w:spacing w:before="80" w:after="80" w:line="240" w:lineRule="auto"/>
        <w:jc w:val="center"/>
      </w:pPr>
      <w:r>
        <w:rPr>
          <w:rFonts w:hint="eastAsia" w:ascii="Times New Roman" w:eastAsia="宋体"/>
          <w:lang w:val="en-US" w:eastAsia="zh-CN"/>
        </w:rPr>
        <w:t>图4.11 烘焙计划详情页面</w:t>
      </w:r>
    </w:p>
    <w:p w14:paraId="78A4C131">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4.10 财务分析页面</w:t>
      </w:r>
    </w:p>
    <w:p w14:paraId="2C11E3DA">
      <w:pPr>
        <w:spacing w:after="160"/>
        <w:ind w:firstLine="420" w:firstLineChars="0"/>
      </w:pPr>
      <w:r>
        <w:rPr>
          <w:rFonts w:hint="eastAsia" w:ascii="Times New Roman" w:hAnsi="Times New Roman" w:eastAsia="宋体" w:cs="宋体"/>
          <w:kern w:val="0"/>
          <w:sz w:val="24"/>
          <w:szCs w:val="24"/>
          <w:lang w:val="en-US" w:eastAsia="zh-CN"/>
        </w:rPr>
        <w:t>财务分析页面按全部、本年、本月、本周和今日等时间范围汇总经营指标。页面展示库存预估成本、全部花费、已实现收入、已售出生豆成本、已实现利润、当前库存预估收入、库存预估利润和经营利润，并提供进入明细的操作入口。页面下方展示成本模板及其生豆用量、单价、利润率、包装、能耗等参数，支持经营者快速核对成本与收益。</w:t>
      </w:r>
    </w:p>
    <w:p w14:paraId="738A3FFE">
      <w:pPr>
        <w:spacing w:after="120"/>
        <w:jc w:val="center"/>
      </w:pPr>
      <w:r>
        <w:drawing>
          <wp:inline distT="0" distB="0" distL="114300" distR="114300">
            <wp:extent cx="1411605" cy="3060065"/>
            <wp:effectExtent l="0" t="0" r="10795"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1411605" cy="3060065"/>
                    </a:xfrm>
                    <a:prstGeom prst="rect">
                      <a:avLst/>
                    </a:prstGeom>
                  </pic:spPr>
                </pic:pic>
              </a:graphicData>
            </a:graphic>
          </wp:inline>
        </w:drawing>
      </w:r>
    </w:p>
    <w:p w14:paraId="6B26B981">
      <w:pPr>
        <w:spacing w:before="80" w:after="80" w:line="240" w:lineRule="auto"/>
        <w:jc w:val="center"/>
      </w:pPr>
      <w:r>
        <w:rPr>
          <w:rFonts w:hint="eastAsia" w:ascii="Times New Roman" w:eastAsia="宋体"/>
          <w:lang w:val="en-US" w:eastAsia="zh-CN"/>
        </w:rPr>
        <w:t>图4.12 财务分析页面</w:t>
      </w:r>
    </w:p>
    <w:p w14:paraId="08F4148C">
      <w:pPr>
        <w:keepNext w:val="0"/>
        <w:keepLines w:val="0"/>
        <w:pageBreakBefore w:val="0"/>
        <w:widowControl w:val="0"/>
        <w:kinsoku/>
        <w:wordWrap/>
        <w:overflowPunct/>
        <w:topLinePunct w:val="0"/>
        <w:autoSpaceDE/>
        <w:autoSpaceDN/>
        <w:bidi w:val="0"/>
        <w:adjustRightInd/>
        <w:snapToGrid/>
        <w:spacing w:before="60" w:after="60" w:line="360" w:lineRule="auto"/>
        <w:jc w:val="both"/>
        <w:textAlignment w:val="auto"/>
        <w:outlineLvl w:val="1"/>
      </w:pPr>
      <w:r>
        <w:rPr>
          <w:rFonts w:hint="eastAsia" w:ascii="Times New Roman" w:hAnsi="Times New Roman" w:eastAsia="宋体" w:cs="Times New Roman"/>
          <w:b/>
          <w:bCs/>
          <w:kern w:val="2"/>
          <w:sz w:val="28"/>
          <w:szCs w:val="20"/>
          <w:lang w:val="en-US" w:eastAsia="zh-CN" w:bidi="ar-SA"/>
        </w:rPr>
        <w:t>4.11 系统设置与账户管理页面</w:t>
      </w:r>
    </w:p>
    <w:p w14:paraId="4244C4AC">
      <w:pPr>
        <w:spacing w:after="160"/>
        <w:ind w:firstLine="420" w:firstLineChars="0"/>
      </w:pPr>
      <w:r>
        <w:rPr>
          <w:rFonts w:hint="eastAsia" w:ascii="Times New Roman" w:hAnsi="Times New Roman" w:eastAsia="宋体" w:cs="宋体"/>
          <w:kern w:val="0"/>
          <w:sz w:val="24"/>
          <w:szCs w:val="24"/>
          <w:lang w:val="en-US" w:eastAsia="zh-CN"/>
        </w:rPr>
        <w:t>系统设置页面用于管理账户、数据连接、界面外观、烘焙机和 AI 烘焙功能。页面展示当前用户资料、Supabase 连接状态及浅色界面偏好，并提供主动备份、主动上传、注销账号等账户操作；各设置分组可展开查看和维护，为系统运行、数据安全及设备配置提供统一入口。</w:t>
      </w:r>
    </w:p>
    <w:p w14:paraId="46F963D1">
      <w:pPr>
        <w:spacing w:after="120"/>
        <w:jc w:val="center"/>
      </w:pPr>
      <w:r>
        <w:drawing>
          <wp:inline distT="0" distB="0" distL="114300" distR="114300">
            <wp:extent cx="1411605" cy="3060065"/>
            <wp:effectExtent l="0" t="0" r="10795"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1411605" cy="3060065"/>
                    </a:xfrm>
                    <a:prstGeom prst="rect">
                      <a:avLst/>
                    </a:prstGeom>
                  </pic:spPr>
                </pic:pic>
              </a:graphicData>
            </a:graphic>
          </wp:inline>
        </w:drawing>
      </w:r>
    </w:p>
    <w:p w14:paraId="1018B94C">
      <w:pPr>
        <w:spacing w:before="80" w:after="80" w:line="240" w:lineRule="auto"/>
        <w:jc w:val="center"/>
      </w:pPr>
      <w:r>
        <w:rPr>
          <w:rFonts w:hint="eastAsia" w:ascii="Times New Roman" w:eastAsia="宋体"/>
          <w:lang w:val="en-US" w:eastAsia="zh-CN"/>
        </w:rPr>
        <w:t>图4.13 系统设置与账户管理页面</w:t>
      </w:r>
    </w:p>
    <w:sectPr>
      <w:headerReference r:id="rId5" w:type="default"/>
      <w:footerReference r:id="rId6" w:type="default"/>
      <w:pgSz w:w="11906" w:h="16838"/>
      <w:pgMar w:top="1417" w:right="1417"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华文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STHeiti">
    <w:panose1 w:val="02010600040101010101"/>
    <w:charset w:val="86"/>
    <w:family w:val="auto"/>
    <w:pitch w:val="default"/>
    <w:sig w:usb0="00000287" w:usb1="080F0000" w:usb2="00000000" w:usb3="00000000" w:csb0="00040001" w:csb1="00000000"/>
  </w:font>
  <w:font w:name="华文黑体">
    <w:panose1 w:val="02010600040101010101"/>
    <w:charset w:val="86"/>
    <w:family w:val="auto"/>
    <w:pitch w:val="default"/>
    <w:sig w:usb0="00000287" w:usb1="080F0000" w:usb2="00000000"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26686">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r>
      <w:rPr>
        <w:rFonts w:ascii="Times New Roman" w:hAnsi="Times New Roman" w:eastAsia="宋体" w:cs="Times New Roman"/>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B95281">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r>
                            <w:rPr>
                              <w:rFonts w:ascii="Times New Roman" w:hAnsi="Times New Roman" w:eastAsia="宋体" w:cs="Times New Roman"/>
                              <w:kern w:val="2"/>
                              <w:sz w:val="18"/>
                              <w:szCs w:val="24"/>
                              <w:lang w:val="en-US" w:eastAsia="zh-CN" w:bidi="ar-SA"/>
                            </w:rPr>
                            <w:fldChar w:fldCharType="begin"/>
                          </w:r>
                          <w:r>
                            <w:rPr>
                              <w:rFonts w:ascii="Times New Roman" w:hAnsi="Times New Roman" w:eastAsia="宋体" w:cs="Times New Roman"/>
                              <w:kern w:val="2"/>
                              <w:sz w:val="18"/>
                              <w:szCs w:val="24"/>
                              <w:lang w:val="en-US" w:eastAsia="zh-CN" w:bidi="ar-SA"/>
                            </w:rPr>
                            <w:instrText xml:space="preserve"> PAGE  \* MERGEFORMAT </w:instrText>
                          </w:r>
                          <w:r>
                            <w:rPr>
                              <w:rFonts w:ascii="Times New Roman" w:hAnsi="Times New Roman" w:eastAsia="宋体" w:cs="Times New Roman"/>
                              <w:kern w:val="2"/>
                              <w:sz w:val="18"/>
                              <w:szCs w:val="24"/>
                              <w:lang w:val="en-US" w:eastAsia="zh-CN" w:bidi="ar-SA"/>
                            </w:rPr>
                            <w:fldChar w:fldCharType="separate"/>
                          </w:r>
                          <w:r>
                            <w:rPr>
                              <w:rFonts w:ascii="Times New Roman" w:hAnsi="Times New Roman" w:eastAsia="宋体" w:cs="Times New Roman"/>
                              <w:kern w:val="2"/>
                              <w:sz w:val="18"/>
                              <w:szCs w:val="24"/>
                              <w:lang w:val="en-US" w:eastAsia="zh-CN" w:bidi="ar-SA"/>
                            </w:rPr>
                            <w:t>1</w:t>
                          </w:r>
                          <w:r>
                            <w:rPr>
                              <w:rFonts w:ascii="Times New Roman" w:hAnsi="Times New Roman" w:eastAsia="宋体" w:cs="Times New Roman"/>
                              <w:kern w:val="2"/>
                              <w:sz w:val="18"/>
                              <w:szCs w:val="24"/>
                              <w:lang w:val="en-US" w:eastAsia="zh-CN" w:bidi="ar-S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6DB95281">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r>
                      <w:rPr>
                        <w:rFonts w:ascii="Times New Roman" w:hAnsi="Times New Roman" w:eastAsia="宋体" w:cs="Times New Roman"/>
                        <w:kern w:val="2"/>
                        <w:sz w:val="18"/>
                        <w:szCs w:val="24"/>
                        <w:lang w:val="en-US" w:eastAsia="zh-CN" w:bidi="ar-SA"/>
                      </w:rPr>
                      <w:fldChar w:fldCharType="begin"/>
                    </w:r>
                    <w:r>
                      <w:rPr>
                        <w:rFonts w:ascii="Times New Roman" w:hAnsi="Times New Roman" w:eastAsia="宋体" w:cs="Times New Roman"/>
                        <w:kern w:val="2"/>
                        <w:sz w:val="18"/>
                        <w:szCs w:val="24"/>
                        <w:lang w:val="en-US" w:eastAsia="zh-CN" w:bidi="ar-SA"/>
                      </w:rPr>
                      <w:instrText xml:space="preserve"> PAGE  \* MERGEFORMAT </w:instrText>
                    </w:r>
                    <w:r>
                      <w:rPr>
                        <w:rFonts w:ascii="Times New Roman" w:hAnsi="Times New Roman" w:eastAsia="宋体" w:cs="Times New Roman"/>
                        <w:kern w:val="2"/>
                        <w:sz w:val="18"/>
                        <w:szCs w:val="24"/>
                        <w:lang w:val="en-US" w:eastAsia="zh-CN" w:bidi="ar-SA"/>
                      </w:rPr>
                      <w:fldChar w:fldCharType="separate"/>
                    </w:r>
                    <w:r>
                      <w:rPr>
                        <w:rFonts w:ascii="Times New Roman" w:hAnsi="Times New Roman" w:eastAsia="宋体" w:cs="Times New Roman"/>
                        <w:kern w:val="2"/>
                        <w:sz w:val="18"/>
                        <w:szCs w:val="24"/>
                        <w:lang w:val="en-US" w:eastAsia="zh-CN" w:bidi="ar-SA"/>
                      </w:rPr>
                      <w:t>1</w:t>
                    </w:r>
                    <w:r>
                      <w:rPr>
                        <w:rFonts w:ascii="Times New Roman" w:hAnsi="Times New Roman" w:eastAsia="宋体" w:cs="Times New Roman"/>
                        <w:kern w:val="2"/>
                        <w:sz w:val="18"/>
                        <w:szCs w:val="24"/>
                        <w:lang w:val="en-US" w:eastAsia="zh-CN" w:bidi="ar-S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FE6C2">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C50B14">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DC50B1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7F74D">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center"/>
      <w:rPr>
        <w:rFonts w:hint="eastAsia"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t>基于多维质量特征的图像劣化状态感知与分级系统</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FA6AB">
    <w:pPr>
      <w:pStyle w:val="7"/>
      <w:jc w:val="center"/>
      <w:rPr>
        <w:rFonts w:hint="eastAsia"/>
        <w:szCs w:val="18"/>
      </w:rPr>
    </w:pPr>
    <w:r>
      <w:rPr>
        <w:rFonts w:hint="eastAsia"/>
        <w:szCs w:val="18"/>
      </w:rPr>
      <w:t>基于多维质量特征的图像劣化状态感知与分级系统</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DF221F"/>
    <w:rsid w:val="3FFF041D"/>
    <w:rsid w:val="47DF221F"/>
    <w:rsid w:val="47EDFA43"/>
    <w:rsid w:val="66AF6142"/>
    <w:rsid w:val="6EDFBF49"/>
    <w:rsid w:val="7CBB54D1"/>
    <w:rsid w:val="7F7FD5CC"/>
    <w:rsid w:val="8FE552CB"/>
    <w:rsid w:val="A771336A"/>
    <w:rsid w:val="EFA7A40D"/>
    <w:rsid w:val="FBCFEEEC"/>
    <w:rsid w:val="FBDFDED5"/>
    <w:rsid w:val="FEFDB8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5">
    <w:name w:val="Plain Text"/>
    <w:basedOn w:val="1"/>
    <w:qFormat/>
    <w:uiPriority w:val="0"/>
    <w:rPr>
      <w:rFonts w:hAnsi="Courier New"/>
      <w:szCs w:val="20"/>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TML Code"/>
    <w:basedOn w:val="12"/>
    <w:uiPriority w:val="0"/>
    <w:rPr>
      <w:rFonts w:ascii="Courier New" w:hAnsi="Courier New"/>
      <w:sz w:val="20"/>
    </w:rPr>
  </w:style>
  <w:style w:type="paragraph" w:styleId="14">
    <w:name w:val="List Paragraph"/>
    <w:basedOn w:val="1"/>
    <w:qFormat/>
    <w:uiPriority w:val="34"/>
    <w:pPr>
      <w:ind w:firstLine="420" w:firstLineChars="200"/>
    </w:pPr>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20</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2026-08-10T02:12:00Z</dcterms:created>
  <dc:creator>王佳琦</dc:creator>
  <cp:lastModifiedBy>加油！</cp:lastModifiedBy>
  <dcterms:modified xsi:type="dcterms:W3CDTF">2026-08-20T00:16:48Z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FB24B69BA425EDCCF0237D6A504FF71E_43</vt:lpwstr>
  </property>
</Properties>
</file>