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E4336" w14:textId="77777777" w:rsidR="00EE33D7" w:rsidRPr="00BB6E20" w:rsidRDefault="00EE33D7" w:rsidP="00EE33D7">
      <w:pPr>
        <w:jc w:val="center"/>
        <w:rPr>
          <w:b/>
        </w:rPr>
      </w:pPr>
      <w:bookmarkStart w:id="0" w:name="_Ref37339492"/>
      <w:r w:rsidRPr="00BB6E20">
        <w:rPr>
          <w:b/>
        </w:rPr>
        <w:t>Wet Storage and Transportation of the Spent Fuel from Fluoride Salt-Cooled High-Temperature Reactors</w:t>
      </w:r>
    </w:p>
    <w:p w14:paraId="330CEF49" w14:textId="77777777" w:rsidR="00EE33D7" w:rsidRPr="00EE33D7" w:rsidRDefault="00EE33D7" w:rsidP="00EE33D7">
      <w:pPr>
        <w:jc w:val="center"/>
        <w:rPr>
          <w:i/>
          <w:iCs/>
          <w:lang w:val="it-IT"/>
        </w:rPr>
      </w:pPr>
      <w:r w:rsidRPr="00EE33D7">
        <w:rPr>
          <w:i/>
          <w:iCs/>
          <w:lang w:val="it-IT"/>
        </w:rPr>
        <w:t>Lorenzo Vergari, Massimiliano Fratoni</w:t>
      </w:r>
    </w:p>
    <w:p w14:paraId="19FF2004" w14:textId="5F118A0A" w:rsidR="00EE33D7" w:rsidRDefault="00837A67" w:rsidP="00EE33D7">
      <w:pPr>
        <w:pStyle w:val="Heading1"/>
        <w:spacing w:line="240" w:lineRule="auto"/>
        <w:jc w:val="both"/>
      </w:pPr>
      <w:r>
        <w:t>Supplementary Information</w:t>
      </w:r>
    </w:p>
    <w:p w14:paraId="3EE99300" w14:textId="77777777" w:rsidR="00837A67" w:rsidRPr="00837A67" w:rsidRDefault="00837A67" w:rsidP="00837A67"/>
    <w:p w14:paraId="6E29D362" w14:textId="02596A2D" w:rsidR="00EE33D7" w:rsidRDefault="00EE33D7" w:rsidP="00EE33D7">
      <w:pPr>
        <w:pStyle w:val="Caption"/>
        <w:keepNext/>
      </w:pPr>
      <w:r>
        <w:t xml:space="preserve">Table </w:t>
      </w:r>
      <w:bookmarkEnd w:id="0"/>
      <w:r>
        <w:t>1</w:t>
      </w:r>
      <w:r>
        <w:t xml:space="preserve">: </w:t>
      </w:r>
      <w:r w:rsidRPr="006C57E1">
        <w:t xml:space="preserve">Geometry, materials and thermodynamic parameters used for heat transfer modeling in the </w:t>
      </w:r>
      <w:r>
        <w:t>storage</w:t>
      </w:r>
      <w:r w:rsidRPr="006C57E1">
        <w:t xml:space="preserve"> </w:t>
      </w:r>
      <w:r>
        <w:t>pools</w:t>
      </w:r>
      <w:r w:rsidRPr="006C57E1">
        <w:t>.</w:t>
      </w:r>
    </w:p>
    <w:tbl>
      <w:tblPr>
        <w:tblStyle w:val="TableGrid"/>
        <w:tblW w:w="9625" w:type="dxa"/>
        <w:tblLook w:val="04A0" w:firstRow="1" w:lastRow="0" w:firstColumn="1" w:lastColumn="0" w:noHBand="0" w:noVBand="1"/>
      </w:tblPr>
      <w:tblGrid>
        <w:gridCol w:w="3955"/>
        <w:gridCol w:w="3600"/>
        <w:gridCol w:w="2070"/>
      </w:tblGrid>
      <w:tr w:rsidR="00EE33D7" w:rsidRPr="003E13FF" w14:paraId="5D05AC41" w14:textId="77777777" w:rsidTr="002B58A2">
        <w:tc>
          <w:tcPr>
            <w:tcW w:w="9625" w:type="dxa"/>
            <w:gridSpan w:val="3"/>
          </w:tcPr>
          <w:p w14:paraId="559F5827" w14:textId="77777777" w:rsidR="00EE33D7" w:rsidRPr="003E13FF" w:rsidRDefault="00EE33D7" w:rsidP="002B58A2">
            <w:pPr>
              <w:spacing w:line="240" w:lineRule="auto"/>
              <w:jc w:val="both"/>
              <w:rPr>
                <w:b/>
                <w:bCs w:val="0"/>
                <w:sz w:val="20"/>
                <w:szCs w:val="20"/>
              </w:rPr>
            </w:pPr>
            <w:r w:rsidRPr="003E13FF">
              <w:rPr>
                <w:b/>
                <w:bCs w:val="0"/>
                <w:sz w:val="20"/>
                <w:szCs w:val="20"/>
              </w:rPr>
              <w:t xml:space="preserve">Thermodynamic Properties </w:t>
            </w:r>
            <w:r w:rsidRPr="003E13FF">
              <w:rPr>
                <w:sz w:val="20"/>
                <w:szCs w:val="20"/>
              </w:rPr>
              <w:fldChar w:fldCharType="begin" w:fldLock="1"/>
            </w:r>
            <w:r>
              <w:rPr>
                <w:sz w:val="20"/>
                <w:szCs w:val="20"/>
                <w:lang w:val="it-IT"/>
              </w:rPr>
              <w:instrText>ADDIN CSL_CITATION {"citationItems":[{"id":"ITEM-1","itemData":{"DOI":"10.1016/j.cep.2013.07.008","ISSN":"02552701","abstract":"The growing interest in energy applications of molten salts is justified by several of their properties. Their possibilities of usage as a coolant, heat transfer fluid or heat storage substrate, require thermo-hydrodynamic refined calculations. Many researchers are using simulation techniques, such as Computational Fluid Dynamics (CFD) for their projects or conceptual designs. The aim of this work is providing a review of basic properties (density, viscosity, thermal conductivity and heat capacity) of the most common and referred salt mixtures. After checking data, tabulated and graphical outputs are given in order to offer the most suitable available values to be used as input parameters for other calculations or simulations. The reviewed values show a general scattering in characterization, mainly in thermal properties. This disagreement suggests that, in several cases, new studies must be started (and even new measurement techniques should be developed) to obtain accurate values.","author":[{"dropping-particle":"","family":"Serrano-ópez","given":"R.","non-dropping-particle":"","parse-names":false,"suffix":""},{"dropping-particle":"","family":"Fradera","given":"J.","non-dropping-particle":"","parse-names":false,"suffix":""},{"dropping-particle":"","family":"Cuesta-López","given":"S.","non-dropping-particle":"","parse-names":false,"suffix":""}],"container-title":"Chemical Engineering and Processing - Process Intensification","id":"ITEM-1","issued":{"date-parts":[["2013","11","1"]]},"page":"87-102","publisher":"Elsevier B.V.","title":"Molten salts database for energy applications","type":"article","volume":"73"},"uris":["http://www.mendeley.com/documents/?uuid=df3f49b1-9990-3e55-9962-f6465360b448"]},{"id":"ITEM-2","itemData":{"author":[{"dropping-particle":"","family":"Scarlat","given":"Raluca Olga","non-dropping-particle":"","parse-names":false,"suffix":""}],"id":"ITEM-2","issued":{"date-parts":[["2012"]]},"title":"Design of Complex Systems to Achieve Passive Safety: Natural Circulation Cooling of Liquid Salt Pebble Bed Reactors","type":"article-journal"},"uris":["http://www.mendeley.com/documents/?uuid=6d31e4b4-1ead-4bb7-b719-129eaedc5508"]}],"mendeley":{"formattedCitation":"[19], [20]","plainTextFormattedCitation":"[19], [20]","previouslyFormattedCitation":"[20], [21]"},"properties":{"noteIndex":0},"schema":"https://github.com/citation-style-language/schema/raw/master/csl-citation.json"}</w:instrText>
            </w:r>
            <w:r w:rsidRPr="003E13FF">
              <w:rPr>
                <w:sz w:val="20"/>
                <w:szCs w:val="20"/>
              </w:rPr>
              <w:fldChar w:fldCharType="separate"/>
            </w:r>
            <w:r w:rsidRPr="00FF789F">
              <w:rPr>
                <w:noProof/>
                <w:sz w:val="20"/>
                <w:szCs w:val="20"/>
                <w:lang w:val="it-IT"/>
              </w:rPr>
              <w:t>[19], [20]</w:t>
            </w:r>
            <w:r w:rsidRPr="003E13FF">
              <w:rPr>
                <w:sz w:val="20"/>
                <w:szCs w:val="20"/>
              </w:rPr>
              <w:fldChar w:fldCharType="end"/>
            </w:r>
          </w:p>
        </w:tc>
      </w:tr>
      <w:tr w:rsidR="00EE33D7" w:rsidRPr="003E13FF" w14:paraId="11742567" w14:textId="77777777" w:rsidTr="002B58A2">
        <w:tc>
          <w:tcPr>
            <w:tcW w:w="3955" w:type="dxa"/>
          </w:tcPr>
          <w:p w14:paraId="3DAE1C85" w14:textId="77777777" w:rsidR="00EE33D7" w:rsidRPr="003E13FF" w:rsidRDefault="00EE33D7" w:rsidP="002B58A2">
            <w:pPr>
              <w:spacing w:line="240" w:lineRule="auto"/>
              <w:jc w:val="both"/>
              <w:rPr>
                <w:sz w:val="20"/>
                <w:szCs w:val="20"/>
              </w:rPr>
            </w:pPr>
            <w:r w:rsidRPr="003E13FF">
              <w:rPr>
                <w:i/>
                <w:iCs/>
                <w:sz w:val="20"/>
                <w:szCs w:val="20"/>
              </w:rPr>
              <w:t>Parameter</w:t>
            </w:r>
          </w:p>
        </w:tc>
        <w:tc>
          <w:tcPr>
            <w:tcW w:w="3600" w:type="dxa"/>
          </w:tcPr>
          <w:p w14:paraId="5B88EB2A" w14:textId="77777777" w:rsidR="00EE33D7" w:rsidRPr="003E13FF" w:rsidRDefault="00EE33D7" w:rsidP="002B58A2">
            <w:pPr>
              <w:spacing w:line="240" w:lineRule="auto"/>
              <w:jc w:val="both"/>
              <w:rPr>
                <w:sz w:val="20"/>
                <w:szCs w:val="20"/>
              </w:rPr>
            </w:pPr>
            <w:r w:rsidRPr="003E13FF">
              <w:rPr>
                <w:i/>
                <w:iCs/>
                <w:sz w:val="20"/>
                <w:szCs w:val="20"/>
              </w:rPr>
              <w:t>Value</w:t>
            </w:r>
          </w:p>
        </w:tc>
        <w:tc>
          <w:tcPr>
            <w:tcW w:w="2070" w:type="dxa"/>
          </w:tcPr>
          <w:p w14:paraId="2EB283B9" w14:textId="77777777" w:rsidR="00EE33D7" w:rsidRPr="003E13FF" w:rsidRDefault="00EE33D7" w:rsidP="002B58A2">
            <w:pPr>
              <w:spacing w:line="240" w:lineRule="auto"/>
              <w:jc w:val="both"/>
              <w:rPr>
                <w:sz w:val="20"/>
                <w:szCs w:val="20"/>
              </w:rPr>
            </w:pPr>
            <w:r w:rsidRPr="003E13FF">
              <w:rPr>
                <w:i/>
                <w:iCs/>
                <w:sz w:val="20"/>
                <w:szCs w:val="20"/>
              </w:rPr>
              <w:t>Unit</w:t>
            </w:r>
          </w:p>
        </w:tc>
      </w:tr>
      <w:tr w:rsidR="00EE33D7" w:rsidRPr="003E13FF" w14:paraId="69A14D9D" w14:textId="77777777" w:rsidTr="002B58A2">
        <w:tc>
          <w:tcPr>
            <w:tcW w:w="3955" w:type="dxa"/>
          </w:tcPr>
          <w:p w14:paraId="2FCBA80D" w14:textId="77777777" w:rsidR="00EE33D7" w:rsidRPr="003E13FF" w:rsidRDefault="00EE33D7" w:rsidP="002B58A2">
            <w:pPr>
              <w:spacing w:line="240" w:lineRule="auto"/>
              <w:jc w:val="both"/>
              <w:rPr>
                <w:sz w:val="20"/>
                <w:szCs w:val="20"/>
              </w:rPr>
            </w:pPr>
            <w:r w:rsidRPr="003E13FF">
              <w:rPr>
                <w:sz w:val="20"/>
                <w:szCs w:val="20"/>
              </w:rPr>
              <w:t xml:space="preserve">Thermal Conductivity Pebble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oMath>
          </w:p>
        </w:tc>
        <w:tc>
          <w:tcPr>
            <w:tcW w:w="3600" w:type="dxa"/>
          </w:tcPr>
          <w:p w14:paraId="32FAC713" w14:textId="77777777" w:rsidR="00EE33D7" w:rsidRPr="003E13FF" w:rsidRDefault="00EE33D7" w:rsidP="002B58A2">
            <w:pPr>
              <w:spacing w:line="240" w:lineRule="auto"/>
              <w:jc w:val="both"/>
              <w:rPr>
                <w:sz w:val="20"/>
                <w:szCs w:val="20"/>
                <w:lang w:val="it-IT"/>
              </w:rPr>
            </w:pPr>
            <w:r w:rsidRPr="003E13FF">
              <w:rPr>
                <w:sz w:val="20"/>
                <w:szCs w:val="20"/>
                <w:lang w:val="it-IT"/>
              </w:rPr>
              <w:t xml:space="preserve">12 </w:t>
            </w:r>
          </w:p>
        </w:tc>
        <w:tc>
          <w:tcPr>
            <w:tcW w:w="2070" w:type="dxa"/>
          </w:tcPr>
          <w:p w14:paraId="59B40143"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17428E61" w14:textId="77777777" w:rsidTr="002B58A2">
        <w:tc>
          <w:tcPr>
            <w:tcW w:w="3955" w:type="dxa"/>
          </w:tcPr>
          <w:p w14:paraId="6C2B7DEA" w14:textId="77777777" w:rsidR="00EE33D7" w:rsidRPr="003E13FF" w:rsidRDefault="00EE33D7" w:rsidP="002B58A2">
            <w:pPr>
              <w:spacing w:line="240" w:lineRule="auto"/>
              <w:jc w:val="both"/>
              <w:rPr>
                <w:sz w:val="20"/>
                <w:szCs w:val="20"/>
              </w:rPr>
            </w:pPr>
            <w:r w:rsidRPr="003E13FF">
              <w:rPr>
                <w:sz w:val="20"/>
                <w:szCs w:val="20"/>
              </w:rPr>
              <w:t xml:space="preserve">Thermal Conductivity FLiNaK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Fl</m:t>
                  </m:r>
                </m:sub>
              </m:sSub>
            </m:oMath>
          </w:p>
        </w:tc>
        <w:tc>
          <w:tcPr>
            <w:tcW w:w="3600" w:type="dxa"/>
          </w:tcPr>
          <w:p w14:paraId="5B8A59D7" w14:textId="77777777" w:rsidR="00EE33D7" w:rsidRPr="003E13FF" w:rsidRDefault="00EE33D7" w:rsidP="002B58A2">
            <w:pPr>
              <w:spacing w:line="240" w:lineRule="auto"/>
              <w:jc w:val="both"/>
              <w:rPr>
                <w:sz w:val="20"/>
                <w:szCs w:val="20"/>
              </w:rPr>
            </w:pPr>
            <w:r w:rsidRPr="003E13FF">
              <w:rPr>
                <w:sz w:val="20"/>
                <w:szCs w:val="20"/>
              </w:rPr>
              <w:t xml:space="preserve">0.85 </w:t>
            </w:r>
          </w:p>
        </w:tc>
        <w:tc>
          <w:tcPr>
            <w:tcW w:w="2070" w:type="dxa"/>
          </w:tcPr>
          <w:p w14:paraId="65A5733B"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3B14D7B3" w14:textId="77777777" w:rsidTr="002B58A2">
        <w:tc>
          <w:tcPr>
            <w:tcW w:w="3955" w:type="dxa"/>
          </w:tcPr>
          <w:p w14:paraId="6F5CE0F3" w14:textId="77777777" w:rsidR="00EE33D7" w:rsidRPr="003E13FF" w:rsidRDefault="00EE33D7" w:rsidP="002B58A2">
            <w:pPr>
              <w:spacing w:line="240" w:lineRule="auto"/>
              <w:jc w:val="both"/>
              <w:rPr>
                <w:sz w:val="20"/>
                <w:szCs w:val="20"/>
              </w:rPr>
            </w:pPr>
            <w:r w:rsidRPr="003E13FF">
              <w:rPr>
                <w:sz w:val="20"/>
                <w:szCs w:val="20"/>
              </w:rPr>
              <w:t xml:space="preserve">Prandtl’s Number FLiNaK </w:t>
            </w:r>
            <w:proofErr w:type="spellStart"/>
            <w:r w:rsidRPr="003E13FF">
              <w:rPr>
                <w:i/>
                <w:iCs/>
                <w:sz w:val="20"/>
                <w:szCs w:val="20"/>
              </w:rPr>
              <w:t>Pr</w:t>
            </w:r>
            <w:proofErr w:type="spellEnd"/>
          </w:p>
        </w:tc>
        <w:tc>
          <w:tcPr>
            <w:tcW w:w="3600" w:type="dxa"/>
          </w:tcPr>
          <w:p w14:paraId="592EAF94" w14:textId="77777777" w:rsidR="00EE33D7" w:rsidRPr="003E13FF" w:rsidRDefault="00EE33D7" w:rsidP="002B58A2">
            <w:pPr>
              <w:spacing w:line="240" w:lineRule="auto"/>
              <w:jc w:val="both"/>
              <w:rPr>
                <w:sz w:val="20"/>
                <w:szCs w:val="20"/>
              </w:rPr>
            </w:pPr>
            <w:r w:rsidRPr="003E13FF">
              <w:rPr>
                <w:sz w:val="20"/>
                <w:szCs w:val="20"/>
              </w:rPr>
              <w:t>17.49</w:t>
            </w:r>
          </w:p>
        </w:tc>
        <w:tc>
          <w:tcPr>
            <w:tcW w:w="2070" w:type="dxa"/>
          </w:tcPr>
          <w:p w14:paraId="6F12B0C8" w14:textId="77777777" w:rsidR="00EE33D7" w:rsidRPr="003E13FF" w:rsidRDefault="00EE33D7" w:rsidP="002B58A2">
            <w:pPr>
              <w:spacing w:line="240" w:lineRule="auto"/>
              <w:jc w:val="both"/>
              <w:rPr>
                <w:sz w:val="20"/>
                <w:szCs w:val="20"/>
              </w:rPr>
            </w:pPr>
            <w:r w:rsidRPr="003E13FF">
              <w:rPr>
                <w:sz w:val="20"/>
                <w:szCs w:val="20"/>
              </w:rPr>
              <w:t>-</w:t>
            </w:r>
          </w:p>
        </w:tc>
      </w:tr>
      <w:tr w:rsidR="00EE33D7" w:rsidRPr="003E13FF" w14:paraId="084EE737" w14:textId="77777777" w:rsidTr="002B58A2">
        <w:tc>
          <w:tcPr>
            <w:tcW w:w="3955" w:type="dxa"/>
            <w:vAlign w:val="center"/>
          </w:tcPr>
          <w:p w14:paraId="29A3CF5C" w14:textId="77777777" w:rsidR="00EE33D7" w:rsidRPr="003E13FF" w:rsidRDefault="00EE33D7" w:rsidP="002B58A2">
            <w:pPr>
              <w:spacing w:line="240" w:lineRule="auto"/>
              <w:rPr>
                <w:sz w:val="20"/>
                <w:szCs w:val="20"/>
              </w:rPr>
            </w:pPr>
            <w:r w:rsidRPr="003E13FF">
              <w:rPr>
                <w:sz w:val="20"/>
                <w:szCs w:val="20"/>
              </w:rPr>
              <w:t xml:space="preserve">Density FLiNaK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Fl</m:t>
                  </m:r>
                </m:sub>
              </m:sSub>
            </m:oMath>
          </w:p>
        </w:tc>
        <w:tc>
          <w:tcPr>
            <w:tcW w:w="3600" w:type="dxa"/>
          </w:tcPr>
          <w:p w14:paraId="0C56D464" w14:textId="77777777" w:rsidR="00EE33D7" w:rsidRPr="003E13FF" w:rsidRDefault="00EE33D7" w:rsidP="002B58A2">
            <w:pPr>
              <w:spacing w:line="240" w:lineRule="auto"/>
              <w:jc w:val="both"/>
              <w:rPr>
                <w:sz w:val="20"/>
                <w:szCs w:val="20"/>
              </w:rPr>
            </w:pPr>
            <w:r w:rsidRPr="003E13FF">
              <w:rPr>
                <w:sz w:val="20"/>
                <w:szCs w:val="20"/>
              </w:rPr>
              <w:t>2095</w:t>
            </w:r>
          </w:p>
        </w:tc>
        <w:tc>
          <w:tcPr>
            <w:tcW w:w="2070" w:type="dxa"/>
          </w:tcPr>
          <w:p w14:paraId="7A1EBD3E" w14:textId="77777777" w:rsidR="00EE33D7" w:rsidRPr="003E13FF" w:rsidRDefault="00EE33D7" w:rsidP="002B58A2">
            <w:pPr>
              <w:spacing w:line="240" w:lineRule="auto"/>
              <w:jc w:val="both"/>
              <w:rPr>
                <w:sz w:val="20"/>
                <w:szCs w:val="20"/>
              </w:rPr>
            </w:pPr>
            <w:r>
              <w:rPr>
                <w:sz w:val="20"/>
                <w:szCs w:val="20"/>
              </w:rPr>
              <w:t>k</w:t>
            </w:r>
            <w:r w:rsidRPr="003E13FF">
              <w:rPr>
                <w:sz w:val="20"/>
                <w:szCs w:val="20"/>
              </w:rPr>
              <w:t>g m</w:t>
            </w:r>
            <w:r w:rsidRPr="003E13FF">
              <w:rPr>
                <w:sz w:val="20"/>
                <w:szCs w:val="20"/>
                <w:vertAlign w:val="superscript"/>
              </w:rPr>
              <w:t>-3</w:t>
            </w:r>
          </w:p>
        </w:tc>
      </w:tr>
      <w:tr w:rsidR="00EE33D7" w:rsidRPr="003E13FF" w14:paraId="1E2CA0EE" w14:textId="77777777" w:rsidTr="002B58A2">
        <w:tc>
          <w:tcPr>
            <w:tcW w:w="3955" w:type="dxa"/>
          </w:tcPr>
          <w:p w14:paraId="5608EDD7" w14:textId="77777777" w:rsidR="00EE33D7" w:rsidRPr="003E13FF" w:rsidRDefault="00EE33D7" w:rsidP="002B58A2">
            <w:pPr>
              <w:spacing w:line="240" w:lineRule="auto"/>
              <w:jc w:val="both"/>
              <w:rPr>
                <w:sz w:val="20"/>
                <w:szCs w:val="20"/>
              </w:rPr>
            </w:pPr>
            <w:r w:rsidRPr="003E13FF">
              <w:rPr>
                <w:sz w:val="20"/>
                <w:szCs w:val="20"/>
              </w:rPr>
              <w:t xml:space="preserve">Dynamic Viscosity FLiNaK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Fl</m:t>
                  </m:r>
                </m:sub>
              </m:sSub>
            </m:oMath>
          </w:p>
        </w:tc>
        <w:tc>
          <w:tcPr>
            <w:tcW w:w="3600" w:type="dxa"/>
          </w:tcPr>
          <w:p w14:paraId="2F99282C" w14:textId="77777777" w:rsidR="00EE33D7" w:rsidRPr="003E13FF" w:rsidRDefault="00EE33D7" w:rsidP="002B58A2">
            <w:pPr>
              <w:spacing w:line="240" w:lineRule="auto"/>
              <w:jc w:val="both"/>
              <w:rPr>
                <w:sz w:val="20"/>
                <w:szCs w:val="20"/>
              </w:rPr>
            </w:pPr>
            <w:r w:rsidRPr="003E13FF">
              <w:rPr>
                <w:sz w:val="20"/>
                <w:szCs w:val="20"/>
              </w:rPr>
              <w:t>7.909 10</w:t>
            </w:r>
            <w:r w:rsidRPr="003E13FF">
              <w:rPr>
                <w:sz w:val="20"/>
                <w:szCs w:val="20"/>
                <w:vertAlign w:val="superscript"/>
              </w:rPr>
              <w:t>-3</w:t>
            </w:r>
          </w:p>
        </w:tc>
        <w:tc>
          <w:tcPr>
            <w:tcW w:w="2070" w:type="dxa"/>
          </w:tcPr>
          <w:p w14:paraId="21A6FC60" w14:textId="77777777" w:rsidR="00EE33D7" w:rsidRPr="003E13FF" w:rsidRDefault="00EE33D7" w:rsidP="002B58A2">
            <w:pPr>
              <w:spacing w:line="240" w:lineRule="auto"/>
              <w:jc w:val="both"/>
              <w:rPr>
                <w:sz w:val="20"/>
                <w:szCs w:val="20"/>
              </w:rPr>
            </w:pPr>
            <w:r w:rsidRPr="003E13FF">
              <w:rPr>
                <w:sz w:val="20"/>
                <w:szCs w:val="20"/>
              </w:rPr>
              <w:t>Pa s</w:t>
            </w:r>
            <w:r w:rsidRPr="003E13FF">
              <w:rPr>
                <w:sz w:val="20"/>
                <w:szCs w:val="20"/>
                <w:vertAlign w:val="superscript"/>
              </w:rPr>
              <w:t>-1</w:t>
            </w:r>
          </w:p>
        </w:tc>
      </w:tr>
      <w:tr w:rsidR="00EE33D7" w:rsidRPr="003E13FF" w14:paraId="2267142A" w14:textId="77777777" w:rsidTr="002B58A2">
        <w:tc>
          <w:tcPr>
            <w:tcW w:w="3955" w:type="dxa"/>
          </w:tcPr>
          <w:p w14:paraId="31268AD3" w14:textId="77777777" w:rsidR="00EE33D7" w:rsidRPr="003E13FF" w:rsidRDefault="00EE33D7" w:rsidP="002B58A2">
            <w:pPr>
              <w:spacing w:line="240" w:lineRule="auto"/>
              <w:jc w:val="both"/>
              <w:rPr>
                <w:sz w:val="20"/>
                <w:szCs w:val="20"/>
              </w:rPr>
            </w:pPr>
            <w:r w:rsidRPr="003E13FF">
              <w:rPr>
                <w:sz w:val="20"/>
                <w:szCs w:val="20"/>
              </w:rPr>
              <w:t xml:space="preserve">Specific Heat FLiNaK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oMath>
          </w:p>
        </w:tc>
        <w:tc>
          <w:tcPr>
            <w:tcW w:w="3600" w:type="dxa"/>
          </w:tcPr>
          <w:p w14:paraId="2EA89B9E" w14:textId="77777777" w:rsidR="00EE33D7" w:rsidRPr="003E13FF" w:rsidRDefault="00EE33D7" w:rsidP="002B58A2">
            <w:pPr>
              <w:spacing w:line="240" w:lineRule="auto"/>
              <w:jc w:val="both"/>
              <w:rPr>
                <w:sz w:val="20"/>
                <w:szCs w:val="20"/>
              </w:rPr>
            </w:pPr>
            <w:r w:rsidRPr="003E13FF">
              <w:rPr>
                <w:sz w:val="20"/>
                <w:szCs w:val="20"/>
              </w:rPr>
              <w:t>1880</w:t>
            </w:r>
          </w:p>
        </w:tc>
        <w:tc>
          <w:tcPr>
            <w:tcW w:w="2070" w:type="dxa"/>
          </w:tcPr>
          <w:p w14:paraId="1566C382" w14:textId="77777777" w:rsidR="00EE33D7" w:rsidRPr="003E13FF" w:rsidRDefault="00EE33D7" w:rsidP="002B58A2">
            <w:pPr>
              <w:spacing w:line="240" w:lineRule="auto"/>
              <w:jc w:val="both"/>
              <w:rPr>
                <w:sz w:val="20"/>
                <w:szCs w:val="20"/>
                <w:vertAlign w:val="superscript"/>
              </w:rPr>
            </w:pPr>
            <w:r w:rsidRPr="003E13FF">
              <w:rPr>
                <w:sz w:val="20"/>
                <w:szCs w:val="20"/>
              </w:rPr>
              <w:t xml:space="preserve">J </w:t>
            </w:r>
            <w:r>
              <w:rPr>
                <w:sz w:val="20"/>
                <w:szCs w:val="20"/>
              </w:rPr>
              <w:t>kg</w:t>
            </w:r>
            <w:r w:rsidRPr="003E13FF">
              <w:rPr>
                <w:sz w:val="20"/>
                <w:szCs w:val="20"/>
                <w:vertAlign w:val="superscript"/>
              </w:rPr>
              <w:t>-1</w:t>
            </w:r>
            <w:r w:rsidRPr="003E13FF">
              <w:rPr>
                <w:sz w:val="20"/>
                <w:szCs w:val="20"/>
              </w:rPr>
              <w:t xml:space="preserve"> K</w:t>
            </w:r>
            <w:r w:rsidRPr="003E13FF">
              <w:rPr>
                <w:sz w:val="20"/>
                <w:szCs w:val="20"/>
                <w:vertAlign w:val="superscript"/>
              </w:rPr>
              <w:t>-1</w:t>
            </w:r>
          </w:p>
        </w:tc>
      </w:tr>
      <w:tr w:rsidR="00EE33D7" w:rsidRPr="003E13FF" w14:paraId="197DC0DF" w14:textId="77777777" w:rsidTr="002B58A2">
        <w:tc>
          <w:tcPr>
            <w:tcW w:w="3955" w:type="dxa"/>
          </w:tcPr>
          <w:p w14:paraId="677D631A" w14:textId="77777777" w:rsidR="00EE33D7" w:rsidRPr="003E13FF" w:rsidRDefault="00EE33D7" w:rsidP="002B58A2">
            <w:pPr>
              <w:spacing w:line="240" w:lineRule="auto"/>
              <w:jc w:val="both"/>
              <w:rPr>
                <w:sz w:val="20"/>
                <w:szCs w:val="20"/>
              </w:rPr>
            </w:pPr>
            <w:r w:rsidRPr="003E13FF">
              <w:rPr>
                <w:sz w:val="20"/>
                <w:szCs w:val="20"/>
              </w:rPr>
              <w:t xml:space="preserve">Thermal Expansion Coefficient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Fl</m:t>
                  </m:r>
                </m:sub>
              </m:sSub>
            </m:oMath>
          </w:p>
        </w:tc>
        <w:tc>
          <w:tcPr>
            <w:tcW w:w="3600" w:type="dxa"/>
          </w:tcPr>
          <w:p w14:paraId="504FC019" w14:textId="77777777" w:rsidR="00EE33D7" w:rsidRPr="003E13FF" w:rsidRDefault="00EE33D7" w:rsidP="002B58A2">
            <w:pPr>
              <w:spacing w:line="240" w:lineRule="auto"/>
              <w:jc w:val="both"/>
              <w:rPr>
                <w:sz w:val="20"/>
                <w:szCs w:val="20"/>
              </w:rPr>
            </w:pPr>
            <w:r w:rsidRPr="003E13FF">
              <w:rPr>
                <w:sz w:val="20"/>
                <w:szCs w:val="20"/>
              </w:rPr>
              <w:t>2.917 10</w:t>
            </w:r>
            <w:r w:rsidRPr="003E13FF">
              <w:rPr>
                <w:sz w:val="20"/>
                <w:szCs w:val="20"/>
                <w:vertAlign w:val="superscript"/>
              </w:rPr>
              <w:t>-4</w:t>
            </w:r>
          </w:p>
        </w:tc>
        <w:tc>
          <w:tcPr>
            <w:tcW w:w="2070" w:type="dxa"/>
          </w:tcPr>
          <w:p w14:paraId="1E896F41" w14:textId="77777777" w:rsidR="00EE33D7" w:rsidRPr="003E13FF" w:rsidRDefault="00EE33D7" w:rsidP="002B58A2">
            <w:pPr>
              <w:spacing w:line="240" w:lineRule="auto"/>
              <w:jc w:val="both"/>
              <w:rPr>
                <w:sz w:val="20"/>
                <w:szCs w:val="20"/>
                <w:vertAlign w:val="superscript"/>
              </w:rPr>
            </w:pPr>
            <w:r w:rsidRPr="003E13FF">
              <w:rPr>
                <w:sz w:val="20"/>
                <w:szCs w:val="20"/>
              </w:rPr>
              <w:t>K</w:t>
            </w:r>
            <w:r w:rsidRPr="003E13FF">
              <w:rPr>
                <w:sz w:val="20"/>
                <w:szCs w:val="20"/>
                <w:vertAlign w:val="superscript"/>
              </w:rPr>
              <w:t>-1</w:t>
            </w:r>
          </w:p>
        </w:tc>
      </w:tr>
      <w:tr w:rsidR="00EE33D7" w:rsidRPr="003E13FF" w14:paraId="6DADB4A2" w14:textId="77777777" w:rsidTr="002B58A2">
        <w:tc>
          <w:tcPr>
            <w:tcW w:w="9625" w:type="dxa"/>
            <w:gridSpan w:val="3"/>
          </w:tcPr>
          <w:p w14:paraId="085CDD98" w14:textId="77777777" w:rsidR="00EE33D7" w:rsidRPr="003E13FF" w:rsidRDefault="00EE33D7" w:rsidP="002B58A2">
            <w:pPr>
              <w:spacing w:line="240" w:lineRule="auto"/>
              <w:jc w:val="both"/>
              <w:rPr>
                <w:sz w:val="20"/>
                <w:szCs w:val="20"/>
              </w:rPr>
            </w:pPr>
            <w:r w:rsidRPr="003E13FF">
              <w:rPr>
                <w:b/>
                <w:bCs w:val="0"/>
                <w:sz w:val="20"/>
                <w:szCs w:val="20"/>
              </w:rPr>
              <w:t>Thermal and Geometric Design Parameters</w:t>
            </w:r>
          </w:p>
        </w:tc>
      </w:tr>
      <w:tr w:rsidR="00EE33D7" w:rsidRPr="003E13FF" w14:paraId="4E2B01BD" w14:textId="77777777" w:rsidTr="002B58A2">
        <w:tc>
          <w:tcPr>
            <w:tcW w:w="3955" w:type="dxa"/>
          </w:tcPr>
          <w:p w14:paraId="3BF78F55" w14:textId="77777777" w:rsidR="00EE33D7" w:rsidRPr="003E13FF" w:rsidRDefault="00EE33D7" w:rsidP="002B58A2">
            <w:pPr>
              <w:spacing w:line="240" w:lineRule="auto"/>
              <w:jc w:val="both"/>
              <w:rPr>
                <w:sz w:val="20"/>
                <w:szCs w:val="20"/>
              </w:rPr>
            </w:pPr>
            <w:r w:rsidRPr="003E13FF">
              <w:rPr>
                <w:i/>
                <w:iCs/>
                <w:sz w:val="20"/>
                <w:szCs w:val="20"/>
              </w:rPr>
              <w:t>Parameter</w:t>
            </w:r>
          </w:p>
        </w:tc>
        <w:tc>
          <w:tcPr>
            <w:tcW w:w="3600" w:type="dxa"/>
          </w:tcPr>
          <w:p w14:paraId="234279AF" w14:textId="77777777" w:rsidR="00EE33D7" w:rsidRPr="003E13FF" w:rsidRDefault="00EE33D7" w:rsidP="002B58A2">
            <w:pPr>
              <w:spacing w:line="240" w:lineRule="auto"/>
              <w:jc w:val="both"/>
              <w:rPr>
                <w:sz w:val="20"/>
                <w:szCs w:val="20"/>
              </w:rPr>
            </w:pPr>
            <w:r w:rsidRPr="003E13FF">
              <w:rPr>
                <w:i/>
                <w:iCs/>
                <w:sz w:val="20"/>
                <w:szCs w:val="20"/>
              </w:rPr>
              <w:t>Value</w:t>
            </w:r>
          </w:p>
        </w:tc>
        <w:tc>
          <w:tcPr>
            <w:tcW w:w="2070" w:type="dxa"/>
          </w:tcPr>
          <w:p w14:paraId="48430531" w14:textId="77777777" w:rsidR="00EE33D7" w:rsidRPr="003E13FF" w:rsidRDefault="00EE33D7" w:rsidP="002B58A2">
            <w:pPr>
              <w:spacing w:line="240" w:lineRule="auto"/>
              <w:jc w:val="both"/>
              <w:rPr>
                <w:sz w:val="20"/>
                <w:szCs w:val="20"/>
              </w:rPr>
            </w:pPr>
            <w:r w:rsidRPr="003E13FF">
              <w:rPr>
                <w:i/>
                <w:iCs/>
                <w:sz w:val="20"/>
                <w:szCs w:val="20"/>
              </w:rPr>
              <w:t>Unit</w:t>
            </w:r>
          </w:p>
        </w:tc>
      </w:tr>
      <w:tr w:rsidR="00EE33D7" w:rsidRPr="003E13FF" w14:paraId="76775A28" w14:textId="77777777" w:rsidTr="002B58A2">
        <w:tc>
          <w:tcPr>
            <w:tcW w:w="3955" w:type="dxa"/>
          </w:tcPr>
          <w:p w14:paraId="62EEA0CD" w14:textId="77777777" w:rsidR="00EE33D7" w:rsidRPr="003E13FF" w:rsidRDefault="00EE33D7" w:rsidP="002B58A2">
            <w:pPr>
              <w:spacing w:line="240" w:lineRule="auto"/>
              <w:jc w:val="both"/>
              <w:rPr>
                <w:sz w:val="20"/>
                <w:szCs w:val="20"/>
              </w:rPr>
            </w:pPr>
            <w:r w:rsidRPr="003E13FF">
              <w:rPr>
                <w:sz w:val="20"/>
                <w:szCs w:val="20"/>
              </w:rPr>
              <w:t>Pebble Fill Fraction in Containers</w:t>
            </w:r>
          </w:p>
        </w:tc>
        <w:tc>
          <w:tcPr>
            <w:tcW w:w="3600" w:type="dxa"/>
          </w:tcPr>
          <w:p w14:paraId="779BBCF3" w14:textId="77777777" w:rsidR="00EE33D7" w:rsidRPr="003E13FF" w:rsidRDefault="00EE33D7" w:rsidP="002B58A2">
            <w:pPr>
              <w:spacing w:line="240" w:lineRule="auto"/>
              <w:jc w:val="both"/>
              <w:rPr>
                <w:sz w:val="20"/>
                <w:szCs w:val="20"/>
              </w:rPr>
            </w:pPr>
            <w:r w:rsidRPr="003E13FF">
              <w:rPr>
                <w:sz w:val="20"/>
                <w:szCs w:val="20"/>
              </w:rPr>
              <w:t>0.60</w:t>
            </w:r>
          </w:p>
        </w:tc>
        <w:tc>
          <w:tcPr>
            <w:tcW w:w="2070" w:type="dxa"/>
          </w:tcPr>
          <w:p w14:paraId="2CACA65F" w14:textId="77777777" w:rsidR="00EE33D7" w:rsidRPr="003E13FF" w:rsidRDefault="00EE33D7" w:rsidP="002B58A2">
            <w:pPr>
              <w:spacing w:line="240" w:lineRule="auto"/>
              <w:jc w:val="both"/>
              <w:rPr>
                <w:sz w:val="20"/>
                <w:szCs w:val="20"/>
              </w:rPr>
            </w:pPr>
            <w:r w:rsidRPr="003E13FF">
              <w:rPr>
                <w:sz w:val="20"/>
                <w:szCs w:val="20"/>
              </w:rPr>
              <w:t>-</w:t>
            </w:r>
          </w:p>
        </w:tc>
      </w:tr>
      <w:tr w:rsidR="00EE33D7" w:rsidRPr="003E13FF" w14:paraId="6087DBC5" w14:textId="77777777" w:rsidTr="002B58A2">
        <w:tc>
          <w:tcPr>
            <w:tcW w:w="3955" w:type="dxa"/>
          </w:tcPr>
          <w:p w14:paraId="5BCAB3F4" w14:textId="77777777" w:rsidR="00EE33D7" w:rsidRPr="003E13FF" w:rsidRDefault="00EE33D7" w:rsidP="002B58A2">
            <w:pPr>
              <w:spacing w:line="240" w:lineRule="auto"/>
              <w:jc w:val="both"/>
              <w:rPr>
                <w:sz w:val="20"/>
                <w:szCs w:val="20"/>
              </w:rPr>
            </w:pPr>
            <w:r w:rsidRPr="003E13FF">
              <w:rPr>
                <w:sz w:val="20"/>
                <w:szCs w:val="20"/>
              </w:rPr>
              <w:t xml:space="preserve">Pebble Radius </w:t>
            </w:r>
            <m:oMath>
              <m:r>
                <w:rPr>
                  <w:rFonts w:ascii="Cambria Math" w:hAnsi="Cambria Math"/>
                  <w:sz w:val="20"/>
                  <w:szCs w:val="20"/>
                </w:rPr>
                <m:t>R</m:t>
              </m:r>
            </m:oMath>
          </w:p>
        </w:tc>
        <w:tc>
          <w:tcPr>
            <w:tcW w:w="3600" w:type="dxa"/>
          </w:tcPr>
          <w:p w14:paraId="0A668890" w14:textId="77777777" w:rsidR="00EE33D7" w:rsidRPr="003E13FF" w:rsidRDefault="00EE33D7" w:rsidP="002B58A2">
            <w:pPr>
              <w:spacing w:line="240" w:lineRule="auto"/>
              <w:jc w:val="both"/>
              <w:rPr>
                <w:sz w:val="20"/>
                <w:szCs w:val="20"/>
              </w:rPr>
            </w:pPr>
            <w:r w:rsidRPr="003E13FF">
              <w:rPr>
                <w:sz w:val="20"/>
                <w:szCs w:val="20"/>
              </w:rPr>
              <w:t>0.015</w:t>
            </w:r>
          </w:p>
        </w:tc>
        <w:tc>
          <w:tcPr>
            <w:tcW w:w="2070" w:type="dxa"/>
          </w:tcPr>
          <w:p w14:paraId="1A91A587"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79E63CD4" w14:textId="77777777" w:rsidTr="002B58A2">
        <w:tc>
          <w:tcPr>
            <w:tcW w:w="3955" w:type="dxa"/>
          </w:tcPr>
          <w:p w14:paraId="57070974" w14:textId="77777777" w:rsidR="00EE33D7" w:rsidRPr="003E13FF" w:rsidRDefault="00EE33D7" w:rsidP="002B58A2">
            <w:pPr>
              <w:spacing w:line="240" w:lineRule="auto"/>
              <w:jc w:val="both"/>
              <w:rPr>
                <w:i/>
                <w:iCs/>
                <w:sz w:val="20"/>
                <w:szCs w:val="20"/>
              </w:rPr>
            </w:pPr>
            <w:r w:rsidRPr="003E13FF">
              <w:rPr>
                <w:sz w:val="20"/>
                <w:szCs w:val="20"/>
              </w:rPr>
              <w:t xml:space="preserve">Depth of Pebble Container Roof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pool</m:t>
                  </m:r>
                </m:sub>
              </m:sSub>
            </m:oMath>
          </w:p>
        </w:tc>
        <w:tc>
          <w:tcPr>
            <w:tcW w:w="3600" w:type="dxa"/>
          </w:tcPr>
          <w:p w14:paraId="44028EC4" w14:textId="77777777" w:rsidR="00EE33D7" w:rsidRPr="003E13FF" w:rsidRDefault="00EE33D7" w:rsidP="002B58A2">
            <w:pPr>
              <w:spacing w:line="240" w:lineRule="auto"/>
              <w:jc w:val="both"/>
              <w:rPr>
                <w:sz w:val="20"/>
                <w:szCs w:val="20"/>
              </w:rPr>
            </w:pPr>
            <w:r w:rsidRPr="003E13FF">
              <w:rPr>
                <w:sz w:val="20"/>
                <w:szCs w:val="20"/>
              </w:rPr>
              <w:t>2</w:t>
            </w:r>
          </w:p>
        </w:tc>
        <w:tc>
          <w:tcPr>
            <w:tcW w:w="2070" w:type="dxa"/>
          </w:tcPr>
          <w:p w14:paraId="312BD710"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562EAD2D" w14:textId="77777777" w:rsidTr="002B58A2">
        <w:tc>
          <w:tcPr>
            <w:tcW w:w="3955" w:type="dxa"/>
          </w:tcPr>
          <w:p w14:paraId="10B87DD1" w14:textId="77777777" w:rsidR="00EE33D7" w:rsidRPr="003E13FF" w:rsidRDefault="00EE33D7" w:rsidP="002B58A2">
            <w:pPr>
              <w:spacing w:line="240" w:lineRule="auto"/>
              <w:jc w:val="both"/>
              <w:rPr>
                <w:sz w:val="20"/>
                <w:szCs w:val="20"/>
              </w:rPr>
            </w:pPr>
            <w:r w:rsidRPr="003E13FF">
              <w:rPr>
                <w:sz w:val="20"/>
                <w:szCs w:val="20"/>
              </w:rPr>
              <w:t>Ambient Temperature</w:t>
            </w:r>
          </w:p>
        </w:tc>
        <w:tc>
          <w:tcPr>
            <w:tcW w:w="3600" w:type="dxa"/>
          </w:tcPr>
          <w:p w14:paraId="10BF6484" w14:textId="77777777" w:rsidR="00EE33D7" w:rsidRPr="003E13FF" w:rsidRDefault="00EE33D7" w:rsidP="002B58A2">
            <w:pPr>
              <w:spacing w:line="240" w:lineRule="auto"/>
              <w:jc w:val="both"/>
              <w:rPr>
                <w:sz w:val="20"/>
                <w:szCs w:val="20"/>
              </w:rPr>
            </w:pPr>
            <w:r w:rsidRPr="003E13FF">
              <w:rPr>
                <w:sz w:val="20"/>
                <w:szCs w:val="20"/>
              </w:rPr>
              <w:t>504</w:t>
            </w:r>
          </w:p>
        </w:tc>
        <w:tc>
          <w:tcPr>
            <w:tcW w:w="2070" w:type="dxa"/>
          </w:tcPr>
          <w:p w14:paraId="197FC82A" w14:textId="77777777" w:rsidR="00EE33D7" w:rsidRPr="003E13FF" w:rsidRDefault="00EE33D7" w:rsidP="002B58A2">
            <w:pPr>
              <w:spacing w:line="240" w:lineRule="auto"/>
              <w:jc w:val="both"/>
              <w:rPr>
                <w:sz w:val="20"/>
                <w:szCs w:val="20"/>
              </w:rPr>
            </w:pPr>
            <w:r w:rsidRPr="003E13FF">
              <w:rPr>
                <w:sz w:val="20"/>
                <w:szCs w:val="20"/>
              </w:rPr>
              <w:t>°C</w:t>
            </w:r>
          </w:p>
        </w:tc>
      </w:tr>
      <w:tr w:rsidR="00EE33D7" w:rsidRPr="003E13FF" w14:paraId="0F79D515" w14:textId="77777777" w:rsidTr="002B58A2">
        <w:tc>
          <w:tcPr>
            <w:tcW w:w="9625" w:type="dxa"/>
            <w:gridSpan w:val="3"/>
          </w:tcPr>
          <w:p w14:paraId="57B680D8" w14:textId="77777777" w:rsidR="00EE33D7" w:rsidRPr="003E13FF" w:rsidRDefault="00EE33D7" w:rsidP="002B58A2">
            <w:pPr>
              <w:spacing w:line="240" w:lineRule="auto"/>
              <w:jc w:val="both"/>
              <w:rPr>
                <w:sz w:val="20"/>
                <w:szCs w:val="20"/>
              </w:rPr>
            </w:pPr>
            <w:r w:rsidRPr="003E13FF">
              <w:rPr>
                <w:b/>
                <w:bCs w:val="0"/>
                <w:sz w:val="20"/>
                <w:szCs w:val="20"/>
              </w:rPr>
              <w:t>Container Parameters – 1 Year Storage Scenario</w:t>
            </w:r>
          </w:p>
        </w:tc>
      </w:tr>
      <w:tr w:rsidR="00EE33D7" w:rsidRPr="003E13FF" w14:paraId="467E9DE3" w14:textId="77777777" w:rsidTr="002B58A2">
        <w:tc>
          <w:tcPr>
            <w:tcW w:w="3955" w:type="dxa"/>
          </w:tcPr>
          <w:p w14:paraId="4FF04EB6" w14:textId="77777777" w:rsidR="00EE33D7" w:rsidRPr="003E13FF" w:rsidRDefault="00EE33D7" w:rsidP="002B58A2">
            <w:pPr>
              <w:spacing w:line="240" w:lineRule="auto"/>
              <w:jc w:val="both"/>
              <w:rPr>
                <w:i/>
                <w:iCs/>
                <w:sz w:val="20"/>
                <w:szCs w:val="20"/>
              </w:rPr>
            </w:pPr>
            <w:r w:rsidRPr="003E13FF">
              <w:rPr>
                <w:i/>
                <w:iCs/>
                <w:sz w:val="20"/>
                <w:szCs w:val="20"/>
              </w:rPr>
              <w:t>Parameter</w:t>
            </w:r>
          </w:p>
        </w:tc>
        <w:tc>
          <w:tcPr>
            <w:tcW w:w="3600" w:type="dxa"/>
          </w:tcPr>
          <w:p w14:paraId="51086BEA" w14:textId="77777777" w:rsidR="00EE33D7" w:rsidRPr="003E13FF" w:rsidRDefault="00EE33D7" w:rsidP="002B58A2">
            <w:pPr>
              <w:spacing w:line="240" w:lineRule="auto"/>
              <w:jc w:val="both"/>
              <w:rPr>
                <w:i/>
                <w:iCs/>
                <w:sz w:val="20"/>
                <w:szCs w:val="20"/>
              </w:rPr>
            </w:pPr>
            <w:r w:rsidRPr="003E13FF">
              <w:rPr>
                <w:i/>
                <w:iCs/>
                <w:sz w:val="20"/>
                <w:szCs w:val="20"/>
              </w:rPr>
              <w:t>Value</w:t>
            </w:r>
          </w:p>
        </w:tc>
        <w:tc>
          <w:tcPr>
            <w:tcW w:w="2070" w:type="dxa"/>
          </w:tcPr>
          <w:p w14:paraId="4B20DB01" w14:textId="77777777" w:rsidR="00EE33D7" w:rsidRPr="003E13FF" w:rsidRDefault="00EE33D7" w:rsidP="002B58A2">
            <w:pPr>
              <w:spacing w:line="240" w:lineRule="auto"/>
              <w:jc w:val="both"/>
              <w:rPr>
                <w:i/>
                <w:iCs/>
                <w:sz w:val="20"/>
                <w:szCs w:val="20"/>
              </w:rPr>
            </w:pPr>
            <w:r w:rsidRPr="003E13FF">
              <w:rPr>
                <w:i/>
                <w:iCs/>
                <w:sz w:val="20"/>
                <w:szCs w:val="20"/>
              </w:rPr>
              <w:t>Unit</w:t>
            </w:r>
          </w:p>
        </w:tc>
      </w:tr>
      <w:tr w:rsidR="00EE33D7" w:rsidRPr="003E13FF" w14:paraId="0CEA1F7B" w14:textId="77777777" w:rsidTr="002B58A2">
        <w:tc>
          <w:tcPr>
            <w:tcW w:w="3955" w:type="dxa"/>
          </w:tcPr>
          <w:p w14:paraId="027BF638" w14:textId="77777777" w:rsidR="00EE33D7" w:rsidRPr="003E13FF" w:rsidRDefault="00EE33D7" w:rsidP="002B58A2">
            <w:pPr>
              <w:spacing w:line="240" w:lineRule="auto"/>
              <w:jc w:val="both"/>
              <w:rPr>
                <w:sz w:val="20"/>
                <w:szCs w:val="20"/>
              </w:rPr>
            </w:pPr>
            <w:r w:rsidRPr="003E13FF">
              <w:rPr>
                <w:sz w:val="20"/>
                <w:szCs w:val="20"/>
              </w:rPr>
              <w:t xml:space="preserve">Container Height </w:t>
            </w:r>
            <w:r w:rsidRPr="003E13FF">
              <w:rPr>
                <w:i/>
                <w:iCs/>
                <w:sz w:val="20"/>
                <w:szCs w:val="20"/>
              </w:rPr>
              <w:t>z</w:t>
            </w:r>
          </w:p>
        </w:tc>
        <w:tc>
          <w:tcPr>
            <w:tcW w:w="3600" w:type="dxa"/>
          </w:tcPr>
          <w:p w14:paraId="68A17345" w14:textId="77777777" w:rsidR="00EE33D7" w:rsidRPr="003E13FF" w:rsidRDefault="00EE33D7" w:rsidP="002B58A2">
            <w:pPr>
              <w:spacing w:line="240" w:lineRule="auto"/>
              <w:jc w:val="both"/>
              <w:rPr>
                <w:sz w:val="20"/>
                <w:szCs w:val="20"/>
              </w:rPr>
            </w:pPr>
            <w:r w:rsidRPr="003E13FF">
              <w:rPr>
                <w:sz w:val="20"/>
                <w:szCs w:val="20"/>
              </w:rPr>
              <w:t>0.724</w:t>
            </w:r>
          </w:p>
        </w:tc>
        <w:tc>
          <w:tcPr>
            <w:tcW w:w="2070" w:type="dxa"/>
          </w:tcPr>
          <w:p w14:paraId="14D00F5D"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3B8CEAC9" w14:textId="77777777" w:rsidTr="002B58A2">
        <w:tc>
          <w:tcPr>
            <w:tcW w:w="3955" w:type="dxa"/>
          </w:tcPr>
          <w:p w14:paraId="0CC66A1C" w14:textId="77777777" w:rsidR="00EE33D7" w:rsidRPr="003E13FF" w:rsidRDefault="00EE33D7" w:rsidP="002B58A2">
            <w:pPr>
              <w:spacing w:line="240" w:lineRule="auto"/>
              <w:jc w:val="both"/>
              <w:rPr>
                <w:sz w:val="20"/>
                <w:szCs w:val="20"/>
              </w:rPr>
            </w:pPr>
            <w:r w:rsidRPr="003E13FF">
              <w:rPr>
                <w:sz w:val="20"/>
                <w:szCs w:val="20"/>
              </w:rPr>
              <w:t xml:space="preserve">Cross Section Area </w:t>
            </w:r>
            <w:r w:rsidRPr="003E13FF">
              <w:rPr>
                <w:i/>
                <w:iCs/>
                <w:sz w:val="20"/>
                <w:szCs w:val="20"/>
              </w:rPr>
              <w:t>A</w:t>
            </w:r>
          </w:p>
        </w:tc>
        <w:tc>
          <w:tcPr>
            <w:tcW w:w="3600" w:type="dxa"/>
          </w:tcPr>
          <w:p w14:paraId="32E15F08" w14:textId="77777777" w:rsidR="00EE33D7" w:rsidRPr="003E13FF" w:rsidRDefault="00EE33D7" w:rsidP="002B58A2">
            <w:pPr>
              <w:spacing w:line="240" w:lineRule="auto"/>
              <w:jc w:val="both"/>
              <w:rPr>
                <w:sz w:val="20"/>
                <w:szCs w:val="20"/>
              </w:rPr>
            </w:pPr>
            <w:r w:rsidRPr="003E13FF">
              <w:rPr>
                <w:sz w:val="20"/>
                <w:szCs w:val="20"/>
              </w:rPr>
              <w:t>30.74</w:t>
            </w:r>
          </w:p>
        </w:tc>
        <w:tc>
          <w:tcPr>
            <w:tcW w:w="2070" w:type="dxa"/>
          </w:tcPr>
          <w:p w14:paraId="0B078BDA" w14:textId="77777777" w:rsidR="00EE33D7" w:rsidRPr="003E13FF" w:rsidRDefault="00EE33D7" w:rsidP="002B58A2">
            <w:pPr>
              <w:spacing w:line="240" w:lineRule="auto"/>
              <w:jc w:val="both"/>
              <w:rPr>
                <w:sz w:val="20"/>
                <w:szCs w:val="20"/>
                <w:vertAlign w:val="superscript"/>
              </w:rPr>
            </w:pPr>
            <w:r w:rsidRPr="003E13FF">
              <w:rPr>
                <w:sz w:val="20"/>
                <w:szCs w:val="20"/>
              </w:rPr>
              <w:t>m</w:t>
            </w:r>
            <w:r w:rsidRPr="003E13FF">
              <w:rPr>
                <w:sz w:val="20"/>
                <w:szCs w:val="20"/>
                <w:vertAlign w:val="superscript"/>
              </w:rPr>
              <w:t>2</w:t>
            </w:r>
          </w:p>
        </w:tc>
      </w:tr>
      <w:tr w:rsidR="00EE33D7" w:rsidRPr="003E13FF" w14:paraId="388CF7CA" w14:textId="77777777" w:rsidTr="002B58A2">
        <w:tc>
          <w:tcPr>
            <w:tcW w:w="9625" w:type="dxa"/>
            <w:gridSpan w:val="3"/>
          </w:tcPr>
          <w:p w14:paraId="2817EA87" w14:textId="77777777" w:rsidR="00EE33D7" w:rsidRPr="003E13FF" w:rsidRDefault="00EE33D7" w:rsidP="002B58A2">
            <w:pPr>
              <w:spacing w:line="240" w:lineRule="auto"/>
              <w:jc w:val="both"/>
              <w:rPr>
                <w:sz w:val="20"/>
                <w:szCs w:val="20"/>
              </w:rPr>
            </w:pPr>
            <w:r w:rsidRPr="003E13FF">
              <w:rPr>
                <w:b/>
                <w:bCs w:val="0"/>
                <w:sz w:val="20"/>
                <w:szCs w:val="20"/>
              </w:rPr>
              <w:t>Container Parameters – 4 Year Storage Scenario</w:t>
            </w:r>
          </w:p>
        </w:tc>
      </w:tr>
      <w:tr w:rsidR="00EE33D7" w:rsidRPr="003E13FF" w14:paraId="4E3BC912" w14:textId="77777777" w:rsidTr="002B58A2">
        <w:tc>
          <w:tcPr>
            <w:tcW w:w="3955" w:type="dxa"/>
          </w:tcPr>
          <w:p w14:paraId="130AC372" w14:textId="77777777" w:rsidR="00EE33D7" w:rsidRPr="003E13FF" w:rsidRDefault="00EE33D7" w:rsidP="002B58A2">
            <w:pPr>
              <w:spacing w:line="240" w:lineRule="auto"/>
              <w:jc w:val="both"/>
              <w:rPr>
                <w:i/>
                <w:iCs/>
                <w:sz w:val="20"/>
                <w:szCs w:val="20"/>
              </w:rPr>
            </w:pPr>
            <w:r w:rsidRPr="003E13FF">
              <w:rPr>
                <w:i/>
                <w:iCs/>
                <w:sz w:val="20"/>
                <w:szCs w:val="20"/>
              </w:rPr>
              <w:t>Parameter</w:t>
            </w:r>
          </w:p>
        </w:tc>
        <w:tc>
          <w:tcPr>
            <w:tcW w:w="3600" w:type="dxa"/>
          </w:tcPr>
          <w:p w14:paraId="1EF8B5B2" w14:textId="77777777" w:rsidR="00EE33D7" w:rsidRPr="003E13FF" w:rsidRDefault="00EE33D7" w:rsidP="002B58A2">
            <w:pPr>
              <w:spacing w:line="240" w:lineRule="auto"/>
              <w:jc w:val="both"/>
              <w:rPr>
                <w:i/>
                <w:iCs/>
                <w:sz w:val="20"/>
                <w:szCs w:val="20"/>
              </w:rPr>
            </w:pPr>
            <w:r w:rsidRPr="003E13FF">
              <w:rPr>
                <w:i/>
                <w:iCs/>
                <w:sz w:val="20"/>
                <w:szCs w:val="20"/>
              </w:rPr>
              <w:t>Value</w:t>
            </w:r>
          </w:p>
        </w:tc>
        <w:tc>
          <w:tcPr>
            <w:tcW w:w="2070" w:type="dxa"/>
          </w:tcPr>
          <w:p w14:paraId="465F39DE" w14:textId="77777777" w:rsidR="00EE33D7" w:rsidRPr="003E13FF" w:rsidRDefault="00EE33D7" w:rsidP="002B58A2">
            <w:pPr>
              <w:spacing w:line="240" w:lineRule="auto"/>
              <w:jc w:val="both"/>
              <w:rPr>
                <w:i/>
                <w:iCs/>
                <w:sz w:val="20"/>
                <w:szCs w:val="20"/>
              </w:rPr>
            </w:pPr>
            <w:r w:rsidRPr="003E13FF">
              <w:rPr>
                <w:i/>
                <w:iCs/>
                <w:sz w:val="20"/>
                <w:szCs w:val="20"/>
              </w:rPr>
              <w:t>Unit</w:t>
            </w:r>
          </w:p>
        </w:tc>
      </w:tr>
      <w:tr w:rsidR="00EE33D7" w:rsidRPr="003E13FF" w14:paraId="5E0E5275" w14:textId="77777777" w:rsidTr="002B58A2">
        <w:tc>
          <w:tcPr>
            <w:tcW w:w="3955" w:type="dxa"/>
          </w:tcPr>
          <w:p w14:paraId="669DA60E" w14:textId="77777777" w:rsidR="00EE33D7" w:rsidRPr="003E13FF" w:rsidRDefault="00EE33D7" w:rsidP="002B58A2">
            <w:pPr>
              <w:spacing w:line="240" w:lineRule="auto"/>
              <w:jc w:val="both"/>
              <w:rPr>
                <w:sz w:val="20"/>
                <w:szCs w:val="20"/>
              </w:rPr>
            </w:pPr>
            <w:r w:rsidRPr="003E13FF">
              <w:rPr>
                <w:sz w:val="20"/>
                <w:szCs w:val="20"/>
              </w:rPr>
              <w:t xml:space="preserve">Container Height </w:t>
            </w:r>
            <w:r w:rsidRPr="003E13FF">
              <w:rPr>
                <w:i/>
                <w:iCs/>
                <w:sz w:val="20"/>
                <w:szCs w:val="20"/>
              </w:rPr>
              <w:t>z</w:t>
            </w:r>
          </w:p>
        </w:tc>
        <w:tc>
          <w:tcPr>
            <w:tcW w:w="3600" w:type="dxa"/>
          </w:tcPr>
          <w:p w14:paraId="48F86437" w14:textId="77777777" w:rsidR="00EE33D7" w:rsidRPr="003E13FF" w:rsidRDefault="00EE33D7" w:rsidP="002B58A2">
            <w:pPr>
              <w:spacing w:line="240" w:lineRule="auto"/>
              <w:jc w:val="both"/>
              <w:rPr>
                <w:sz w:val="20"/>
                <w:szCs w:val="20"/>
              </w:rPr>
            </w:pPr>
            <w:r w:rsidRPr="003E13FF">
              <w:rPr>
                <w:sz w:val="20"/>
                <w:szCs w:val="20"/>
              </w:rPr>
              <w:t>0.724</w:t>
            </w:r>
          </w:p>
        </w:tc>
        <w:tc>
          <w:tcPr>
            <w:tcW w:w="2070" w:type="dxa"/>
          </w:tcPr>
          <w:p w14:paraId="7C2978DB" w14:textId="77777777" w:rsidR="00EE33D7" w:rsidRPr="003E13FF" w:rsidRDefault="00EE33D7" w:rsidP="002B58A2">
            <w:pPr>
              <w:spacing w:line="240" w:lineRule="auto"/>
              <w:jc w:val="both"/>
              <w:rPr>
                <w:sz w:val="20"/>
                <w:szCs w:val="20"/>
                <w:vertAlign w:val="superscript"/>
              </w:rPr>
            </w:pPr>
            <w:r w:rsidRPr="003E13FF">
              <w:rPr>
                <w:sz w:val="20"/>
                <w:szCs w:val="20"/>
              </w:rPr>
              <w:t>m</w:t>
            </w:r>
          </w:p>
        </w:tc>
      </w:tr>
      <w:tr w:rsidR="00EE33D7" w:rsidRPr="003E13FF" w14:paraId="0B207825" w14:textId="77777777" w:rsidTr="002B58A2">
        <w:tc>
          <w:tcPr>
            <w:tcW w:w="3955" w:type="dxa"/>
          </w:tcPr>
          <w:p w14:paraId="667E37BB" w14:textId="77777777" w:rsidR="00EE33D7" w:rsidRPr="003E13FF" w:rsidRDefault="00EE33D7" w:rsidP="002B58A2">
            <w:pPr>
              <w:spacing w:line="240" w:lineRule="auto"/>
              <w:jc w:val="both"/>
              <w:rPr>
                <w:sz w:val="20"/>
                <w:szCs w:val="20"/>
              </w:rPr>
            </w:pPr>
            <w:r w:rsidRPr="003E13FF">
              <w:rPr>
                <w:sz w:val="20"/>
                <w:szCs w:val="20"/>
              </w:rPr>
              <w:t xml:space="preserve">Cross Section Area </w:t>
            </w:r>
            <w:r w:rsidRPr="003E13FF">
              <w:rPr>
                <w:i/>
                <w:iCs/>
                <w:sz w:val="20"/>
                <w:szCs w:val="20"/>
              </w:rPr>
              <w:t>A</w:t>
            </w:r>
          </w:p>
        </w:tc>
        <w:tc>
          <w:tcPr>
            <w:tcW w:w="3600" w:type="dxa"/>
          </w:tcPr>
          <w:p w14:paraId="132CE9FC" w14:textId="77777777" w:rsidR="00EE33D7" w:rsidRPr="003E13FF" w:rsidRDefault="00EE33D7" w:rsidP="002B58A2">
            <w:pPr>
              <w:spacing w:line="240" w:lineRule="auto"/>
              <w:jc w:val="both"/>
              <w:rPr>
                <w:sz w:val="20"/>
                <w:szCs w:val="20"/>
              </w:rPr>
            </w:pPr>
            <w:r w:rsidRPr="003B66E5">
              <w:rPr>
                <w:sz w:val="20"/>
                <w:szCs w:val="20"/>
              </w:rPr>
              <w:t>91.29</w:t>
            </w:r>
          </w:p>
        </w:tc>
        <w:tc>
          <w:tcPr>
            <w:tcW w:w="2070" w:type="dxa"/>
          </w:tcPr>
          <w:p w14:paraId="3D193559" w14:textId="77777777" w:rsidR="00EE33D7" w:rsidRPr="003E13FF" w:rsidRDefault="00EE33D7" w:rsidP="002B58A2">
            <w:pPr>
              <w:spacing w:line="240" w:lineRule="auto"/>
              <w:jc w:val="both"/>
              <w:rPr>
                <w:sz w:val="20"/>
                <w:szCs w:val="20"/>
                <w:vertAlign w:val="superscript"/>
              </w:rPr>
            </w:pPr>
            <w:r w:rsidRPr="003E13FF">
              <w:rPr>
                <w:sz w:val="20"/>
                <w:szCs w:val="20"/>
              </w:rPr>
              <w:t>m</w:t>
            </w:r>
            <w:r w:rsidRPr="003E13FF">
              <w:rPr>
                <w:sz w:val="20"/>
                <w:szCs w:val="20"/>
                <w:vertAlign w:val="superscript"/>
              </w:rPr>
              <w:t>2</w:t>
            </w:r>
          </w:p>
        </w:tc>
      </w:tr>
      <w:tr w:rsidR="00EE33D7" w:rsidRPr="003E13FF" w14:paraId="61435C40" w14:textId="77777777" w:rsidTr="002B58A2">
        <w:tc>
          <w:tcPr>
            <w:tcW w:w="9625" w:type="dxa"/>
            <w:gridSpan w:val="3"/>
          </w:tcPr>
          <w:p w14:paraId="77ADCAA0" w14:textId="77777777" w:rsidR="00EE33D7" w:rsidRPr="003E13FF" w:rsidRDefault="00EE33D7" w:rsidP="002B58A2">
            <w:pPr>
              <w:spacing w:line="240" w:lineRule="auto"/>
              <w:jc w:val="both"/>
              <w:rPr>
                <w:sz w:val="20"/>
                <w:szCs w:val="20"/>
              </w:rPr>
            </w:pPr>
            <w:r w:rsidRPr="003E13FF">
              <w:rPr>
                <w:b/>
                <w:bCs w:val="0"/>
                <w:sz w:val="20"/>
                <w:szCs w:val="20"/>
              </w:rPr>
              <w:t>Container Parameters – 4 Year Storage Scenario</w:t>
            </w:r>
          </w:p>
        </w:tc>
      </w:tr>
      <w:tr w:rsidR="00EE33D7" w:rsidRPr="003E13FF" w14:paraId="36F6040E" w14:textId="77777777" w:rsidTr="002B58A2">
        <w:tc>
          <w:tcPr>
            <w:tcW w:w="3955" w:type="dxa"/>
          </w:tcPr>
          <w:p w14:paraId="7036F477" w14:textId="77777777" w:rsidR="00EE33D7" w:rsidRPr="003E13FF" w:rsidRDefault="00EE33D7" w:rsidP="002B58A2">
            <w:pPr>
              <w:spacing w:line="240" w:lineRule="auto"/>
              <w:jc w:val="both"/>
              <w:rPr>
                <w:sz w:val="20"/>
                <w:szCs w:val="20"/>
              </w:rPr>
            </w:pPr>
            <w:r w:rsidRPr="003E13FF">
              <w:rPr>
                <w:i/>
                <w:iCs/>
                <w:sz w:val="20"/>
                <w:szCs w:val="20"/>
              </w:rPr>
              <w:t>Parameter</w:t>
            </w:r>
          </w:p>
        </w:tc>
        <w:tc>
          <w:tcPr>
            <w:tcW w:w="3600" w:type="dxa"/>
          </w:tcPr>
          <w:p w14:paraId="074D64AE" w14:textId="77777777" w:rsidR="00EE33D7" w:rsidRPr="003E13FF" w:rsidRDefault="00EE33D7" w:rsidP="002B58A2">
            <w:pPr>
              <w:spacing w:line="240" w:lineRule="auto"/>
              <w:jc w:val="both"/>
              <w:rPr>
                <w:sz w:val="20"/>
                <w:szCs w:val="20"/>
              </w:rPr>
            </w:pPr>
            <w:r w:rsidRPr="003E13FF">
              <w:rPr>
                <w:i/>
                <w:iCs/>
                <w:sz w:val="20"/>
                <w:szCs w:val="20"/>
              </w:rPr>
              <w:t>Value</w:t>
            </w:r>
          </w:p>
        </w:tc>
        <w:tc>
          <w:tcPr>
            <w:tcW w:w="2070" w:type="dxa"/>
          </w:tcPr>
          <w:p w14:paraId="3F1C2CF8" w14:textId="77777777" w:rsidR="00EE33D7" w:rsidRPr="003E13FF" w:rsidRDefault="00EE33D7" w:rsidP="002B58A2">
            <w:pPr>
              <w:spacing w:line="240" w:lineRule="auto"/>
              <w:jc w:val="both"/>
              <w:rPr>
                <w:sz w:val="20"/>
                <w:szCs w:val="20"/>
              </w:rPr>
            </w:pPr>
            <w:r w:rsidRPr="003E13FF">
              <w:rPr>
                <w:i/>
                <w:iCs/>
                <w:sz w:val="20"/>
                <w:szCs w:val="20"/>
              </w:rPr>
              <w:t>Unit</w:t>
            </w:r>
          </w:p>
        </w:tc>
      </w:tr>
      <w:tr w:rsidR="00EE33D7" w:rsidRPr="003E13FF" w14:paraId="4311AF1D" w14:textId="77777777" w:rsidTr="002B58A2">
        <w:tc>
          <w:tcPr>
            <w:tcW w:w="3955" w:type="dxa"/>
          </w:tcPr>
          <w:p w14:paraId="17065E63" w14:textId="77777777" w:rsidR="00EE33D7" w:rsidRPr="003E13FF" w:rsidRDefault="00EE33D7" w:rsidP="002B58A2">
            <w:pPr>
              <w:spacing w:line="240" w:lineRule="auto"/>
              <w:jc w:val="both"/>
              <w:rPr>
                <w:sz w:val="20"/>
                <w:szCs w:val="20"/>
              </w:rPr>
            </w:pPr>
            <w:r w:rsidRPr="003E13FF">
              <w:rPr>
                <w:sz w:val="20"/>
                <w:szCs w:val="20"/>
              </w:rPr>
              <w:t xml:space="preserve">Container Height </w:t>
            </w:r>
            <w:r w:rsidRPr="003E13FF">
              <w:rPr>
                <w:i/>
                <w:iCs/>
                <w:sz w:val="20"/>
                <w:szCs w:val="20"/>
              </w:rPr>
              <w:t>z</w:t>
            </w:r>
          </w:p>
        </w:tc>
        <w:tc>
          <w:tcPr>
            <w:tcW w:w="3600" w:type="dxa"/>
          </w:tcPr>
          <w:p w14:paraId="6A5FB283" w14:textId="77777777" w:rsidR="00EE33D7" w:rsidRPr="003E13FF" w:rsidRDefault="00EE33D7" w:rsidP="002B58A2">
            <w:pPr>
              <w:spacing w:line="240" w:lineRule="auto"/>
              <w:jc w:val="both"/>
              <w:rPr>
                <w:sz w:val="20"/>
                <w:szCs w:val="20"/>
              </w:rPr>
            </w:pPr>
            <w:r w:rsidRPr="003E13FF">
              <w:rPr>
                <w:sz w:val="20"/>
                <w:szCs w:val="20"/>
              </w:rPr>
              <w:t>0.724</w:t>
            </w:r>
          </w:p>
        </w:tc>
        <w:tc>
          <w:tcPr>
            <w:tcW w:w="2070" w:type="dxa"/>
          </w:tcPr>
          <w:p w14:paraId="74502E6B"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3C576105" w14:textId="77777777" w:rsidTr="002B58A2">
        <w:tc>
          <w:tcPr>
            <w:tcW w:w="3955" w:type="dxa"/>
          </w:tcPr>
          <w:p w14:paraId="1877C946" w14:textId="77777777" w:rsidR="00EE33D7" w:rsidRPr="003E13FF" w:rsidRDefault="00EE33D7" w:rsidP="002B58A2">
            <w:pPr>
              <w:spacing w:line="240" w:lineRule="auto"/>
              <w:jc w:val="both"/>
              <w:rPr>
                <w:sz w:val="20"/>
                <w:szCs w:val="20"/>
              </w:rPr>
            </w:pPr>
            <w:r w:rsidRPr="003E13FF">
              <w:rPr>
                <w:sz w:val="20"/>
                <w:szCs w:val="20"/>
              </w:rPr>
              <w:t xml:space="preserve">Cross Section Area </w:t>
            </w:r>
            <w:r w:rsidRPr="003E13FF">
              <w:rPr>
                <w:i/>
                <w:iCs/>
                <w:sz w:val="20"/>
                <w:szCs w:val="20"/>
              </w:rPr>
              <w:t>A</w:t>
            </w:r>
          </w:p>
        </w:tc>
        <w:tc>
          <w:tcPr>
            <w:tcW w:w="3600" w:type="dxa"/>
          </w:tcPr>
          <w:p w14:paraId="46713ED2" w14:textId="77777777" w:rsidR="00EE33D7" w:rsidRPr="003E13FF" w:rsidRDefault="00EE33D7" w:rsidP="002B58A2">
            <w:pPr>
              <w:spacing w:line="240" w:lineRule="auto"/>
              <w:jc w:val="both"/>
              <w:rPr>
                <w:sz w:val="20"/>
                <w:szCs w:val="20"/>
              </w:rPr>
            </w:pPr>
            <w:r>
              <w:rPr>
                <w:sz w:val="20"/>
                <w:szCs w:val="20"/>
              </w:rPr>
              <w:t>212.87</w:t>
            </w:r>
          </w:p>
        </w:tc>
        <w:tc>
          <w:tcPr>
            <w:tcW w:w="2070" w:type="dxa"/>
          </w:tcPr>
          <w:p w14:paraId="0183E791" w14:textId="77777777" w:rsidR="00EE33D7" w:rsidRPr="003E13FF" w:rsidRDefault="00EE33D7" w:rsidP="002B58A2">
            <w:pPr>
              <w:spacing w:line="240" w:lineRule="auto"/>
              <w:jc w:val="both"/>
              <w:rPr>
                <w:sz w:val="20"/>
                <w:szCs w:val="20"/>
              </w:rPr>
            </w:pPr>
            <w:r w:rsidRPr="003E13FF">
              <w:rPr>
                <w:sz w:val="20"/>
                <w:szCs w:val="20"/>
              </w:rPr>
              <w:t>m</w:t>
            </w:r>
            <w:r w:rsidRPr="003E13FF">
              <w:rPr>
                <w:sz w:val="20"/>
                <w:szCs w:val="20"/>
                <w:vertAlign w:val="superscript"/>
              </w:rPr>
              <w:t>2</w:t>
            </w:r>
          </w:p>
        </w:tc>
      </w:tr>
    </w:tbl>
    <w:p w14:paraId="07B023F0" w14:textId="33BD93B7" w:rsidR="00D10B6C" w:rsidRDefault="00D10B6C"/>
    <w:p w14:paraId="63B61D1D" w14:textId="1AC13D5E" w:rsidR="00EE33D7" w:rsidRDefault="00EE33D7" w:rsidP="00EE33D7">
      <w:pPr>
        <w:pStyle w:val="Caption"/>
        <w:keepNext/>
      </w:pPr>
      <w:bookmarkStart w:id="1" w:name="_Ref37346258"/>
      <w:r>
        <w:t xml:space="preserve">Table </w:t>
      </w:r>
      <w:bookmarkEnd w:id="1"/>
      <w:r>
        <w:t>2</w:t>
      </w:r>
      <w:r>
        <w:t xml:space="preserve">: </w:t>
      </w:r>
      <w:r w:rsidRPr="006C57E1">
        <w:t xml:space="preserve">Geometry, materials and thermodynamic parameters </w:t>
      </w:r>
      <w:r>
        <w:t>of HI-STAR 100 cask model</w:t>
      </w:r>
      <w:r w:rsidRPr="006C57E1">
        <w:t>.</w:t>
      </w:r>
    </w:p>
    <w:tbl>
      <w:tblPr>
        <w:tblStyle w:val="TableGrid"/>
        <w:tblW w:w="9625" w:type="dxa"/>
        <w:tblLook w:val="04A0" w:firstRow="1" w:lastRow="0" w:firstColumn="1" w:lastColumn="0" w:noHBand="0" w:noVBand="1"/>
      </w:tblPr>
      <w:tblGrid>
        <w:gridCol w:w="3955"/>
        <w:gridCol w:w="3600"/>
        <w:gridCol w:w="2070"/>
      </w:tblGrid>
      <w:tr w:rsidR="00EE33D7" w:rsidRPr="003E13FF" w14:paraId="5EC19CD2" w14:textId="77777777" w:rsidTr="002B58A2">
        <w:trPr>
          <w:trHeight w:val="20"/>
        </w:trPr>
        <w:tc>
          <w:tcPr>
            <w:tcW w:w="9625" w:type="dxa"/>
            <w:gridSpan w:val="3"/>
          </w:tcPr>
          <w:p w14:paraId="5C87BF45" w14:textId="77777777" w:rsidR="00EE33D7" w:rsidRPr="003E13FF" w:rsidRDefault="00EE33D7" w:rsidP="002B58A2">
            <w:pPr>
              <w:spacing w:line="240" w:lineRule="auto"/>
              <w:jc w:val="both"/>
              <w:rPr>
                <w:b/>
                <w:bCs w:val="0"/>
                <w:sz w:val="20"/>
                <w:szCs w:val="20"/>
              </w:rPr>
            </w:pPr>
            <w:r w:rsidRPr="003E13FF">
              <w:rPr>
                <w:b/>
                <w:bCs w:val="0"/>
                <w:sz w:val="20"/>
                <w:szCs w:val="20"/>
              </w:rPr>
              <w:t>Geometric and Thermal Design Parameters</w:t>
            </w:r>
          </w:p>
        </w:tc>
      </w:tr>
      <w:tr w:rsidR="00EE33D7" w:rsidRPr="003E13FF" w14:paraId="24A48404" w14:textId="77777777" w:rsidTr="002B58A2">
        <w:trPr>
          <w:trHeight w:val="20"/>
        </w:trPr>
        <w:tc>
          <w:tcPr>
            <w:tcW w:w="3955" w:type="dxa"/>
          </w:tcPr>
          <w:p w14:paraId="44AA0D90" w14:textId="77777777" w:rsidR="00EE33D7" w:rsidRPr="003E13FF" w:rsidRDefault="00EE33D7" w:rsidP="002B58A2">
            <w:pPr>
              <w:spacing w:line="240" w:lineRule="auto"/>
              <w:jc w:val="both"/>
              <w:rPr>
                <w:sz w:val="20"/>
                <w:szCs w:val="20"/>
              </w:rPr>
            </w:pPr>
            <w:r w:rsidRPr="003E13FF">
              <w:rPr>
                <w:i/>
                <w:iCs/>
                <w:sz w:val="20"/>
                <w:szCs w:val="20"/>
              </w:rPr>
              <w:t>Parameter</w:t>
            </w:r>
          </w:p>
        </w:tc>
        <w:tc>
          <w:tcPr>
            <w:tcW w:w="3600" w:type="dxa"/>
          </w:tcPr>
          <w:p w14:paraId="4AD72F05" w14:textId="77777777" w:rsidR="00EE33D7" w:rsidRPr="003E13FF" w:rsidRDefault="00EE33D7" w:rsidP="002B58A2">
            <w:pPr>
              <w:spacing w:line="240" w:lineRule="auto"/>
              <w:jc w:val="both"/>
              <w:rPr>
                <w:sz w:val="20"/>
                <w:szCs w:val="20"/>
              </w:rPr>
            </w:pPr>
            <w:r w:rsidRPr="003E13FF">
              <w:rPr>
                <w:i/>
                <w:iCs/>
                <w:sz w:val="20"/>
                <w:szCs w:val="20"/>
              </w:rPr>
              <w:t>Value</w:t>
            </w:r>
          </w:p>
        </w:tc>
        <w:tc>
          <w:tcPr>
            <w:tcW w:w="2070" w:type="dxa"/>
          </w:tcPr>
          <w:p w14:paraId="3C33A743" w14:textId="77777777" w:rsidR="00EE33D7" w:rsidRPr="003E13FF" w:rsidRDefault="00EE33D7" w:rsidP="002B58A2">
            <w:pPr>
              <w:spacing w:line="240" w:lineRule="auto"/>
              <w:jc w:val="both"/>
              <w:rPr>
                <w:sz w:val="20"/>
                <w:szCs w:val="20"/>
              </w:rPr>
            </w:pPr>
            <w:r w:rsidRPr="003E13FF">
              <w:rPr>
                <w:i/>
                <w:iCs/>
                <w:sz w:val="20"/>
                <w:szCs w:val="20"/>
              </w:rPr>
              <w:t>Unit</w:t>
            </w:r>
          </w:p>
        </w:tc>
      </w:tr>
      <w:tr w:rsidR="00EE33D7" w:rsidRPr="003E13FF" w14:paraId="316B5B46" w14:textId="77777777" w:rsidTr="002B58A2">
        <w:trPr>
          <w:trHeight w:val="20"/>
        </w:trPr>
        <w:tc>
          <w:tcPr>
            <w:tcW w:w="3955" w:type="dxa"/>
          </w:tcPr>
          <w:p w14:paraId="56695CA7" w14:textId="77777777" w:rsidR="00EE33D7" w:rsidRPr="003E13FF" w:rsidRDefault="00EE33D7" w:rsidP="002B58A2">
            <w:pPr>
              <w:spacing w:line="240" w:lineRule="auto"/>
              <w:jc w:val="both"/>
              <w:rPr>
                <w:sz w:val="20"/>
                <w:szCs w:val="20"/>
              </w:rPr>
            </w:pPr>
            <w:r w:rsidRPr="003E13FF">
              <w:rPr>
                <w:sz w:val="20"/>
                <w:szCs w:val="20"/>
              </w:rPr>
              <w:t xml:space="preserve">Fuel Basket Internal Diameter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FB,in</m:t>
                  </m:r>
                </m:sub>
              </m:sSub>
            </m:oMath>
          </w:p>
        </w:tc>
        <w:tc>
          <w:tcPr>
            <w:tcW w:w="3600" w:type="dxa"/>
          </w:tcPr>
          <w:p w14:paraId="23144C49" w14:textId="77777777" w:rsidR="00EE33D7" w:rsidRPr="003E13FF" w:rsidRDefault="00EE33D7" w:rsidP="002B58A2">
            <w:pPr>
              <w:spacing w:line="240" w:lineRule="auto"/>
              <w:jc w:val="both"/>
              <w:rPr>
                <w:sz w:val="20"/>
                <w:szCs w:val="20"/>
              </w:rPr>
            </w:pPr>
            <w:r w:rsidRPr="003E13FF">
              <w:rPr>
                <w:sz w:val="20"/>
                <w:szCs w:val="20"/>
              </w:rPr>
              <w:t>1.708</w:t>
            </w:r>
          </w:p>
        </w:tc>
        <w:tc>
          <w:tcPr>
            <w:tcW w:w="2070" w:type="dxa"/>
          </w:tcPr>
          <w:p w14:paraId="5CBF4949"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7D43E079" w14:textId="77777777" w:rsidTr="002B58A2">
        <w:trPr>
          <w:trHeight w:val="20"/>
        </w:trPr>
        <w:tc>
          <w:tcPr>
            <w:tcW w:w="3955" w:type="dxa"/>
          </w:tcPr>
          <w:p w14:paraId="7E995987" w14:textId="77777777" w:rsidR="00EE33D7" w:rsidRPr="003E13FF" w:rsidRDefault="00EE33D7" w:rsidP="002B58A2">
            <w:pPr>
              <w:spacing w:line="240" w:lineRule="auto"/>
              <w:jc w:val="both"/>
              <w:rPr>
                <w:sz w:val="20"/>
                <w:szCs w:val="20"/>
              </w:rPr>
            </w:pPr>
            <w:r w:rsidRPr="003E13FF">
              <w:rPr>
                <w:sz w:val="20"/>
                <w:szCs w:val="20"/>
              </w:rPr>
              <w:t xml:space="preserve">Fuel Basket External Diameter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FB,out</m:t>
                  </m:r>
                </m:sub>
              </m:sSub>
            </m:oMath>
          </w:p>
        </w:tc>
        <w:tc>
          <w:tcPr>
            <w:tcW w:w="3600" w:type="dxa"/>
          </w:tcPr>
          <w:p w14:paraId="5C0C8CB9" w14:textId="77777777" w:rsidR="00EE33D7" w:rsidRPr="003E13FF" w:rsidRDefault="00EE33D7" w:rsidP="002B58A2">
            <w:pPr>
              <w:spacing w:line="240" w:lineRule="auto"/>
              <w:jc w:val="both"/>
              <w:rPr>
                <w:sz w:val="20"/>
                <w:szCs w:val="20"/>
              </w:rPr>
            </w:pPr>
            <w:r w:rsidRPr="003E13FF">
              <w:rPr>
                <w:sz w:val="20"/>
                <w:szCs w:val="20"/>
              </w:rPr>
              <w:t>1.726</w:t>
            </w:r>
          </w:p>
        </w:tc>
        <w:tc>
          <w:tcPr>
            <w:tcW w:w="2070" w:type="dxa"/>
          </w:tcPr>
          <w:p w14:paraId="687F78A2"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58727107" w14:textId="77777777" w:rsidTr="002B58A2">
        <w:trPr>
          <w:trHeight w:val="20"/>
        </w:trPr>
        <w:tc>
          <w:tcPr>
            <w:tcW w:w="3955" w:type="dxa"/>
          </w:tcPr>
          <w:p w14:paraId="30078B4D" w14:textId="77777777" w:rsidR="00EE33D7" w:rsidRPr="003E13FF" w:rsidRDefault="00EE33D7" w:rsidP="002B58A2">
            <w:pPr>
              <w:spacing w:line="240" w:lineRule="auto"/>
              <w:jc w:val="both"/>
              <w:rPr>
                <w:sz w:val="20"/>
                <w:szCs w:val="20"/>
                <w:lang w:val="it-IT"/>
              </w:rPr>
            </w:pPr>
            <w:r w:rsidRPr="003E13FF">
              <w:rPr>
                <w:sz w:val="20"/>
                <w:szCs w:val="20"/>
                <w:lang w:val="it-IT"/>
              </w:rPr>
              <w:t xml:space="preserve">MPC </w:t>
            </w:r>
            <w:proofErr w:type="spellStart"/>
            <w:r w:rsidRPr="003E13FF">
              <w:rPr>
                <w:sz w:val="20"/>
                <w:szCs w:val="20"/>
                <w:lang w:val="it-IT"/>
              </w:rPr>
              <w:t>Internal</w:t>
            </w:r>
            <w:proofErr w:type="spellEnd"/>
            <w:r w:rsidRPr="003E13FF">
              <w:rPr>
                <w:sz w:val="20"/>
                <w:szCs w:val="20"/>
                <w:lang w:val="it-IT"/>
              </w:rPr>
              <w:t xml:space="preserve"> </w:t>
            </w:r>
            <w:r w:rsidRPr="003E13FF">
              <w:rPr>
                <w:sz w:val="20"/>
                <w:szCs w:val="20"/>
              </w:rPr>
              <w:t xml:space="preserve">Diameter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MPC,in</m:t>
                  </m:r>
                </m:sub>
              </m:sSub>
            </m:oMath>
          </w:p>
        </w:tc>
        <w:tc>
          <w:tcPr>
            <w:tcW w:w="3600" w:type="dxa"/>
          </w:tcPr>
          <w:p w14:paraId="2C77E0DD" w14:textId="77777777" w:rsidR="00EE33D7" w:rsidRPr="003E13FF" w:rsidRDefault="00EE33D7" w:rsidP="002B58A2">
            <w:pPr>
              <w:spacing w:line="240" w:lineRule="auto"/>
              <w:jc w:val="both"/>
              <w:rPr>
                <w:sz w:val="20"/>
                <w:szCs w:val="20"/>
                <w:highlight w:val="yellow"/>
                <w:lang w:val="it-IT"/>
              </w:rPr>
            </w:pPr>
            <w:r w:rsidRPr="003E13FF">
              <w:rPr>
                <w:sz w:val="20"/>
                <w:szCs w:val="20"/>
              </w:rPr>
              <w:t>1.731</w:t>
            </w:r>
          </w:p>
        </w:tc>
        <w:tc>
          <w:tcPr>
            <w:tcW w:w="2070" w:type="dxa"/>
          </w:tcPr>
          <w:p w14:paraId="0DFA5A9A"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01C5AA8C" w14:textId="77777777" w:rsidTr="002B58A2">
        <w:trPr>
          <w:trHeight w:val="20"/>
        </w:trPr>
        <w:tc>
          <w:tcPr>
            <w:tcW w:w="3955" w:type="dxa"/>
          </w:tcPr>
          <w:p w14:paraId="39670464" w14:textId="77777777" w:rsidR="00EE33D7" w:rsidRPr="003E13FF" w:rsidRDefault="00EE33D7" w:rsidP="002B58A2">
            <w:pPr>
              <w:spacing w:line="240" w:lineRule="auto"/>
              <w:jc w:val="both"/>
              <w:rPr>
                <w:sz w:val="20"/>
                <w:szCs w:val="20"/>
              </w:rPr>
            </w:pPr>
            <w:r w:rsidRPr="003E13FF">
              <w:rPr>
                <w:sz w:val="20"/>
                <w:szCs w:val="20"/>
              </w:rPr>
              <w:t xml:space="preserve">MPC External Diameter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MPC,out</m:t>
                  </m:r>
                </m:sub>
              </m:sSub>
            </m:oMath>
          </w:p>
        </w:tc>
        <w:tc>
          <w:tcPr>
            <w:tcW w:w="3600" w:type="dxa"/>
          </w:tcPr>
          <w:p w14:paraId="40204AEB" w14:textId="77777777" w:rsidR="00EE33D7" w:rsidRPr="003E13FF" w:rsidRDefault="00EE33D7" w:rsidP="002B58A2">
            <w:pPr>
              <w:spacing w:line="240" w:lineRule="auto"/>
              <w:jc w:val="both"/>
              <w:rPr>
                <w:sz w:val="20"/>
                <w:szCs w:val="20"/>
                <w:lang w:val="it-IT"/>
              </w:rPr>
            </w:pPr>
            <w:r w:rsidRPr="003E13FF">
              <w:rPr>
                <w:sz w:val="20"/>
                <w:szCs w:val="20"/>
              </w:rPr>
              <w:t>1.737</w:t>
            </w:r>
          </w:p>
        </w:tc>
        <w:tc>
          <w:tcPr>
            <w:tcW w:w="2070" w:type="dxa"/>
          </w:tcPr>
          <w:p w14:paraId="31E6E400"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49D63049" w14:textId="77777777" w:rsidTr="002B58A2">
        <w:trPr>
          <w:trHeight w:val="20"/>
        </w:trPr>
        <w:tc>
          <w:tcPr>
            <w:tcW w:w="3955" w:type="dxa"/>
          </w:tcPr>
          <w:p w14:paraId="172C6878" w14:textId="77777777" w:rsidR="00EE33D7" w:rsidRPr="003E13FF" w:rsidRDefault="00EE33D7" w:rsidP="002B58A2">
            <w:pPr>
              <w:spacing w:line="240" w:lineRule="auto"/>
              <w:jc w:val="both"/>
              <w:rPr>
                <w:sz w:val="20"/>
                <w:szCs w:val="20"/>
                <w:lang w:val="it-IT"/>
              </w:rPr>
            </w:pPr>
            <w:proofErr w:type="spellStart"/>
            <w:r w:rsidRPr="003E13FF">
              <w:rPr>
                <w:sz w:val="20"/>
                <w:szCs w:val="20"/>
                <w:lang w:val="it-IT"/>
              </w:rPr>
              <w:t>Overpack</w:t>
            </w:r>
            <w:proofErr w:type="spellEnd"/>
            <w:r w:rsidRPr="003E13FF">
              <w:rPr>
                <w:sz w:val="20"/>
                <w:szCs w:val="20"/>
                <w:lang w:val="it-IT"/>
              </w:rPr>
              <w:t xml:space="preserve"> </w:t>
            </w:r>
            <w:proofErr w:type="spellStart"/>
            <w:r w:rsidRPr="003E13FF">
              <w:rPr>
                <w:sz w:val="20"/>
                <w:szCs w:val="20"/>
                <w:lang w:val="it-IT"/>
              </w:rPr>
              <w:t>Internal</w:t>
            </w:r>
            <w:proofErr w:type="spellEnd"/>
            <w:r w:rsidRPr="003E13FF">
              <w:rPr>
                <w:sz w:val="20"/>
                <w:szCs w:val="20"/>
                <w:lang w:val="it-IT"/>
              </w:rPr>
              <w:t xml:space="preserve"> </w:t>
            </w:r>
            <w:proofErr w:type="spellStart"/>
            <w:r w:rsidRPr="003E13FF">
              <w:rPr>
                <w:sz w:val="20"/>
                <w:szCs w:val="20"/>
                <w:lang w:val="it-IT"/>
              </w:rPr>
              <w:t>Diameter</w:t>
            </w:r>
            <w:proofErr w:type="spellEnd"/>
            <w:r w:rsidRPr="003E13FF">
              <w:rPr>
                <w:sz w:val="20"/>
                <w:szCs w:val="20"/>
                <w:lang w:val="it-IT"/>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OP</m:t>
                  </m:r>
                  <m:r>
                    <w:rPr>
                      <w:rFonts w:ascii="Cambria Math" w:hAnsi="Cambria Math"/>
                      <w:sz w:val="20"/>
                      <w:szCs w:val="20"/>
                      <w:lang w:val="it-IT"/>
                    </w:rPr>
                    <m:t>,</m:t>
                  </m:r>
                  <m:r>
                    <w:rPr>
                      <w:rFonts w:ascii="Cambria Math" w:hAnsi="Cambria Math"/>
                      <w:sz w:val="20"/>
                      <w:szCs w:val="20"/>
                    </w:rPr>
                    <m:t>in</m:t>
                  </m:r>
                </m:sub>
              </m:sSub>
            </m:oMath>
          </w:p>
        </w:tc>
        <w:tc>
          <w:tcPr>
            <w:tcW w:w="3600" w:type="dxa"/>
          </w:tcPr>
          <w:p w14:paraId="1DB0927F" w14:textId="77777777" w:rsidR="00EE33D7" w:rsidRPr="003E13FF" w:rsidRDefault="00EE33D7" w:rsidP="002B58A2">
            <w:pPr>
              <w:spacing w:line="240" w:lineRule="auto"/>
              <w:jc w:val="both"/>
              <w:rPr>
                <w:sz w:val="20"/>
                <w:szCs w:val="20"/>
              </w:rPr>
            </w:pPr>
            <w:r w:rsidRPr="003E13FF">
              <w:rPr>
                <w:sz w:val="20"/>
                <w:szCs w:val="20"/>
              </w:rPr>
              <w:t>1.746</w:t>
            </w:r>
          </w:p>
        </w:tc>
        <w:tc>
          <w:tcPr>
            <w:tcW w:w="2070" w:type="dxa"/>
          </w:tcPr>
          <w:p w14:paraId="19F0E6E2"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71743DCF" w14:textId="77777777" w:rsidTr="002B58A2">
        <w:trPr>
          <w:trHeight w:val="20"/>
        </w:trPr>
        <w:tc>
          <w:tcPr>
            <w:tcW w:w="3955" w:type="dxa"/>
            <w:vAlign w:val="center"/>
          </w:tcPr>
          <w:p w14:paraId="39074599" w14:textId="77777777" w:rsidR="00EE33D7" w:rsidRPr="003E13FF" w:rsidRDefault="00EE33D7" w:rsidP="002B58A2">
            <w:pPr>
              <w:spacing w:line="240" w:lineRule="auto"/>
              <w:rPr>
                <w:sz w:val="20"/>
                <w:szCs w:val="20"/>
              </w:rPr>
            </w:pPr>
            <w:r w:rsidRPr="003E13FF">
              <w:rPr>
                <w:sz w:val="20"/>
                <w:szCs w:val="20"/>
              </w:rPr>
              <w:t xml:space="preserve">Overpack Inner Shell Thickness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in</m:t>
                  </m:r>
                </m:sub>
              </m:sSub>
            </m:oMath>
          </w:p>
        </w:tc>
        <w:tc>
          <w:tcPr>
            <w:tcW w:w="3600" w:type="dxa"/>
          </w:tcPr>
          <w:p w14:paraId="6705D9B1" w14:textId="77777777" w:rsidR="00EE33D7" w:rsidRPr="003E13FF" w:rsidRDefault="00EE33D7" w:rsidP="002B58A2">
            <w:pPr>
              <w:spacing w:line="240" w:lineRule="auto"/>
              <w:jc w:val="both"/>
              <w:rPr>
                <w:sz w:val="20"/>
                <w:szCs w:val="20"/>
              </w:rPr>
            </w:pPr>
            <w:r w:rsidRPr="003E13FF">
              <w:rPr>
                <w:sz w:val="20"/>
                <w:szCs w:val="20"/>
              </w:rPr>
              <w:t>0.063</w:t>
            </w:r>
          </w:p>
        </w:tc>
        <w:tc>
          <w:tcPr>
            <w:tcW w:w="2070" w:type="dxa"/>
          </w:tcPr>
          <w:p w14:paraId="667D56B5"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16001750" w14:textId="77777777" w:rsidTr="002B58A2">
        <w:trPr>
          <w:trHeight w:val="20"/>
        </w:trPr>
        <w:tc>
          <w:tcPr>
            <w:tcW w:w="3955" w:type="dxa"/>
            <w:vAlign w:val="center"/>
          </w:tcPr>
          <w:p w14:paraId="13742929" w14:textId="77777777" w:rsidR="00EE33D7" w:rsidRPr="003E13FF" w:rsidRDefault="00EE33D7" w:rsidP="002B58A2">
            <w:pPr>
              <w:spacing w:line="240" w:lineRule="auto"/>
              <w:jc w:val="both"/>
              <w:rPr>
                <w:sz w:val="20"/>
                <w:szCs w:val="20"/>
              </w:rPr>
            </w:pPr>
            <w:r w:rsidRPr="003E13FF">
              <w:rPr>
                <w:sz w:val="20"/>
                <w:szCs w:val="20"/>
              </w:rPr>
              <w:t xml:space="preserve">Overpack Mid Shell Thickness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mid</m:t>
                  </m:r>
                </m:sub>
              </m:sSub>
            </m:oMath>
          </w:p>
        </w:tc>
        <w:tc>
          <w:tcPr>
            <w:tcW w:w="3600" w:type="dxa"/>
          </w:tcPr>
          <w:p w14:paraId="6A5BC037" w14:textId="77777777" w:rsidR="00EE33D7" w:rsidRPr="003E13FF" w:rsidRDefault="00EE33D7" w:rsidP="002B58A2">
            <w:pPr>
              <w:spacing w:line="240" w:lineRule="auto"/>
              <w:jc w:val="both"/>
              <w:rPr>
                <w:sz w:val="20"/>
                <w:szCs w:val="20"/>
              </w:rPr>
            </w:pPr>
            <w:r w:rsidRPr="003E13FF">
              <w:rPr>
                <w:sz w:val="20"/>
                <w:szCs w:val="20"/>
              </w:rPr>
              <w:t>0.175</w:t>
            </w:r>
          </w:p>
        </w:tc>
        <w:tc>
          <w:tcPr>
            <w:tcW w:w="2070" w:type="dxa"/>
          </w:tcPr>
          <w:p w14:paraId="5CE9F245"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74153C64" w14:textId="77777777" w:rsidTr="002B58A2">
        <w:trPr>
          <w:trHeight w:val="20"/>
        </w:trPr>
        <w:tc>
          <w:tcPr>
            <w:tcW w:w="3955" w:type="dxa"/>
            <w:vAlign w:val="center"/>
          </w:tcPr>
          <w:p w14:paraId="1C8B0E2A" w14:textId="77777777" w:rsidR="00EE33D7" w:rsidRPr="003E13FF" w:rsidRDefault="00EE33D7" w:rsidP="002B58A2">
            <w:pPr>
              <w:spacing w:line="240" w:lineRule="auto"/>
              <w:jc w:val="both"/>
              <w:rPr>
                <w:sz w:val="20"/>
                <w:szCs w:val="20"/>
              </w:rPr>
            </w:pPr>
            <w:r w:rsidRPr="003E13FF">
              <w:rPr>
                <w:sz w:val="20"/>
                <w:szCs w:val="20"/>
              </w:rPr>
              <w:t xml:space="preserve">Overpack Neutron Absorber Thickness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na</m:t>
                  </m:r>
                </m:sub>
              </m:sSub>
            </m:oMath>
          </w:p>
        </w:tc>
        <w:tc>
          <w:tcPr>
            <w:tcW w:w="3600" w:type="dxa"/>
          </w:tcPr>
          <w:p w14:paraId="1DAB1A48" w14:textId="77777777" w:rsidR="00EE33D7" w:rsidRPr="003E13FF" w:rsidRDefault="00EE33D7" w:rsidP="002B58A2">
            <w:pPr>
              <w:spacing w:line="240" w:lineRule="auto"/>
              <w:jc w:val="both"/>
              <w:rPr>
                <w:sz w:val="20"/>
                <w:szCs w:val="20"/>
              </w:rPr>
            </w:pPr>
            <w:r w:rsidRPr="003E13FF">
              <w:rPr>
                <w:sz w:val="20"/>
                <w:szCs w:val="20"/>
              </w:rPr>
              <w:t>0.120</w:t>
            </w:r>
          </w:p>
        </w:tc>
        <w:tc>
          <w:tcPr>
            <w:tcW w:w="2070" w:type="dxa"/>
          </w:tcPr>
          <w:p w14:paraId="481BF866" w14:textId="77777777" w:rsidR="00EE33D7" w:rsidRPr="003E13FF" w:rsidRDefault="00EE33D7" w:rsidP="002B58A2">
            <w:pPr>
              <w:spacing w:line="240" w:lineRule="auto"/>
              <w:jc w:val="both"/>
              <w:rPr>
                <w:sz w:val="20"/>
                <w:szCs w:val="20"/>
                <w:vertAlign w:val="superscript"/>
              </w:rPr>
            </w:pPr>
            <w:r w:rsidRPr="003E13FF">
              <w:rPr>
                <w:sz w:val="20"/>
                <w:szCs w:val="20"/>
              </w:rPr>
              <w:t>m</w:t>
            </w:r>
          </w:p>
        </w:tc>
      </w:tr>
      <w:tr w:rsidR="00EE33D7" w:rsidRPr="003E13FF" w14:paraId="189C0DB1" w14:textId="77777777" w:rsidTr="002B58A2">
        <w:trPr>
          <w:trHeight w:val="20"/>
        </w:trPr>
        <w:tc>
          <w:tcPr>
            <w:tcW w:w="3955" w:type="dxa"/>
            <w:vAlign w:val="center"/>
          </w:tcPr>
          <w:p w14:paraId="6DBAB246" w14:textId="77777777" w:rsidR="00EE33D7" w:rsidRPr="003E13FF" w:rsidRDefault="00EE33D7" w:rsidP="002B58A2">
            <w:pPr>
              <w:spacing w:line="240" w:lineRule="auto"/>
              <w:jc w:val="both"/>
              <w:rPr>
                <w:sz w:val="20"/>
                <w:szCs w:val="20"/>
              </w:rPr>
            </w:pPr>
            <w:r w:rsidRPr="003E13FF">
              <w:rPr>
                <w:sz w:val="20"/>
                <w:szCs w:val="20"/>
              </w:rPr>
              <w:t xml:space="preserve">Overpack Lead Shell Thickness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Pb</m:t>
                  </m:r>
                </m:sub>
              </m:sSub>
            </m:oMath>
          </w:p>
        </w:tc>
        <w:tc>
          <w:tcPr>
            <w:tcW w:w="3600" w:type="dxa"/>
          </w:tcPr>
          <w:p w14:paraId="2E5621A4" w14:textId="77777777" w:rsidR="00EE33D7" w:rsidRPr="003E13FF" w:rsidRDefault="00EE33D7" w:rsidP="002B58A2">
            <w:pPr>
              <w:spacing w:line="240" w:lineRule="auto"/>
              <w:jc w:val="both"/>
              <w:rPr>
                <w:sz w:val="20"/>
                <w:szCs w:val="20"/>
              </w:rPr>
            </w:pPr>
            <w:r w:rsidRPr="003E13FF">
              <w:rPr>
                <w:sz w:val="20"/>
                <w:szCs w:val="20"/>
              </w:rPr>
              <w:t>0.040</w:t>
            </w:r>
          </w:p>
        </w:tc>
        <w:tc>
          <w:tcPr>
            <w:tcW w:w="2070" w:type="dxa"/>
          </w:tcPr>
          <w:p w14:paraId="39554DF2" w14:textId="77777777" w:rsidR="00EE33D7" w:rsidRPr="003E13FF" w:rsidRDefault="00EE33D7" w:rsidP="002B58A2">
            <w:pPr>
              <w:spacing w:line="240" w:lineRule="auto"/>
              <w:jc w:val="both"/>
              <w:rPr>
                <w:sz w:val="20"/>
                <w:szCs w:val="20"/>
                <w:vertAlign w:val="superscript"/>
              </w:rPr>
            </w:pPr>
            <w:r w:rsidRPr="003E13FF">
              <w:rPr>
                <w:sz w:val="20"/>
                <w:szCs w:val="20"/>
              </w:rPr>
              <w:t>m</w:t>
            </w:r>
          </w:p>
        </w:tc>
      </w:tr>
      <w:tr w:rsidR="00EE33D7" w:rsidRPr="003E13FF" w14:paraId="3384BD9E" w14:textId="77777777" w:rsidTr="002B58A2">
        <w:trPr>
          <w:trHeight w:val="20"/>
        </w:trPr>
        <w:tc>
          <w:tcPr>
            <w:tcW w:w="3955" w:type="dxa"/>
          </w:tcPr>
          <w:p w14:paraId="35C5EB6F" w14:textId="77777777" w:rsidR="00EE33D7" w:rsidRPr="003E13FF" w:rsidRDefault="00EE33D7" w:rsidP="002B58A2">
            <w:pPr>
              <w:spacing w:line="240" w:lineRule="auto"/>
              <w:jc w:val="both"/>
              <w:rPr>
                <w:sz w:val="20"/>
                <w:szCs w:val="20"/>
              </w:rPr>
            </w:pPr>
            <w:r w:rsidRPr="003E13FF">
              <w:rPr>
                <w:sz w:val="20"/>
                <w:szCs w:val="20"/>
              </w:rPr>
              <w:t xml:space="preserve">Fuel Basket Height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in</m:t>
                  </m:r>
                </m:sub>
              </m:sSub>
            </m:oMath>
          </w:p>
        </w:tc>
        <w:tc>
          <w:tcPr>
            <w:tcW w:w="3600" w:type="dxa"/>
          </w:tcPr>
          <w:p w14:paraId="04E5DAA5" w14:textId="77777777" w:rsidR="00EE33D7" w:rsidRPr="003E13FF" w:rsidRDefault="00EE33D7" w:rsidP="002B58A2">
            <w:pPr>
              <w:spacing w:line="240" w:lineRule="auto"/>
              <w:jc w:val="both"/>
              <w:rPr>
                <w:sz w:val="20"/>
                <w:szCs w:val="20"/>
              </w:rPr>
            </w:pPr>
            <w:r w:rsidRPr="003E13FF">
              <w:rPr>
                <w:sz w:val="20"/>
                <w:szCs w:val="20"/>
              </w:rPr>
              <w:t>4.855</w:t>
            </w:r>
          </w:p>
        </w:tc>
        <w:tc>
          <w:tcPr>
            <w:tcW w:w="2070" w:type="dxa"/>
          </w:tcPr>
          <w:p w14:paraId="01018CD7"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7ED0CC84" w14:textId="77777777" w:rsidTr="002B58A2">
        <w:trPr>
          <w:trHeight w:val="20"/>
        </w:trPr>
        <w:tc>
          <w:tcPr>
            <w:tcW w:w="3955" w:type="dxa"/>
          </w:tcPr>
          <w:p w14:paraId="066B2202" w14:textId="77777777" w:rsidR="00EE33D7" w:rsidRPr="003E13FF" w:rsidRDefault="00EE33D7" w:rsidP="002B58A2">
            <w:pPr>
              <w:spacing w:line="240" w:lineRule="auto"/>
              <w:jc w:val="both"/>
              <w:rPr>
                <w:sz w:val="20"/>
                <w:szCs w:val="20"/>
              </w:rPr>
            </w:pPr>
            <w:r w:rsidRPr="003E13FF">
              <w:rPr>
                <w:sz w:val="20"/>
                <w:szCs w:val="20"/>
              </w:rPr>
              <w:t xml:space="preserve">Overpack Height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out</m:t>
                  </m:r>
                </m:sub>
              </m:sSub>
            </m:oMath>
          </w:p>
        </w:tc>
        <w:tc>
          <w:tcPr>
            <w:tcW w:w="3600" w:type="dxa"/>
          </w:tcPr>
          <w:p w14:paraId="570449E8" w14:textId="77777777" w:rsidR="00EE33D7" w:rsidRPr="003E13FF" w:rsidRDefault="00EE33D7" w:rsidP="002B58A2">
            <w:pPr>
              <w:spacing w:line="240" w:lineRule="auto"/>
              <w:jc w:val="both"/>
              <w:rPr>
                <w:sz w:val="20"/>
                <w:szCs w:val="20"/>
              </w:rPr>
            </w:pPr>
            <w:r w:rsidRPr="003E13FF">
              <w:rPr>
                <w:sz w:val="20"/>
                <w:szCs w:val="20"/>
              </w:rPr>
              <w:t>5.163</w:t>
            </w:r>
          </w:p>
        </w:tc>
        <w:tc>
          <w:tcPr>
            <w:tcW w:w="2070" w:type="dxa"/>
          </w:tcPr>
          <w:p w14:paraId="5A941AB1"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6103AB4E" w14:textId="77777777" w:rsidTr="002B58A2">
        <w:trPr>
          <w:trHeight w:val="20"/>
        </w:trPr>
        <w:tc>
          <w:tcPr>
            <w:tcW w:w="3955" w:type="dxa"/>
          </w:tcPr>
          <w:p w14:paraId="2B42EA73" w14:textId="77777777" w:rsidR="00EE33D7" w:rsidRPr="003E13FF" w:rsidRDefault="00EE33D7" w:rsidP="002B58A2">
            <w:pPr>
              <w:spacing w:line="240" w:lineRule="auto"/>
              <w:jc w:val="both"/>
              <w:rPr>
                <w:sz w:val="20"/>
                <w:szCs w:val="20"/>
              </w:rPr>
            </w:pPr>
            <w:r w:rsidRPr="003E13FF">
              <w:rPr>
                <w:sz w:val="20"/>
                <w:szCs w:val="20"/>
              </w:rPr>
              <w:t>Pebble Diameter</w:t>
            </w:r>
          </w:p>
        </w:tc>
        <w:tc>
          <w:tcPr>
            <w:tcW w:w="3600" w:type="dxa"/>
          </w:tcPr>
          <w:p w14:paraId="4129196A" w14:textId="77777777" w:rsidR="00EE33D7" w:rsidRPr="003E13FF" w:rsidRDefault="00EE33D7" w:rsidP="002B58A2">
            <w:pPr>
              <w:spacing w:line="240" w:lineRule="auto"/>
              <w:jc w:val="both"/>
              <w:rPr>
                <w:sz w:val="20"/>
                <w:szCs w:val="20"/>
              </w:rPr>
            </w:pPr>
            <w:r w:rsidRPr="003E13FF">
              <w:rPr>
                <w:sz w:val="20"/>
                <w:szCs w:val="20"/>
              </w:rPr>
              <w:t>0.030</w:t>
            </w:r>
          </w:p>
        </w:tc>
        <w:tc>
          <w:tcPr>
            <w:tcW w:w="2070" w:type="dxa"/>
          </w:tcPr>
          <w:p w14:paraId="60C0D6F7"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230EBA62" w14:textId="77777777" w:rsidTr="002B58A2">
        <w:trPr>
          <w:trHeight w:val="20"/>
        </w:trPr>
        <w:tc>
          <w:tcPr>
            <w:tcW w:w="3955" w:type="dxa"/>
          </w:tcPr>
          <w:p w14:paraId="64CFA68D" w14:textId="77777777" w:rsidR="00EE33D7" w:rsidRPr="003E13FF" w:rsidRDefault="00EE33D7" w:rsidP="002B58A2">
            <w:pPr>
              <w:spacing w:line="240" w:lineRule="auto"/>
              <w:jc w:val="both"/>
              <w:rPr>
                <w:sz w:val="20"/>
                <w:szCs w:val="20"/>
              </w:rPr>
            </w:pPr>
            <w:r w:rsidRPr="003E13FF">
              <w:rPr>
                <w:sz w:val="20"/>
                <w:szCs w:val="20"/>
              </w:rPr>
              <w:t>Absorbing Sphere Diameter</w:t>
            </w:r>
          </w:p>
        </w:tc>
        <w:tc>
          <w:tcPr>
            <w:tcW w:w="3600" w:type="dxa"/>
          </w:tcPr>
          <w:p w14:paraId="0D35598D" w14:textId="77777777" w:rsidR="00EE33D7" w:rsidRPr="003E13FF" w:rsidRDefault="00EE33D7" w:rsidP="002B58A2">
            <w:pPr>
              <w:spacing w:line="240" w:lineRule="auto"/>
              <w:jc w:val="both"/>
              <w:rPr>
                <w:sz w:val="20"/>
                <w:szCs w:val="20"/>
              </w:rPr>
            </w:pPr>
            <w:r w:rsidRPr="003E13FF">
              <w:rPr>
                <w:sz w:val="20"/>
                <w:szCs w:val="20"/>
              </w:rPr>
              <w:t>0.010</w:t>
            </w:r>
          </w:p>
        </w:tc>
        <w:tc>
          <w:tcPr>
            <w:tcW w:w="2070" w:type="dxa"/>
          </w:tcPr>
          <w:p w14:paraId="52B92008" w14:textId="77777777" w:rsidR="00EE33D7" w:rsidRPr="003E13FF" w:rsidRDefault="00EE33D7" w:rsidP="002B58A2">
            <w:pPr>
              <w:spacing w:line="240" w:lineRule="auto"/>
              <w:jc w:val="both"/>
              <w:rPr>
                <w:sz w:val="20"/>
                <w:szCs w:val="20"/>
              </w:rPr>
            </w:pPr>
            <w:r w:rsidRPr="003E13FF">
              <w:rPr>
                <w:sz w:val="20"/>
                <w:szCs w:val="20"/>
              </w:rPr>
              <w:t>m</w:t>
            </w:r>
          </w:p>
        </w:tc>
      </w:tr>
      <w:tr w:rsidR="00EE33D7" w:rsidRPr="003E13FF" w14:paraId="3C894CCA" w14:textId="77777777" w:rsidTr="002B58A2">
        <w:trPr>
          <w:trHeight w:val="20"/>
        </w:trPr>
        <w:tc>
          <w:tcPr>
            <w:tcW w:w="3955" w:type="dxa"/>
          </w:tcPr>
          <w:p w14:paraId="07111586" w14:textId="77777777" w:rsidR="00EE33D7" w:rsidRPr="003E13FF" w:rsidRDefault="00EE33D7" w:rsidP="002B58A2">
            <w:pPr>
              <w:spacing w:line="240" w:lineRule="auto"/>
              <w:jc w:val="both"/>
              <w:rPr>
                <w:sz w:val="20"/>
                <w:szCs w:val="20"/>
              </w:rPr>
            </w:pPr>
            <w:r w:rsidRPr="003E13FF">
              <w:rPr>
                <w:sz w:val="20"/>
                <w:szCs w:val="20"/>
              </w:rPr>
              <w:t>Pebble Fill Fraction in Basket</w:t>
            </w:r>
          </w:p>
        </w:tc>
        <w:tc>
          <w:tcPr>
            <w:tcW w:w="3600" w:type="dxa"/>
          </w:tcPr>
          <w:p w14:paraId="357379F1" w14:textId="77777777" w:rsidR="00EE33D7" w:rsidRPr="003E13FF" w:rsidRDefault="00EE33D7" w:rsidP="002B58A2">
            <w:pPr>
              <w:spacing w:line="240" w:lineRule="auto"/>
              <w:jc w:val="both"/>
              <w:rPr>
                <w:sz w:val="20"/>
                <w:szCs w:val="20"/>
              </w:rPr>
            </w:pPr>
            <w:r w:rsidRPr="003E13FF">
              <w:rPr>
                <w:sz w:val="20"/>
                <w:szCs w:val="20"/>
              </w:rPr>
              <w:t>60%</w:t>
            </w:r>
          </w:p>
        </w:tc>
        <w:tc>
          <w:tcPr>
            <w:tcW w:w="2070" w:type="dxa"/>
          </w:tcPr>
          <w:p w14:paraId="2A19D83C" w14:textId="77777777" w:rsidR="00EE33D7" w:rsidRPr="003E13FF" w:rsidRDefault="00EE33D7" w:rsidP="002B58A2">
            <w:pPr>
              <w:spacing w:line="240" w:lineRule="auto"/>
              <w:jc w:val="both"/>
              <w:rPr>
                <w:sz w:val="20"/>
                <w:szCs w:val="20"/>
              </w:rPr>
            </w:pPr>
            <w:r w:rsidRPr="003E13FF">
              <w:rPr>
                <w:sz w:val="20"/>
                <w:szCs w:val="20"/>
              </w:rPr>
              <w:t>-</w:t>
            </w:r>
          </w:p>
        </w:tc>
      </w:tr>
      <w:tr w:rsidR="00EE33D7" w:rsidRPr="003E13FF" w14:paraId="5D7BCFB2" w14:textId="77777777" w:rsidTr="002B58A2">
        <w:trPr>
          <w:trHeight w:val="20"/>
        </w:trPr>
        <w:tc>
          <w:tcPr>
            <w:tcW w:w="3955" w:type="dxa"/>
          </w:tcPr>
          <w:p w14:paraId="7A53B6CC" w14:textId="77777777" w:rsidR="00EE33D7" w:rsidRPr="003E13FF" w:rsidRDefault="00EE33D7" w:rsidP="002B58A2">
            <w:pPr>
              <w:spacing w:line="240" w:lineRule="auto"/>
              <w:jc w:val="both"/>
              <w:rPr>
                <w:sz w:val="20"/>
                <w:szCs w:val="20"/>
              </w:rPr>
            </w:pPr>
            <w:r w:rsidRPr="003E13FF">
              <w:rPr>
                <w:sz w:val="20"/>
                <w:szCs w:val="20"/>
              </w:rPr>
              <w:lastRenderedPageBreak/>
              <w:t>Absorbing Spheres Fill Fraction in Basket</w:t>
            </w:r>
          </w:p>
        </w:tc>
        <w:tc>
          <w:tcPr>
            <w:tcW w:w="3600" w:type="dxa"/>
          </w:tcPr>
          <w:p w14:paraId="7898B302" w14:textId="77777777" w:rsidR="00EE33D7" w:rsidRPr="003E13FF" w:rsidRDefault="00EE33D7" w:rsidP="002B58A2">
            <w:pPr>
              <w:spacing w:line="240" w:lineRule="auto"/>
              <w:jc w:val="both"/>
              <w:rPr>
                <w:sz w:val="20"/>
                <w:szCs w:val="20"/>
              </w:rPr>
            </w:pPr>
            <w:r w:rsidRPr="003E13FF">
              <w:rPr>
                <w:sz w:val="20"/>
                <w:szCs w:val="20"/>
              </w:rPr>
              <w:t>24%</w:t>
            </w:r>
          </w:p>
        </w:tc>
        <w:tc>
          <w:tcPr>
            <w:tcW w:w="2070" w:type="dxa"/>
          </w:tcPr>
          <w:p w14:paraId="15183A28" w14:textId="77777777" w:rsidR="00EE33D7" w:rsidRPr="003E13FF" w:rsidRDefault="00EE33D7" w:rsidP="002B58A2">
            <w:pPr>
              <w:spacing w:line="240" w:lineRule="auto"/>
              <w:jc w:val="both"/>
              <w:rPr>
                <w:sz w:val="20"/>
                <w:szCs w:val="20"/>
              </w:rPr>
            </w:pPr>
            <w:r w:rsidRPr="003E13FF">
              <w:rPr>
                <w:sz w:val="20"/>
                <w:szCs w:val="20"/>
              </w:rPr>
              <w:t>-</w:t>
            </w:r>
          </w:p>
        </w:tc>
      </w:tr>
      <w:tr w:rsidR="00EE33D7" w:rsidRPr="003E13FF" w14:paraId="79823FC3" w14:textId="77777777" w:rsidTr="002B58A2">
        <w:trPr>
          <w:trHeight w:val="20"/>
        </w:trPr>
        <w:tc>
          <w:tcPr>
            <w:tcW w:w="3955" w:type="dxa"/>
          </w:tcPr>
          <w:p w14:paraId="71DBBE39" w14:textId="77777777" w:rsidR="00EE33D7" w:rsidRPr="003E13FF" w:rsidRDefault="00EE33D7" w:rsidP="002B58A2">
            <w:pPr>
              <w:spacing w:line="240" w:lineRule="auto"/>
              <w:jc w:val="both"/>
              <w:rPr>
                <w:i/>
                <w:iCs/>
                <w:sz w:val="20"/>
                <w:szCs w:val="20"/>
              </w:rPr>
            </w:pPr>
            <w:r w:rsidRPr="003E13FF">
              <w:rPr>
                <w:sz w:val="20"/>
                <w:szCs w:val="20"/>
              </w:rPr>
              <w:t xml:space="preserve">Thermal Conductivity Pebble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oMath>
          </w:p>
        </w:tc>
        <w:tc>
          <w:tcPr>
            <w:tcW w:w="3600" w:type="dxa"/>
          </w:tcPr>
          <w:p w14:paraId="161D7364" w14:textId="77777777" w:rsidR="00EE33D7" w:rsidRPr="003E13FF" w:rsidRDefault="00EE33D7" w:rsidP="002B58A2">
            <w:pPr>
              <w:spacing w:line="240" w:lineRule="auto"/>
              <w:jc w:val="both"/>
              <w:rPr>
                <w:sz w:val="20"/>
                <w:szCs w:val="20"/>
              </w:rPr>
            </w:pPr>
            <w:r w:rsidRPr="003E13FF">
              <w:rPr>
                <w:sz w:val="20"/>
                <w:szCs w:val="20"/>
              </w:rPr>
              <w:t>12</w:t>
            </w:r>
          </w:p>
        </w:tc>
        <w:tc>
          <w:tcPr>
            <w:tcW w:w="2070" w:type="dxa"/>
          </w:tcPr>
          <w:p w14:paraId="02E07F5A"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6868017B" w14:textId="77777777" w:rsidTr="002B58A2">
        <w:trPr>
          <w:trHeight w:val="20"/>
        </w:trPr>
        <w:tc>
          <w:tcPr>
            <w:tcW w:w="3955" w:type="dxa"/>
          </w:tcPr>
          <w:p w14:paraId="14D51228" w14:textId="77777777" w:rsidR="00EE33D7" w:rsidRPr="003E13FF" w:rsidRDefault="00EE33D7" w:rsidP="002B58A2">
            <w:pPr>
              <w:spacing w:line="240" w:lineRule="auto"/>
              <w:jc w:val="both"/>
              <w:rPr>
                <w:sz w:val="20"/>
                <w:szCs w:val="20"/>
              </w:rPr>
            </w:pPr>
            <w:r w:rsidRPr="003E13FF">
              <w:rPr>
                <w:sz w:val="20"/>
                <w:szCs w:val="20"/>
              </w:rPr>
              <w:t xml:space="preserve">Thermal Conductivity Abs. Spheres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AS</m:t>
                  </m:r>
                </m:sub>
              </m:sSub>
            </m:oMath>
          </w:p>
        </w:tc>
        <w:tc>
          <w:tcPr>
            <w:tcW w:w="3600" w:type="dxa"/>
          </w:tcPr>
          <w:p w14:paraId="4D264BBE" w14:textId="77777777" w:rsidR="00EE33D7" w:rsidRPr="003E13FF" w:rsidRDefault="00EE33D7" w:rsidP="002B58A2">
            <w:pPr>
              <w:spacing w:line="240" w:lineRule="auto"/>
              <w:jc w:val="both"/>
              <w:rPr>
                <w:sz w:val="20"/>
                <w:szCs w:val="20"/>
              </w:rPr>
            </w:pPr>
            <w:r w:rsidRPr="003E13FF">
              <w:rPr>
                <w:sz w:val="20"/>
                <w:szCs w:val="20"/>
              </w:rPr>
              <w:t>25</w:t>
            </w:r>
          </w:p>
        </w:tc>
        <w:tc>
          <w:tcPr>
            <w:tcW w:w="2070" w:type="dxa"/>
          </w:tcPr>
          <w:p w14:paraId="51348F3D"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016304C0" w14:textId="77777777" w:rsidTr="002B58A2">
        <w:trPr>
          <w:trHeight w:val="20"/>
        </w:trPr>
        <w:tc>
          <w:tcPr>
            <w:tcW w:w="3955" w:type="dxa"/>
          </w:tcPr>
          <w:p w14:paraId="790DC238" w14:textId="77777777" w:rsidR="00EE33D7" w:rsidRPr="003E13FF" w:rsidRDefault="00EE33D7" w:rsidP="002B58A2">
            <w:pPr>
              <w:spacing w:line="240" w:lineRule="auto"/>
              <w:jc w:val="both"/>
              <w:rPr>
                <w:sz w:val="20"/>
                <w:szCs w:val="20"/>
              </w:rPr>
            </w:pPr>
            <w:r w:rsidRPr="003E13FF">
              <w:rPr>
                <w:sz w:val="20"/>
                <w:szCs w:val="20"/>
              </w:rPr>
              <w:t xml:space="preserve">Thermal Conductivity He Filler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He</m:t>
                  </m:r>
                </m:sub>
              </m:sSub>
            </m:oMath>
          </w:p>
        </w:tc>
        <w:tc>
          <w:tcPr>
            <w:tcW w:w="3600" w:type="dxa"/>
          </w:tcPr>
          <w:p w14:paraId="1FE0C5D2" w14:textId="77777777" w:rsidR="00EE33D7" w:rsidRPr="003E13FF" w:rsidRDefault="00EE33D7" w:rsidP="002B58A2">
            <w:pPr>
              <w:spacing w:line="240" w:lineRule="auto"/>
              <w:jc w:val="both"/>
              <w:rPr>
                <w:sz w:val="20"/>
                <w:szCs w:val="20"/>
              </w:rPr>
            </w:pPr>
            <w:r w:rsidRPr="003E13FF">
              <w:rPr>
                <w:sz w:val="20"/>
                <w:szCs w:val="20"/>
              </w:rPr>
              <w:t>0.18</w:t>
            </w:r>
          </w:p>
        </w:tc>
        <w:tc>
          <w:tcPr>
            <w:tcW w:w="2070" w:type="dxa"/>
          </w:tcPr>
          <w:p w14:paraId="0D11DD4A"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4DB4E011" w14:textId="77777777" w:rsidTr="002B58A2">
        <w:trPr>
          <w:trHeight w:val="20"/>
        </w:trPr>
        <w:tc>
          <w:tcPr>
            <w:tcW w:w="3955" w:type="dxa"/>
          </w:tcPr>
          <w:p w14:paraId="4EB9FB50" w14:textId="77777777" w:rsidR="00EE33D7" w:rsidRPr="003E13FF" w:rsidRDefault="00EE33D7" w:rsidP="002B58A2">
            <w:pPr>
              <w:spacing w:line="240" w:lineRule="auto"/>
              <w:jc w:val="both"/>
              <w:rPr>
                <w:sz w:val="20"/>
                <w:szCs w:val="20"/>
              </w:rPr>
            </w:pPr>
            <w:r w:rsidRPr="003E13FF">
              <w:rPr>
                <w:sz w:val="20"/>
                <w:szCs w:val="20"/>
              </w:rPr>
              <w:t xml:space="preserve">Thermal Conductivity Al Shim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Al</m:t>
                  </m:r>
                </m:sub>
              </m:sSub>
            </m:oMath>
          </w:p>
        </w:tc>
        <w:tc>
          <w:tcPr>
            <w:tcW w:w="3600" w:type="dxa"/>
          </w:tcPr>
          <w:p w14:paraId="4FEB036E" w14:textId="77777777" w:rsidR="00EE33D7" w:rsidRPr="003E13FF" w:rsidRDefault="00EE33D7" w:rsidP="002B58A2">
            <w:pPr>
              <w:spacing w:line="240" w:lineRule="auto"/>
              <w:jc w:val="both"/>
              <w:rPr>
                <w:sz w:val="20"/>
                <w:szCs w:val="20"/>
              </w:rPr>
            </w:pPr>
            <w:r w:rsidRPr="003E13FF">
              <w:rPr>
                <w:sz w:val="20"/>
                <w:szCs w:val="20"/>
              </w:rPr>
              <w:t>180</w:t>
            </w:r>
          </w:p>
        </w:tc>
        <w:tc>
          <w:tcPr>
            <w:tcW w:w="2070" w:type="dxa"/>
          </w:tcPr>
          <w:p w14:paraId="05EF7053"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7B068364" w14:textId="77777777" w:rsidTr="002B58A2">
        <w:trPr>
          <w:trHeight w:val="20"/>
        </w:trPr>
        <w:tc>
          <w:tcPr>
            <w:tcW w:w="3955" w:type="dxa"/>
          </w:tcPr>
          <w:p w14:paraId="2F04C3B2" w14:textId="77777777" w:rsidR="00EE33D7" w:rsidRPr="003E13FF" w:rsidRDefault="00EE33D7" w:rsidP="002B58A2">
            <w:pPr>
              <w:spacing w:line="240" w:lineRule="auto"/>
              <w:jc w:val="both"/>
              <w:rPr>
                <w:sz w:val="20"/>
                <w:szCs w:val="20"/>
              </w:rPr>
            </w:pPr>
            <w:r w:rsidRPr="003E13FF">
              <w:rPr>
                <w:sz w:val="20"/>
                <w:szCs w:val="20"/>
              </w:rPr>
              <w:t xml:space="preserve">Thermal Conductivity Lead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Pb</m:t>
                  </m:r>
                </m:sub>
              </m:sSub>
            </m:oMath>
          </w:p>
        </w:tc>
        <w:tc>
          <w:tcPr>
            <w:tcW w:w="3600" w:type="dxa"/>
          </w:tcPr>
          <w:p w14:paraId="64D43D22" w14:textId="77777777" w:rsidR="00EE33D7" w:rsidRPr="003E13FF" w:rsidRDefault="00EE33D7" w:rsidP="002B58A2">
            <w:pPr>
              <w:spacing w:line="240" w:lineRule="auto"/>
              <w:jc w:val="both"/>
              <w:rPr>
                <w:sz w:val="20"/>
                <w:szCs w:val="20"/>
              </w:rPr>
            </w:pPr>
            <w:r w:rsidRPr="003E13FF">
              <w:rPr>
                <w:sz w:val="20"/>
                <w:szCs w:val="20"/>
              </w:rPr>
              <w:t>34.7</w:t>
            </w:r>
          </w:p>
        </w:tc>
        <w:tc>
          <w:tcPr>
            <w:tcW w:w="2070" w:type="dxa"/>
          </w:tcPr>
          <w:p w14:paraId="3D3A2768"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3D89B71E" w14:textId="77777777" w:rsidTr="002B58A2">
        <w:trPr>
          <w:trHeight w:val="20"/>
        </w:trPr>
        <w:tc>
          <w:tcPr>
            <w:tcW w:w="3955" w:type="dxa"/>
          </w:tcPr>
          <w:p w14:paraId="43EB7F86" w14:textId="77777777" w:rsidR="00EE33D7" w:rsidRPr="003E13FF" w:rsidRDefault="00EE33D7" w:rsidP="002B58A2">
            <w:pPr>
              <w:spacing w:line="240" w:lineRule="auto"/>
              <w:jc w:val="both"/>
              <w:rPr>
                <w:sz w:val="20"/>
                <w:szCs w:val="20"/>
              </w:rPr>
            </w:pPr>
            <w:r w:rsidRPr="003E13FF">
              <w:rPr>
                <w:sz w:val="20"/>
                <w:szCs w:val="20"/>
              </w:rPr>
              <w:t xml:space="preserve">Thermal Conductivity Steel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Steel</m:t>
                  </m:r>
                </m:sub>
              </m:sSub>
            </m:oMath>
          </w:p>
        </w:tc>
        <w:tc>
          <w:tcPr>
            <w:tcW w:w="3600" w:type="dxa"/>
          </w:tcPr>
          <w:p w14:paraId="3C881C9C" w14:textId="77777777" w:rsidR="00EE33D7" w:rsidRPr="003E13FF" w:rsidRDefault="00EE33D7" w:rsidP="002B58A2">
            <w:pPr>
              <w:spacing w:line="240" w:lineRule="auto"/>
              <w:jc w:val="both"/>
              <w:rPr>
                <w:sz w:val="20"/>
                <w:szCs w:val="20"/>
              </w:rPr>
            </w:pPr>
            <w:r w:rsidRPr="003E13FF">
              <w:rPr>
                <w:sz w:val="20"/>
                <w:szCs w:val="20"/>
              </w:rPr>
              <w:t>50.2</w:t>
            </w:r>
          </w:p>
        </w:tc>
        <w:tc>
          <w:tcPr>
            <w:tcW w:w="2070" w:type="dxa"/>
          </w:tcPr>
          <w:p w14:paraId="4CBE59D9"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6170E517" w14:textId="77777777" w:rsidTr="002B58A2">
        <w:trPr>
          <w:trHeight w:val="20"/>
        </w:trPr>
        <w:tc>
          <w:tcPr>
            <w:tcW w:w="3955" w:type="dxa"/>
          </w:tcPr>
          <w:p w14:paraId="6742D935" w14:textId="77777777" w:rsidR="00EE33D7" w:rsidRPr="003E13FF" w:rsidRDefault="00EE33D7" w:rsidP="002B58A2">
            <w:pPr>
              <w:spacing w:line="240" w:lineRule="auto"/>
              <w:jc w:val="both"/>
              <w:rPr>
                <w:sz w:val="20"/>
                <w:szCs w:val="20"/>
              </w:rPr>
            </w:pPr>
            <w:r w:rsidRPr="003E13FF">
              <w:rPr>
                <w:sz w:val="20"/>
                <w:szCs w:val="20"/>
              </w:rPr>
              <w:t xml:space="preserve">Equivalent Thermal Conduct. Neut. Abs.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Na</m:t>
                  </m:r>
                </m:sub>
              </m:sSub>
            </m:oMath>
          </w:p>
        </w:tc>
        <w:tc>
          <w:tcPr>
            <w:tcW w:w="3600" w:type="dxa"/>
          </w:tcPr>
          <w:p w14:paraId="0A93A1E5" w14:textId="77777777" w:rsidR="00EE33D7" w:rsidRPr="003E13FF" w:rsidRDefault="00EE33D7" w:rsidP="002B58A2">
            <w:pPr>
              <w:spacing w:line="240" w:lineRule="auto"/>
              <w:jc w:val="both"/>
              <w:rPr>
                <w:sz w:val="20"/>
                <w:szCs w:val="20"/>
              </w:rPr>
            </w:pPr>
            <w:r w:rsidRPr="003E13FF">
              <w:rPr>
                <w:sz w:val="20"/>
                <w:szCs w:val="20"/>
              </w:rPr>
              <w:t>5.02</w:t>
            </w:r>
          </w:p>
        </w:tc>
        <w:tc>
          <w:tcPr>
            <w:tcW w:w="2070" w:type="dxa"/>
          </w:tcPr>
          <w:p w14:paraId="5CB68749" w14:textId="77777777" w:rsidR="00EE33D7" w:rsidRPr="003E13FF" w:rsidRDefault="00EE33D7" w:rsidP="002B58A2">
            <w:pPr>
              <w:spacing w:line="240" w:lineRule="auto"/>
              <w:jc w:val="both"/>
              <w:rPr>
                <w:sz w:val="20"/>
                <w:szCs w:val="20"/>
              </w:rPr>
            </w:pPr>
            <w:r w:rsidRPr="003E13FF">
              <w:rPr>
                <w:sz w:val="20"/>
                <w:szCs w:val="20"/>
              </w:rPr>
              <w:t>W m</w:t>
            </w:r>
            <w:r w:rsidRPr="003E13FF">
              <w:rPr>
                <w:sz w:val="20"/>
                <w:szCs w:val="20"/>
                <w:vertAlign w:val="superscript"/>
              </w:rPr>
              <w:t xml:space="preserve">-1 </w:t>
            </w:r>
            <w:r w:rsidRPr="003E13FF">
              <w:rPr>
                <w:sz w:val="20"/>
                <w:szCs w:val="20"/>
              </w:rPr>
              <w:t>K</w:t>
            </w:r>
            <w:r w:rsidRPr="003E13FF">
              <w:rPr>
                <w:sz w:val="20"/>
                <w:szCs w:val="20"/>
                <w:vertAlign w:val="superscript"/>
              </w:rPr>
              <w:t>-1</w:t>
            </w:r>
          </w:p>
        </w:tc>
      </w:tr>
      <w:tr w:rsidR="00EE33D7" w:rsidRPr="003E13FF" w14:paraId="7CBB2E4B" w14:textId="77777777" w:rsidTr="002B58A2">
        <w:trPr>
          <w:trHeight w:val="20"/>
        </w:trPr>
        <w:tc>
          <w:tcPr>
            <w:tcW w:w="3955" w:type="dxa"/>
          </w:tcPr>
          <w:p w14:paraId="4311A0EF" w14:textId="77777777" w:rsidR="00EE33D7" w:rsidRPr="003E13FF" w:rsidRDefault="00EE33D7" w:rsidP="002B58A2">
            <w:pPr>
              <w:spacing w:line="240" w:lineRule="auto"/>
              <w:jc w:val="both"/>
              <w:rPr>
                <w:sz w:val="20"/>
                <w:szCs w:val="20"/>
              </w:rPr>
            </w:pPr>
            <w:r w:rsidRPr="003E13FF">
              <w:rPr>
                <w:sz w:val="20"/>
                <w:szCs w:val="20"/>
              </w:rPr>
              <w:t>Overpack Emissivity</w:t>
            </w:r>
          </w:p>
        </w:tc>
        <w:tc>
          <w:tcPr>
            <w:tcW w:w="3600" w:type="dxa"/>
          </w:tcPr>
          <w:p w14:paraId="1657DB26" w14:textId="77777777" w:rsidR="00EE33D7" w:rsidRPr="003E13FF" w:rsidRDefault="00EE33D7" w:rsidP="002B58A2">
            <w:pPr>
              <w:spacing w:line="240" w:lineRule="auto"/>
              <w:jc w:val="both"/>
              <w:rPr>
                <w:sz w:val="20"/>
                <w:szCs w:val="20"/>
              </w:rPr>
            </w:pPr>
            <w:r w:rsidRPr="003E13FF">
              <w:rPr>
                <w:sz w:val="20"/>
                <w:szCs w:val="20"/>
              </w:rPr>
              <w:t>0.8</w:t>
            </w:r>
          </w:p>
        </w:tc>
        <w:tc>
          <w:tcPr>
            <w:tcW w:w="2070" w:type="dxa"/>
          </w:tcPr>
          <w:p w14:paraId="437F10FA" w14:textId="77777777" w:rsidR="00EE33D7" w:rsidRPr="003E13FF" w:rsidRDefault="00EE33D7" w:rsidP="002B58A2">
            <w:pPr>
              <w:spacing w:line="240" w:lineRule="auto"/>
              <w:jc w:val="both"/>
              <w:rPr>
                <w:sz w:val="20"/>
                <w:szCs w:val="20"/>
              </w:rPr>
            </w:pPr>
            <w:r w:rsidRPr="003E13FF">
              <w:rPr>
                <w:sz w:val="20"/>
                <w:szCs w:val="20"/>
              </w:rPr>
              <w:t>-</w:t>
            </w:r>
          </w:p>
        </w:tc>
      </w:tr>
    </w:tbl>
    <w:p w14:paraId="0AD89545" w14:textId="77777777" w:rsidR="00EE33D7" w:rsidRDefault="00EE33D7"/>
    <w:sectPr w:rsidR="00EE33D7" w:rsidSect="00654B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D4B46"/>
    <w:multiLevelType w:val="multilevel"/>
    <w:tmpl w:val="F8BCC8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E8"/>
    <w:rsid w:val="00654BD4"/>
    <w:rsid w:val="006D05B4"/>
    <w:rsid w:val="00837A67"/>
    <w:rsid w:val="00D10B6C"/>
    <w:rsid w:val="00E1208C"/>
    <w:rsid w:val="00EE33D7"/>
    <w:rsid w:val="00EF71E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E5C5"/>
  <w15:chartTrackingRefBased/>
  <w15:docId w15:val="{455705F4-FA86-43D2-BEA0-44014446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D7"/>
    <w:pPr>
      <w:widowControl w:val="0"/>
      <w:autoSpaceDE w:val="0"/>
      <w:autoSpaceDN w:val="0"/>
      <w:adjustRightInd w:val="0"/>
      <w:spacing w:after="0" w:line="360" w:lineRule="auto"/>
    </w:pPr>
    <w:rPr>
      <w:rFonts w:ascii="Times New Roman" w:eastAsiaTheme="minorEastAsia" w:hAnsi="Times New Roman" w:cs="Times New Roman"/>
      <w:bCs/>
    </w:rPr>
  </w:style>
  <w:style w:type="paragraph" w:styleId="Heading1">
    <w:name w:val="heading 1"/>
    <w:basedOn w:val="Normal"/>
    <w:next w:val="Normal"/>
    <w:link w:val="Heading1Char"/>
    <w:uiPriority w:val="9"/>
    <w:qFormat/>
    <w:rsid w:val="00EE33D7"/>
    <w:pPr>
      <w:keepNext/>
      <w:keepLines/>
      <w:numPr>
        <w:numId w:val="1"/>
      </w:numPr>
      <w:spacing w:before="240" w:after="120"/>
      <w:outlineLvl w:val="0"/>
    </w:pPr>
    <w:rPr>
      <w:rFonts w:eastAsiaTheme="majorEastAsia"/>
      <w:b/>
      <w:smallCaps/>
    </w:rPr>
  </w:style>
  <w:style w:type="paragraph" w:styleId="Heading2">
    <w:name w:val="heading 2"/>
    <w:basedOn w:val="Normal"/>
    <w:next w:val="Normal"/>
    <w:link w:val="Heading2Char"/>
    <w:uiPriority w:val="9"/>
    <w:unhideWhenUsed/>
    <w:qFormat/>
    <w:rsid w:val="00EE33D7"/>
    <w:pPr>
      <w:keepNext/>
      <w:keepLines/>
      <w:numPr>
        <w:ilvl w:val="1"/>
        <w:numId w:val="1"/>
      </w:numPr>
      <w:spacing w:before="200"/>
      <w:outlineLvl w:val="1"/>
    </w:pPr>
    <w:rPr>
      <w:rFonts w:eastAsiaTheme="majorEastAsia"/>
      <w:b/>
      <w:bCs w:val="0"/>
      <w:sz w:val="24"/>
      <w:szCs w:val="24"/>
    </w:rPr>
  </w:style>
  <w:style w:type="paragraph" w:styleId="Heading3">
    <w:name w:val="heading 3"/>
    <w:basedOn w:val="Normal"/>
    <w:next w:val="Normal"/>
    <w:link w:val="Heading3Char"/>
    <w:uiPriority w:val="9"/>
    <w:unhideWhenUsed/>
    <w:qFormat/>
    <w:rsid w:val="00EE33D7"/>
    <w:pPr>
      <w:keepNext/>
      <w:keepLines/>
      <w:numPr>
        <w:ilvl w:val="2"/>
        <w:numId w:val="1"/>
      </w:numPr>
      <w:spacing w:before="200"/>
      <w:outlineLvl w:val="2"/>
    </w:pPr>
    <w:rPr>
      <w:rFonts w:eastAsiaTheme="majorEastAsia"/>
      <w:b/>
      <w:bCs w:val="0"/>
      <w:sz w:val="24"/>
      <w:szCs w:val="24"/>
    </w:rPr>
  </w:style>
  <w:style w:type="paragraph" w:styleId="Heading4">
    <w:name w:val="heading 4"/>
    <w:basedOn w:val="Normal"/>
    <w:next w:val="Normal"/>
    <w:link w:val="Heading4Char"/>
    <w:uiPriority w:val="9"/>
    <w:unhideWhenUsed/>
    <w:qFormat/>
    <w:rsid w:val="00EE33D7"/>
    <w:pPr>
      <w:keepNext/>
      <w:keepLines/>
      <w:numPr>
        <w:ilvl w:val="3"/>
        <w:numId w:val="1"/>
      </w:numPr>
      <w:spacing w:before="200"/>
      <w:ind w:left="864"/>
      <w:outlineLvl w:val="3"/>
    </w:pPr>
    <w:rPr>
      <w:rFonts w:eastAsiaTheme="majorEastAsia"/>
      <w:b/>
      <w:bCs w:val="0"/>
      <w:iCs/>
    </w:rPr>
  </w:style>
  <w:style w:type="paragraph" w:styleId="Heading5">
    <w:name w:val="heading 5"/>
    <w:basedOn w:val="Normal"/>
    <w:next w:val="Normal"/>
    <w:link w:val="Heading5Char"/>
    <w:uiPriority w:val="9"/>
    <w:unhideWhenUsed/>
    <w:qFormat/>
    <w:rsid w:val="00EE33D7"/>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E33D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E33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33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33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1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1E8"/>
    <w:rPr>
      <w:rFonts w:ascii="Segoe UI" w:hAnsi="Segoe UI" w:cs="Segoe UI"/>
      <w:sz w:val="18"/>
      <w:szCs w:val="18"/>
    </w:rPr>
  </w:style>
  <w:style w:type="paragraph" w:styleId="Caption">
    <w:name w:val="caption"/>
    <w:basedOn w:val="Normal"/>
    <w:next w:val="Normal"/>
    <w:uiPriority w:val="35"/>
    <w:unhideWhenUsed/>
    <w:qFormat/>
    <w:rsid w:val="00EE33D7"/>
    <w:pPr>
      <w:spacing w:after="200"/>
      <w:jc w:val="center"/>
    </w:pPr>
    <w:rPr>
      <w:b/>
      <w:bCs w:val="0"/>
      <w:sz w:val="18"/>
      <w:szCs w:val="18"/>
    </w:rPr>
  </w:style>
  <w:style w:type="table" w:styleId="TableGrid">
    <w:name w:val="Table Grid"/>
    <w:basedOn w:val="TableNormal"/>
    <w:uiPriority w:val="59"/>
    <w:rsid w:val="00EE33D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33D7"/>
    <w:pPr>
      <w:spacing w:after="300"/>
      <w:contextualSpacing/>
      <w:jc w:val="center"/>
    </w:pPr>
    <w:rPr>
      <w:rFonts w:eastAsiaTheme="majorEastAsia"/>
      <w:b/>
      <w:color w:val="323E4F" w:themeColor="text2" w:themeShade="BF"/>
      <w:spacing w:val="5"/>
      <w:kern w:val="28"/>
    </w:rPr>
  </w:style>
  <w:style w:type="character" w:customStyle="1" w:styleId="TitleChar">
    <w:name w:val="Title Char"/>
    <w:basedOn w:val="DefaultParagraphFont"/>
    <w:link w:val="Title"/>
    <w:uiPriority w:val="10"/>
    <w:rsid w:val="00EE33D7"/>
    <w:rPr>
      <w:rFonts w:ascii="Times New Roman" w:eastAsiaTheme="majorEastAsia" w:hAnsi="Times New Roman" w:cs="Times New Roman"/>
      <w:b/>
      <w:bCs/>
      <w:color w:val="323E4F" w:themeColor="text2" w:themeShade="BF"/>
      <w:spacing w:val="5"/>
      <w:kern w:val="28"/>
    </w:rPr>
  </w:style>
  <w:style w:type="character" w:customStyle="1" w:styleId="Heading1Char">
    <w:name w:val="Heading 1 Char"/>
    <w:basedOn w:val="DefaultParagraphFont"/>
    <w:link w:val="Heading1"/>
    <w:uiPriority w:val="9"/>
    <w:rsid w:val="00EE33D7"/>
    <w:rPr>
      <w:rFonts w:ascii="Times New Roman" w:eastAsiaTheme="majorEastAsia" w:hAnsi="Times New Roman" w:cs="Times New Roman"/>
      <w:b/>
      <w:bCs/>
      <w:smallCaps/>
    </w:rPr>
  </w:style>
  <w:style w:type="character" w:customStyle="1" w:styleId="Heading2Char">
    <w:name w:val="Heading 2 Char"/>
    <w:basedOn w:val="DefaultParagraphFont"/>
    <w:link w:val="Heading2"/>
    <w:uiPriority w:val="9"/>
    <w:rsid w:val="00EE33D7"/>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E33D7"/>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EE33D7"/>
    <w:rPr>
      <w:rFonts w:ascii="Times New Roman" w:eastAsiaTheme="majorEastAsia" w:hAnsi="Times New Roman" w:cs="Times New Roman"/>
      <w:b/>
      <w:iCs/>
    </w:rPr>
  </w:style>
  <w:style w:type="character" w:customStyle="1" w:styleId="Heading5Char">
    <w:name w:val="Heading 5 Char"/>
    <w:basedOn w:val="DefaultParagraphFont"/>
    <w:link w:val="Heading5"/>
    <w:uiPriority w:val="9"/>
    <w:rsid w:val="00EE33D7"/>
    <w:rPr>
      <w:rFonts w:asciiTheme="majorHAnsi" w:eastAsiaTheme="majorEastAsia" w:hAnsiTheme="majorHAnsi" w:cstheme="majorBidi"/>
      <w:bCs/>
      <w:color w:val="1F3763" w:themeColor="accent1" w:themeShade="7F"/>
    </w:rPr>
  </w:style>
  <w:style w:type="character" w:customStyle="1" w:styleId="Heading6Char">
    <w:name w:val="Heading 6 Char"/>
    <w:basedOn w:val="DefaultParagraphFont"/>
    <w:link w:val="Heading6"/>
    <w:uiPriority w:val="9"/>
    <w:semiHidden/>
    <w:rsid w:val="00EE33D7"/>
    <w:rPr>
      <w:rFonts w:asciiTheme="majorHAnsi" w:eastAsiaTheme="majorEastAsia" w:hAnsiTheme="majorHAnsi" w:cstheme="majorBidi"/>
      <w:bCs/>
      <w:i/>
      <w:iCs/>
      <w:color w:val="1F3763" w:themeColor="accent1" w:themeShade="7F"/>
    </w:rPr>
  </w:style>
  <w:style w:type="character" w:customStyle="1" w:styleId="Heading7Char">
    <w:name w:val="Heading 7 Char"/>
    <w:basedOn w:val="DefaultParagraphFont"/>
    <w:link w:val="Heading7"/>
    <w:uiPriority w:val="9"/>
    <w:semiHidden/>
    <w:rsid w:val="00EE33D7"/>
    <w:rPr>
      <w:rFonts w:asciiTheme="majorHAnsi" w:eastAsiaTheme="majorEastAsia" w:hAnsiTheme="majorHAnsi" w:cstheme="majorBidi"/>
      <w:bCs/>
      <w:i/>
      <w:iCs/>
      <w:color w:val="404040" w:themeColor="text1" w:themeTint="BF"/>
    </w:rPr>
  </w:style>
  <w:style w:type="character" w:customStyle="1" w:styleId="Heading8Char">
    <w:name w:val="Heading 8 Char"/>
    <w:basedOn w:val="DefaultParagraphFont"/>
    <w:link w:val="Heading8"/>
    <w:uiPriority w:val="9"/>
    <w:semiHidden/>
    <w:rsid w:val="00EE33D7"/>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EE33D7"/>
    <w:rPr>
      <w:rFonts w:asciiTheme="majorHAnsi" w:eastAsiaTheme="majorEastAsia" w:hAnsiTheme="majorHAnsi" w:cstheme="majorBidi"/>
      <w:bCs/>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Vergari</dc:creator>
  <cp:keywords/>
  <dc:description/>
  <cp:lastModifiedBy>Lorenzo Vergari</cp:lastModifiedBy>
  <cp:revision>1</cp:revision>
  <dcterms:created xsi:type="dcterms:W3CDTF">2020-06-30T23:31:00Z</dcterms:created>
  <dcterms:modified xsi:type="dcterms:W3CDTF">2020-06-30T23:57:00Z</dcterms:modified>
</cp:coreProperties>
</file>