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C1C2E" w:val="clear"/>
        <w:spacing w:after="0" w:before="2880"/>
      </w:pPr>
      <w:r>
        <w:rPr>
          <w:rFonts w:ascii="Arial" w:cs="Arial" w:eastAsia="Arial" w:hAnsi="Arial"/>
          <w:sz w:val="2"/>
          <w:szCs w:val="2"/>
        </w:rPr>
        <w:t xml:space="preserve"/>
      </w:r>
    </w:p>
    <w:p>
      <w:pPr>
        <w:shd w:fill="1C1C2E" w:val="clear"/>
        <w:spacing w:after="80" w:before="0"/>
        <w:jc w:val="center"/>
      </w:pPr>
      <w:r>
        <w:rPr>
          <w:rFonts w:ascii="Arial" w:cs="Arial" w:eastAsia="Arial" w:hAnsi="Arial"/>
          <w:b/>
          <w:bCs/>
          <w:caps w:val="false"/>
          <w:color w:val="FFFFFF"/>
          <w:sz w:val="56"/>
          <w:szCs w:val="56"/>
        </w:rPr>
        <w:t xml:space="preserve">JURASSIC ENGLISH™</w:t>
      </w:r>
    </w:p>
    <w:p>
      <w:pPr>
        <w:shd w:fill="1C1C2E" w:val="clear"/>
        <w:spacing w:after="80" w:before="40"/>
        <w:jc w:val="center"/>
      </w:pPr>
      <w:r>
        <w:rPr>
          <w:rFonts w:ascii="Arial" w:cs="Arial" w:eastAsia="Arial" w:hAnsi="Arial"/>
          <w:color w:val="047857"/>
          <w:sz w:val="24"/>
          <w:szCs w:val="24"/>
        </w:rPr>
        <w:t xml:space="preserve">─────────────────────────────────</w:t>
      </w:r>
    </w:p>
    <w:p>
      <w:pPr>
        <w:shd w:fill="1C1C2E" w:val="clear"/>
        <w:spacing w:after="60" w:before="0"/>
        <w:jc w:val="center"/>
      </w:pPr>
      <w:r>
        <w:rPr>
          <w:rFonts w:ascii="Arial" w:cs="Arial" w:eastAsia="Arial" w:hAnsi="Arial"/>
          <w:b/>
          <w:bCs/>
          <w:color w:val="047857"/>
          <w:sz w:val="44"/>
          <w:szCs w:val="44"/>
        </w:rPr>
        <w:t xml:space="preserve">Level 4: Mastery</w:t>
      </w:r>
    </w:p>
    <w:p>
      <w:pPr>
        <w:shd w:fill="1C1C2E" w:val="clear"/>
        <w:spacing w:after="80" w:before="0"/>
        <w:jc w:val="center"/>
      </w:pPr>
      <w:r>
        <w:rPr>
          <w:rFonts w:ascii="Arial" w:cs="Arial" w:eastAsia="Arial" w:hAnsi="Arial"/>
          <w:color w:val="A0AEC0"/>
          <w:sz w:val="26"/>
          <w:szCs w:val="26"/>
        </w:rPr>
        <w:t xml:space="preserve">Novels. Nuance. Real-World Stakes.</w:t>
      </w:r>
    </w:p>
    <w:p>
      <w:pPr>
        <w:shd w:fill="1C1C2E" w:val="clear"/>
        <w:spacing w:after="200" w:before="40"/>
        <w:jc w:val="center"/>
      </w:pPr>
      <w:r>
        <w:rPr>
          <w:rFonts w:ascii="Arial" w:cs="Arial" w:eastAsia="Arial" w:hAnsi="Arial"/>
          <w:color w:val="047857"/>
          <w:sz w:val="24"/>
          <w:szCs w:val="24"/>
        </w:rPr>
        <w:t xml:space="preserve">─────────────────────────────────</w:t>
      </w:r>
    </w:p>
    <w:p>
      <w:pPr>
        <w:shd w:fill="1C1C2E" w:val="clear"/>
        <w:spacing w:after="200" w:before="0"/>
        <w:jc w:val="center"/>
      </w:pPr>
      <w:r>
        <w:rPr>
          <w:rFonts w:ascii="Arial" w:cs="Arial" w:eastAsia="Arial" w:hAnsi="Arial"/>
          <w:color w:val="FFFFFF"/>
          <w:sz w:val="22"/>
          <w:szCs w:val="22"/>
        </w:rPr>
        <w:t xml:space="preserve">Ages 12–14</w:t>
      </w:r>
      <w:r>
        <w:rPr>
          <w:rFonts w:ascii="Arial" w:cs="Arial" w:eastAsia="Arial" w:hAnsi="Arial"/>
          <w:color w:val="047857"/>
          <w:sz w:val="22"/>
          <w:szCs w:val="22"/>
        </w:rPr>
        <w:t xml:space="preserve">   ·   </w:t>
      </w:r>
      <w:r>
        <w:rPr>
          <w:rFonts w:ascii="Arial" w:cs="Arial" w:eastAsia="Arial" w:hAnsi="Arial"/>
          <w:color w:val="FFFFFF"/>
          <w:sz w:val="22"/>
          <w:szCs w:val="22"/>
        </w:rPr>
        <w:t xml:space="preserve">CEFR B1 → B2</w:t>
      </w:r>
      <w:r>
        <w:rPr>
          <w:rFonts w:ascii="Arial" w:cs="Arial" w:eastAsia="Arial" w:hAnsi="Arial"/>
          <w:color w:val="047857"/>
          <w:sz w:val="22"/>
          <w:szCs w:val="22"/>
        </w:rPr>
        <w:t xml:space="preserve">   ·   </w:t>
      </w:r>
      <w:r>
        <w:rPr>
          <w:rFonts w:ascii="Arial" w:cs="Arial" w:eastAsia="Arial" w:hAnsi="Arial"/>
          <w:color w:val="FFFFFF"/>
          <w:sz w:val="22"/>
          <w:szCs w:val="22"/>
        </w:rPr>
        <w:t xml:space="preserve">40 Lessons / Year</w:t>
      </w:r>
      <w:r>
        <w:rPr>
          <w:rFonts w:ascii="Arial" w:cs="Arial" w:eastAsia="Arial" w:hAnsi="Arial"/>
          <w:color w:val="047857"/>
          <w:sz w:val="22"/>
          <w:szCs w:val="22"/>
        </w:rPr>
        <w:t xml:space="preserve">   ·   </w:t>
      </w:r>
      <w:r>
        <w:rPr>
          <w:rFonts w:ascii="Arial" w:cs="Arial" w:eastAsia="Arial" w:hAnsi="Arial"/>
          <w:color w:val="FFFFFF"/>
          <w:sz w:val="22"/>
          <w:szCs w:val="22"/>
        </w:rPr>
        <w:t xml:space="preserve">10 Core Texts</w:t>
      </w:r>
    </w:p>
    <w:p>
      <w:pPr>
        <w:shd w:fill="1C1C2E" w:val="clear"/>
        <w:spacing w:after="80" w:before="0"/>
        <w:jc w:val="center"/>
      </w:pPr>
      <w:r>
        <w:rPr>
          <w:rFonts w:ascii="Arial" w:cs="Arial" w:eastAsia="Arial" w:hAnsi="Arial"/>
          <w:b/>
          <w:bCs/>
          <w:caps w:val="false"/>
          <w:color w:val="718096"/>
          <w:sz w:val="22"/>
          <w:szCs w:val="22"/>
        </w:rPr>
        <w:t xml:space="preserve">STUDENT &amp; FAMILY SYLLABUS</w:t>
      </w:r>
    </w:p>
    <w:p>
      <w:pPr>
        <w:shd w:fill="1C1C2E" w:val="clear"/>
        <w:spacing w:after="400" w:before="0"/>
        <w:jc w:val="center"/>
      </w:pPr>
      <w:r>
        <w:rPr>
          <w:rFonts w:ascii="Arial" w:cs="Arial" w:eastAsia="Arial" w:hAnsi="Arial"/>
          <w:color w:val="718096"/>
          <w:sz w:val="20"/>
          <w:szCs w:val="20"/>
        </w:rPr>
        <w:t xml:space="preserve">Academic Year 2025–2026</w:t>
      </w:r>
    </w:p>
    <w:p>
      <w:pPr>
        <w:shd w:fill="1C1C2E" w:val="clear"/>
        <w:spacing w:after="2880" w:before="0"/>
        <w:jc w:val="center"/>
      </w:pPr>
      <w:r>
        <w:rPr>
          <w:rFonts w:ascii="Arial" w:cs="Arial" w:eastAsia="Arial" w:hAnsi="Arial"/>
          <w:color w:val="4A5568"/>
          <w:sz w:val="19"/>
          <w:szCs w:val="19"/>
        </w:rPr>
        <w:t xml:space="preserve">Published by World Wise Learning</w:t>
      </w:r>
    </w:p>
    <w:p>
      <w:pPr>
        <w:shd w:fill="1C1C2E" w:val="clear"/>
      </w:pPr>
      <w:r>
        <w:br w:type="page"/>
      </w:r>
    </w:p>
    <w:p>
      <w:pPr>
        <w:sectPr>
          <w:pgSz w:w="11906" w:h="16838" w:orient="portrait"/>
          <w:pgMar w:top="0" w:right="0" w:bottom="0" w:left="0" w:header="708" w:footer="708" w:gutter="0"/>
          <w:pgNumType/>
          <w:docGrid w:linePitch="360"/>
        </w:sectPr>
      </w:pPr>
    </w:p>
    <w:p>
      <w:pPr>
        <w:pBdr>
          <w:bottom w:val="single" w:color="047857" w:sz="8"/>
        </w:pBdr>
        <w:spacing w:after="120" w:before="400"/>
      </w:pPr>
      <w:r>
        <w:rPr>
          <w:rFonts w:ascii="Arial" w:cs="Arial" w:eastAsia="Arial" w:hAnsi="Arial"/>
          <w:b/>
          <w:bCs/>
          <w:caps w:val="false"/>
          <w:color w:val="047857"/>
          <w:sz w:val="24"/>
          <w:szCs w:val="24"/>
        </w:rPr>
        <w:t xml:space="preserve">WELCOME TO LEVEL 4: MASTERY</w:t>
      </w:r>
    </w:p>
    <w:p>
      <w:pPr>
        <w:spacing w:after="100" w:before="80"/>
        <w:jc w:val="left"/>
      </w:pPr>
      <w:r>
        <w:rPr>
          <w:rFonts w:ascii="Arial" w:cs="Arial" w:eastAsia="Arial" w:hAnsi="Arial"/>
          <w:b w:val="false"/>
          <w:bCs w:val="false"/>
          <w:i w:val="false"/>
          <w:iCs w:val="false"/>
          <w:caps w:val="false"/>
          <w:color w:val="1A1A1A"/>
          <w:sz w:val="22"/>
          <w:szCs w:val="22"/>
        </w:rPr>
        <w:t xml:space="preserve">Welcome to Level 4: Mastery — the heart of the Jurassic English™ programme.</w:t>
      </w:r>
    </w:p>
    <w:p>
      <w:pPr>
        <w:spacing w:after="100" w:before="80"/>
        <w:jc w:val="left"/>
      </w:pPr>
      <w:r>
        <w:rPr>
          <w:rFonts w:ascii="Arial" w:cs="Arial" w:eastAsia="Arial" w:hAnsi="Arial"/>
          <w:b w:val="false"/>
          <w:bCs w:val="false"/>
          <w:i w:val="false"/>
          <w:iCs w:val="false"/>
          <w:caps w:val="false"/>
          <w:color w:val="1A1A1A"/>
          <w:sz w:val="22"/>
          <w:szCs w:val="22"/>
        </w:rPr>
        <w:t xml:space="preserve">This is the year of full novels, contested interpretations, and the kind of moral reasoning that prepares students for academic life at the highest level. Research shows that the B1–B2 transition — the B2 Plateau — is the most cognitively demanding stage in language development. Abstract concepts, subtext, irony, and multi-perspectival analysis all come into sharp focus here.</w:t>
      </w:r>
    </w:p>
    <w:p>
      <w:pPr>
        <w:spacing w:after="100" w:before="80"/>
        <w:jc w:val="left"/>
      </w:pPr>
      <w:r>
        <w:rPr>
          <w:rFonts w:ascii="Arial" w:cs="Arial" w:eastAsia="Arial" w:hAnsi="Arial"/>
          <w:b w:val="false"/>
          <w:bCs w:val="false"/>
          <w:i w:val="false"/>
          <w:iCs w:val="false"/>
          <w:caps w:val="false"/>
          <w:color w:val="1A1A1A"/>
          <w:sz w:val="22"/>
          <w:szCs w:val="22"/>
        </w:rPr>
        <w:t xml:space="preserve">The texts your child will study this year are among the most significant in the English-language tradition. To Kill a Mockingbird asks: what does justice cost, and who is required to pay? Night asks: what does it mean to witness atrocity and carry it forward? Hatchet asks: what does the natural world demand of us when we are stripped of everything else?</w:t>
      </w:r>
    </w:p>
    <w:p>
      <w:pPr>
        <w:spacing w:after="100" w:before="80"/>
        <w:jc w:val="left"/>
      </w:pPr>
      <w:r>
        <w:rPr>
          <w:rFonts w:ascii="Arial" w:cs="Arial" w:eastAsia="Arial" w:hAnsi="Arial"/>
          <w:b w:val="false"/>
          <w:bCs w:val="false"/>
          <w:i w:val="false"/>
          <w:iCs w:val="false"/>
          <w:caps w:val="false"/>
          <w:color w:val="1A1A1A"/>
          <w:sz w:val="22"/>
          <w:szCs w:val="22"/>
        </w:rPr>
        <w:t xml:space="preserve">At Level 4, students move from understanding to argumentation. They do not merely hold opinions — they construct evidence-based cases, anticipate counterarguments, and write with the precision of academic discourse. In the eco-reasoning strand, they engage climate justice, indigenous knowledge systems, and the ethics of stewardship — questions that will define their generation.</w:t>
      </w:r>
    </w:p>
    <w:p>
      <w:pPr>
        <w:spacing w:after="100" w:before="80"/>
        <w:jc w:val="left"/>
      </w:pPr>
      <w:r>
        <w:rPr>
          <w:rFonts w:ascii="Arial" w:cs="Arial" w:eastAsia="Arial" w:hAnsi="Arial"/>
          <w:b w:val="false"/>
          <w:bCs w:val="false"/>
          <w:i w:val="false"/>
          <w:iCs w:val="false"/>
          <w:caps w:val="false"/>
          <w:color w:val="1A1A1A"/>
          <w:sz w:val="22"/>
          <w:szCs w:val="22"/>
        </w:rPr>
        <w:t xml:space="preserve">This is serious intellectual work, and your child is ready for it.</w:t>
      </w:r>
    </w:p>
    <w:p>
      <w:pPr>
        <w:pBdr>
          <w:bottom w:val="single" w:color="047857" w:sz="4"/>
        </w:pBdr>
        <w:spacing w:after="200" w:before="200"/>
      </w:pPr>
      <w:r>
        <w:t xml:space="preserve"/>
      </w:r>
    </w:p>
    <w:p>
      <w:pPr>
        <w:pBdr>
          <w:bottom w:val="single" w:color="047857" w:sz="8"/>
        </w:pBdr>
        <w:spacing w:after="120" w:before="400"/>
      </w:pPr>
      <w:r>
        <w:rPr>
          <w:rFonts w:ascii="Arial" w:cs="Arial" w:eastAsia="Arial" w:hAnsi="Arial"/>
          <w:b/>
          <w:bCs/>
          <w:caps w:val="false"/>
          <w:color w:val="047857"/>
          <w:sz w:val="24"/>
          <w:szCs w:val="24"/>
        </w:rPr>
        <w:t xml:space="preserve">LEVEL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1D5DB" w:sz="4"/>
              <w:left w:val="single" w:color="D1D5DB" w:sz="4"/>
              <w:bottom w:val="single" w:color="D1D5DB" w:sz="4"/>
              <w:right w:val="single" w:color="D1D5DB" w:sz="4"/>
            </w:tcBorders>
            <w:shd w:fill="ECFDF5"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Series Level</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Level 4: Mastery</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Age Band</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12–14 years</w:t>
            </w:r>
          </w:p>
        </w:tc>
      </w:tr>
      <w:tr>
        <w:tc>
          <w:tcPr>
            <w:tcW w:type="dxa" w:w="3200"/>
            <w:tcBorders>
              <w:top w:val="single" w:color="D1D5DB" w:sz="4"/>
              <w:left w:val="single" w:color="D1D5DB" w:sz="4"/>
              <w:bottom w:val="single" w:color="D1D5DB" w:sz="4"/>
              <w:right w:val="single" w:color="D1D5DB" w:sz="4"/>
            </w:tcBorders>
            <w:shd w:fill="ECFDF5"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CEFR Range</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B1 → B2</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CEFR Progression</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B1 → B2 (approx. 500–600 instructional hours — the B2 Plateau)</w:t>
            </w:r>
          </w:p>
        </w:tc>
      </w:tr>
      <w:tr>
        <w:tc>
          <w:tcPr>
            <w:tcW w:type="dxa" w:w="3200"/>
            <w:tcBorders>
              <w:top w:val="single" w:color="D1D5DB" w:sz="4"/>
              <w:left w:val="single" w:color="D1D5DB" w:sz="4"/>
              <w:bottom w:val="single" w:color="D1D5DB" w:sz="4"/>
              <w:right w:val="single" w:color="D1D5DB" w:sz="4"/>
            </w:tcBorders>
            <w:shd w:fill="ECFDF5"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Cognitive Focus</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The B2 Plateau: abstract concepts, subtext, irony, and multi-perspectival analysis. High-quality literature is the most effective vehicle for this transition.</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Text Complexity</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Full novels with contested interpretations</w:t>
            </w:r>
          </w:p>
        </w:tc>
      </w:tr>
      <w:tr>
        <w:tc>
          <w:tcPr>
            <w:tcW w:type="dxa" w:w="3200"/>
            <w:tcBorders>
              <w:top w:val="single" w:color="D1D5DB" w:sz="4"/>
              <w:left w:val="single" w:color="D1D5DB" w:sz="4"/>
              <w:bottom w:val="single" w:color="D1D5DB" w:sz="4"/>
              <w:right w:val="single" w:color="D1D5DB" w:sz="4"/>
            </w:tcBorders>
            <w:shd w:fill="ECFDF5"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Books Studied</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10 core texts (4 lessons each)</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Total Lessons</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40 structured lessons per academic year</w:t>
            </w:r>
          </w:p>
        </w:tc>
      </w:tr>
      <w:tr>
        <w:tc>
          <w:tcPr>
            <w:tcW w:type="dxa" w:w="3200"/>
            <w:tcBorders>
              <w:top w:val="single" w:color="D1D5DB" w:sz="4"/>
              <w:left w:val="single" w:color="D1D5DB" w:sz="4"/>
              <w:bottom w:val="single" w:color="D1D5DB" w:sz="4"/>
              <w:right w:val="single" w:color="D1D5DB" w:sz="4"/>
            </w:tcBorders>
            <w:shd w:fill="ECFDF5"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Lesson Duration</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40–60 minutes per lesson</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Eco-Reasoning Strand</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Climate justice, indigenous knowledge, and stewardship ethics</w:t>
            </w:r>
          </w:p>
        </w:tc>
      </w:tr>
      <w:tr>
        <w:tc>
          <w:tcPr>
            <w:tcW w:type="dxa" w:w="3200"/>
            <w:tcBorders>
              <w:top w:val="single" w:color="D1D5DB" w:sz="4"/>
              <w:left w:val="single" w:color="D1D5DB" w:sz="4"/>
              <w:bottom w:val="single" w:color="D1D5DB" w:sz="4"/>
              <w:right w:val="single" w:color="D1D5DB" w:sz="4"/>
            </w:tcBorders>
            <w:shd w:fill="ECFDF5"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Eco Units (minimum)</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2 eco-integrated units per year (UNESCO ESD requirement)</w:t>
            </w:r>
          </w:p>
        </w:tc>
      </w:tr>
    </w:tbl>
    <w:p>
      <w:pPr>
        <w:pBdr>
          <w:bottom w:val="single" w:color="047857" w:sz="4"/>
        </w:pBdr>
        <w:spacing w:after="200" w:before="200"/>
      </w:pPr>
      <w:r>
        <w:t xml:space="preserve"/>
      </w:r>
    </w:p>
    <w:p>
      <w:pPr>
        <w:pBdr>
          <w:bottom w:val="single" w:color="047857" w:sz="8"/>
        </w:pBdr>
        <w:spacing w:after="120" w:before="400"/>
      </w:pPr>
      <w:r>
        <w:rPr>
          <w:rFonts w:ascii="Arial" w:cs="Arial" w:eastAsia="Arial" w:hAnsi="Arial"/>
          <w:b/>
          <w:bCs/>
          <w:caps w:val="false"/>
          <w:color w:val="047857"/>
          <w:sz w:val="24"/>
          <w:szCs w:val="24"/>
        </w:rPr>
        <w:t xml:space="preserve">WHAT IS JURASSIC ENGLISH™?</w:t>
      </w:r>
    </w:p>
    <w:p>
      <w:pPr>
        <w:spacing w:after="100" w:before="80"/>
        <w:jc w:val="left"/>
      </w:pPr>
      <w:r>
        <w:rPr>
          <w:rFonts w:ascii="Arial" w:cs="Arial" w:eastAsia="Arial" w:hAnsi="Arial"/>
          <w:b w:val="false"/>
          <w:bCs w:val="false"/>
          <w:i w:val="false"/>
          <w:iCs w:val="false"/>
          <w:caps w:val="false"/>
          <w:color w:val="1A1A1A"/>
          <w:sz w:val="22"/>
          <w:szCs w:val="22"/>
        </w:rPr>
        <w:t xml:space="preserve">Jurassic English™ is a literature-centred English programme published by World Wise Learning. It is designed to develop four interconnected competencies through authentic works of children's and young adult literature: Critical Thinking, Moral Reasoning, Structured Reflection, and Academic Expression. Like layers of fossil record, each level of the programme builds on the reasoning capabilities developed in the one before it.</w:t>
      </w:r>
    </w:p>
    <w:p>
      <w:pPr>
        <w:spacing w:after="100" w:before="80"/>
        <w:jc w:val="left"/>
      </w:pPr>
      <w:r>
        <w:rPr>
          <w:rFonts w:ascii="Arial" w:cs="Arial" w:eastAsia="Arial" w:hAnsi="Arial"/>
          <w:b w:val="false"/>
          <w:bCs w:val="false"/>
          <w:i w:val="false"/>
          <w:iCs w:val="false"/>
          <w:caps w:val="false"/>
          <w:color w:val="1A1A1A"/>
          <w:sz w:val="22"/>
          <w:szCs w:val="22"/>
        </w:rPr>
        <w:t xml:space="preserve">English in this programme is not the object of study — it is the medium through which students examine ideas that genuinely matter: justice, identity, ecological responsibility, and the human condition. Every lesson anchors language development in a substantive ethical or intellectual question.</w:t>
      </w:r>
    </w:p>
    <w:p>
      <w:pPr>
        <w:spacing w:after="120" w:before="320"/>
      </w:pPr>
      <w:r>
        <w:rPr>
          <w:rFonts w:ascii="Arial" w:cs="Arial" w:eastAsia="Arial" w:hAnsi="Arial"/>
          <w:b/>
          <w:bCs/>
          <w:color w:val="047857"/>
          <w:sz w:val="26"/>
          <w:szCs w:val="26"/>
        </w:rPr>
        <w:t xml:space="preserve">The Four Competencies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1D5DB" w:sz="4"/>
              <w:left w:val="single" w:color="D1D5DB" w:sz="4"/>
              <w:bottom w:val="single" w:color="D1D5DB" w:sz="4"/>
              <w:right w:val="single" w:color="D1D5DB" w:sz="4"/>
            </w:tcBorders>
            <w:shd w:fill="047857"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Competency</w:t>
            </w:r>
          </w:p>
        </w:tc>
        <w:tc>
          <w:tcPr>
            <w:tcW w:type="dxa" w:w="6226"/>
            <w:tcBorders>
              <w:top w:val="single" w:color="D1D5DB" w:sz="4"/>
              <w:left w:val="single" w:color="D1D5DB" w:sz="4"/>
              <w:bottom w:val="single" w:color="D1D5DB" w:sz="4"/>
              <w:right w:val="single" w:color="D1D5DB" w:sz="4"/>
            </w:tcBorders>
            <w:shd w:fill="047857"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What Your Child Practises</w:t>
            </w:r>
          </w:p>
        </w:tc>
      </w:tr>
      <w:tr>
        <w:tc>
          <w:tcPr>
            <w:tcW w:type="dxa" w:w="2800"/>
            <w:tcBorders>
              <w:top w:val="single" w:color="D1D5DB" w:sz="4"/>
              <w:left w:val="single" w:color="D1D5DB" w:sz="4"/>
              <w:bottom w:val="single" w:color="D1D5DB" w:sz="4"/>
              <w:right w:val="single" w:color="D1D5DB" w:sz="4"/>
            </w:tcBorders>
            <w:shd w:fill="ECFDF5"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Critical Thinking</w:t>
            </w:r>
          </w:p>
        </w:tc>
        <w:tc>
          <w:tcPr>
            <w:tcW w:type="dxa" w:w="62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Students produce advanced intertextual analysis — comparing how different authors treat the same ethical question across different cultural and historical contexts.</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Moral Reasoning</w:t>
            </w:r>
          </w:p>
        </w:tc>
        <w:tc>
          <w:tcPr>
            <w:tcW w:type="dxa" w:w="62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Students construct formal moral arguments using established ethical frameworks, anticipate counterarguments, and write with the structure of academic argumentation.</w:t>
            </w:r>
          </w:p>
        </w:tc>
      </w:tr>
      <w:tr>
        <w:tc>
          <w:tcPr>
            <w:tcW w:type="dxa" w:w="2800"/>
            <w:tcBorders>
              <w:top w:val="single" w:color="D1D5DB" w:sz="4"/>
              <w:left w:val="single" w:color="D1D5DB" w:sz="4"/>
              <w:bottom w:val="single" w:color="D1D5DB" w:sz="4"/>
              <w:right w:val="single" w:color="D1D5DB" w:sz="4"/>
            </w:tcBorders>
            <w:shd w:fill="ECFDF5"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Structured Reflection</w:t>
            </w:r>
          </w:p>
        </w:tc>
        <w:tc>
          <w:tcPr>
            <w:tcW w:type="dxa" w:w="62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Students apply ecological reflection at depth — including Temporal Extension ('100 years from now') and Indigenous Perspective as formal reasoning lenses.</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Academic Expression</w:t>
            </w:r>
          </w:p>
        </w:tc>
        <w:tc>
          <w:tcPr>
            <w:tcW w:type="dxa" w:w="62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Students write multi-paragraph analytical essays with counterargument and rebuttal, and engage in formal debate with academic precision.</w:t>
            </w:r>
          </w:p>
        </w:tc>
      </w:tr>
    </w:tbl>
    <w:p>
      <w:pPr>
        <w:pBdr>
          <w:bottom w:val="single" w:color="047857" w:sz="4"/>
        </w:pBdr>
        <w:spacing w:after="200" w:before="200"/>
      </w:pPr>
      <w:r>
        <w:t xml:space="preserve"/>
      </w:r>
    </w:p>
    <w:p>
      <w:pPr>
        <w:pBdr>
          <w:bottom w:val="single" w:color="047857" w:sz="8"/>
        </w:pBdr>
        <w:spacing w:after="120" w:before="400"/>
      </w:pPr>
      <w:r>
        <w:rPr>
          <w:rFonts w:ascii="Arial" w:cs="Arial" w:eastAsia="Arial" w:hAnsi="Arial"/>
          <w:b/>
          <w:bCs/>
          <w:caps w:val="false"/>
          <w:color w:val="047857"/>
          <w:sz w:val="24"/>
          <w:szCs w:val="24"/>
        </w:rPr>
        <w:t xml:space="preserve">THE JURASSIC THINKING CYCLE™</w:t>
      </w:r>
    </w:p>
    <w:p>
      <w:pPr>
        <w:spacing w:after="100" w:before="80"/>
        <w:jc w:val="left"/>
      </w:pPr>
      <w:r>
        <w:rPr>
          <w:rFonts w:ascii="Arial" w:cs="Arial" w:eastAsia="Arial" w:hAnsi="Arial"/>
          <w:b w:val="false"/>
          <w:bCs w:val="false"/>
          <w:i w:val="false"/>
          <w:iCs w:val="false"/>
          <w:caps w:val="false"/>
          <w:color w:val="1A1A1A"/>
          <w:sz w:val="22"/>
          <w:szCs w:val="22"/>
        </w:rPr>
        <w:t xml:space="preserve">Every Jurassic English™ lesson follows the same four-stage cognitive sequence. No stage is ever skipped — each builds on the one before it. This is the 'engine' of every lesson your child experiences.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D1D5DB" w:sz="4"/>
              <w:left w:val="single" w:color="D1D5DB" w:sz="4"/>
              <w:bottom w:val="single" w:color="D1D5DB" w:sz="4"/>
              <w:right w:val="single" w:color="D1D5DB" w:sz="4"/>
            </w:tcBorders>
            <w:shd w:fill="047857"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Stage</w:t>
            </w:r>
          </w:p>
        </w:tc>
        <w:tc>
          <w:tcPr>
            <w:tcW w:type="dxa" w:w="2200"/>
            <w:tcBorders>
              <w:top w:val="single" w:color="D1D5DB" w:sz="4"/>
              <w:left w:val="single" w:color="D1D5DB" w:sz="4"/>
              <w:bottom w:val="single" w:color="D1D5DB" w:sz="4"/>
              <w:right w:val="single" w:color="D1D5DB" w:sz="4"/>
            </w:tcBorders>
            <w:shd w:fill="047857"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Core Question</w:t>
            </w:r>
          </w:p>
        </w:tc>
        <w:tc>
          <w:tcPr>
            <w:tcW w:type="dxa" w:w="4826"/>
            <w:tcBorders>
              <w:top w:val="single" w:color="D1D5DB" w:sz="4"/>
              <w:left w:val="single" w:color="D1D5DB" w:sz="4"/>
              <w:bottom w:val="single" w:color="D1D5DB" w:sz="4"/>
              <w:right w:val="single" w:color="D1D5DB" w:sz="4"/>
            </w:tcBorders>
            <w:shd w:fill="047857"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What Students Do</w:t>
            </w:r>
          </w:p>
        </w:tc>
      </w:tr>
      <w:tr>
        <w:tc>
          <w:tcPr>
            <w:tcW w:type="dxa" w:w="2000"/>
            <w:tcBorders>
              <w:top w:val="single" w:color="D1D5DB" w:sz="4"/>
              <w:left w:val="single" w:color="D1D5DB" w:sz="4"/>
              <w:bottom w:val="single" w:color="D1D5DB" w:sz="4"/>
              <w:right w:val="single" w:color="D1D5DB" w:sz="4"/>
            </w:tcBorders>
            <w:shd w:fill="ECFDF5"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Stage 1 — ANALYZE</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'What does the text actually say?'</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Students identify characters, settings, and events. They distinguish what the text explicitly states from what must be inferred. Evidence is located and labelled.</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Stage 2 — EVALUATE</w:t>
            </w:r>
          </w:p>
        </w:tc>
        <w:tc>
          <w:tcPr>
            <w:tcW w:type="dxa" w:w="22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'What do I think about this — and why?'</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Students assess the quality, fairness, or morality of a decision or idea using stated criteria. Partner discussions and Socratic questioning develop evaluative reasoning.</w:t>
            </w:r>
          </w:p>
        </w:tc>
      </w:tr>
      <w:tr>
        <w:tc>
          <w:tcPr>
            <w:tcW w:type="dxa" w:w="2000"/>
            <w:tcBorders>
              <w:top w:val="single" w:color="D1D5DB" w:sz="4"/>
              <w:left w:val="single" w:color="D1D5DB" w:sz="4"/>
              <w:bottom w:val="single" w:color="D1D5DB" w:sz="4"/>
              <w:right w:val="single" w:color="D1D5DB" w:sz="4"/>
            </w:tcBorders>
            <w:shd w:fill="ECFDF5"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Stage 3 — JUSTIFY</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'How do I support my view with evidence?'</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Students construct a formal argument: Claim → Evidence → Warrant → Impact. Opinion without evidence is not accepted. The warrant — explaining WHY the evidence supports the claim — is the core reasoning move.</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Stage 4 — REFLECT</w:t>
            </w:r>
          </w:p>
        </w:tc>
        <w:tc>
          <w:tcPr>
            <w:tcW w:type="dxa" w:w="22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'What does this mean for me and the world?'</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Students connect textual themes to personal experience, ethical principles, universal human questions, and — from Level 2 onwards — the living world. At Level 3+, an Ecological Reflection prompt is formally required.</w:t>
            </w:r>
          </w:p>
        </w:tc>
      </w:tr>
    </w:tbl>
    <w:p>
      <w:pPr>
        <w:spacing w:after="0" w:before="120"/>
      </w:pPr>
      <w:r>
        <w:t xml:space="preserve"/>
      </w:r>
    </w:p>
    <w:p>
      <w:pPr>
        <w:spacing w:after="100" w:before="80"/>
        <w:jc w:val="left"/>
      </w:pPr>
      <w:r>
        <w:rPr>
          <w:rFonts w:ascii="Arial" w:cs="Arial" w:eastAsia="Arial" w:hAnsi="Arial"/>
          <w:b w:val="false"/>
          <w:bCs w:val="false"/>
          <w:i/>
          <w:iCs/>
          <w:caps w:val="false"/>
          <w:color w:val="4A5568"/>
          <w:sz w:val="20"/>
          <w:szCs w:val="20"/>
        </w:rPr>
        <w:t xml:space="preserve">At Mastery level, the Jurassic Thinking Cycle™ is applied to full novels — longer, more complex, and requiring sustained analytical attention over multiple lessons per text. The Reflect stage now formally includes Temporal Extension ('What will this place look like in 100 years if this decision stands?') and Indigenous Perspective ('How might someone who sees the land as a relative view this situation?') as standard eco-reasoning dialogue extensions.</w:t>
      </w:r>
    </w:p>
    <w:p>
      <w:pPr>
        <w:pBdr>
          <w:bottom w:val="single" w:color="047857" w:sz="4"/>
        </w:pBdr>
        <w:spacing w:after="200" w:before="200"/>
      </w:pPr>
      <w:r>
        <w:t xml:space="preserve"/>
      </w:r>
    </w:p>
    <w:p>
      <w:pPr>
        <w:pBdr>
          <w:bottom w:val="single" w:color="047857" w:sz="8"/>
        </w:pBdr>
        <w:spacing w:after="120" w:before="400"/>
      </w:pPr>
      <w:r>
        <w:rPr>
          <w:rFonts w:ascii="Arial" w:cs="Arial" w:eastAsia="Arial" w:hAnsi="Arial"/>
          <w:b/>
          <w:bCs/>
          <w:caps w:val="false"/>
          <w:color w:val="047857"/>
          <w:sz w:val="24"/>
          <w:szCs w:val="24"/>
        </w:rPr>
        <w:t xml:space="preserve">CORE TEXTS THIS YEAR</w:t>
      </w:r>
    </w:p>
    <w:p>
      <w:pPr>
        <w:spacing w:after="100" w:before="80"/>
        <w:jc w:val="left"/>
      </w:pPr>
      <w:r>
        <w:rPr>
          <w:rFonts w:ascii="Arial" w:cs="Arial" w:eastAsia="Arial" w:hAnsi="Arial"/>
          <w:b w:val="false"/>
          <w:bCs w:val="false"/>
          <w:i w:val="false"/>
          <w:iCs w:val="false"/>
          <w:caps w:val="false"/>
          <w:color w:val="1A1A1A"/>
          <w:sz w:val="22"/>
          <w:szCs w:val="22"/>
        </w:rPr>
        <w:t xml:space="preserve">At Level 4: Mastery, students study 10 core texts over the academic year — four structured lessons per book, totalling 40 lessons. Each text is selected according to five rigorous criteria: moral depth, narrative clarity, cultural richness, language development potential, and ecological richness. Texts marked [ECO] carry a formal Eco-Reasoning designation and include at least one eco-integrated lesson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3526"/>
        <w:gridCol w:w="600"/>
      </w:tblGrid>
      <w:tr>
        <w:trPr>
          <w:tblHeader/>
        </w:trPr>
        <w:tc>
          <w:tcPr>
            <w:tcW w:type="dxa" w:w="3400"/>
            <w:tcBorders>
              <w:top w:val="single" w:color="D1D5DB" w:sz="4"/>
              <w:left w:val="single" w:color="D1D5DB" w:sz="4"/>
              <w:bottom w:val="single" w:color="D1D5DB" w:sz="4"/>
              <w:right w:val="single" w:color="D1D5DB" w:sz="4"/>
            </w:tcBorders>
            <w:shd w:fill="047857"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Title</w:t>
            </w:r>
          </w:p>
        </w:tc>
        <w:tc>
          <w:tcPr>
            <w:tcW w:type="dxa" w:w="1500"/>
            <w:tcBorders>
              <w:top w:val="single" w:color="D1D5DB" w:sz="4"/>
              <w:left w:val="single" w:color="D1D5DB" w:sz="4"/>
              <w:bottom w:val="single" w:color="D1D5DB" w:sz="4"/>
              <w:right w:val="single" w:color="D1D5DB" w:sz="4"/>
            </w:tcBorders>
            <w:shd w:fill="047857"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Author</w:t>
            </w:r>
          </w:p>
        </w:tc>
        <w:tc>
          <w:tcPr>
            <w:tcW w:type="dxa" w:w="3526"/>
            <w:tcBorders>
              <w:top w:val="single" w:color="D1D5DB" w:sz="4"/>
              <w:left w:val="single" w:color="D1D5DB" w:sz="4"/>
              <w:bottom w:val="single" w:color="D1D5DB" w:sz="4"/>
              <w:right w:val="single" w:color="D1D5DB" w:sz="4"/>
            </w:tcBorders>
            <w:shd w:fill="047857"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Central Moral Question / Theme</w:t>
            </w:r>
          </w:p>
        </w:tc>
        <w:tc>
          <w:tcPr>
            <w:tcW w:type="dxa" w:w="600"/>
            <w:tcBorders>
              <w:top w:val="single" w:color="D1D5DB" w:sz="4"/>
              <w:left w:val="single" w:color="D1D5DB" w:sz="4"/>
              <w:bottom w:val="single" w:color="D1D5DB" w:sz="4"/>
              <w:right w:val="single" w:color="D1D5DB" w:sz="4"/>
            </w:tcBorders>
            <w:shd w:fill="047857"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Eco</w:t>
            </w:r>
          </w:p>
        </w:tc>
      </w:tr>
      <w:tr>
        <w:tc>
          <w:tcPr>
            <w:tcW w:type="dxa" w:w="3400"/>
            <w:tcBorders>
              <w:top w:val="single" w:color="D1D5DB" w:sz="4"/>
              <w:left w:val="single" w:color="D1D5DB" w:sz="4"/>
              <w:bottom w:val="single" w:color="D1D5DB" w:sz="4"/>
              <w:right w:val="single" w:color="D1D5DB" w:sz="4"/>
            </w:tcBorders>
            <w:shd w:fill="ECFDF5"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To Kill a Mockingbird</w:t>
            </w:r>
          </w:p>
        </w:tc>
        <w:tc>
          <w:tcPr>
            <w:tcW w:type="dxa" w:w="1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Lee</w:t>
            </w:r>
          </w:p>
        </w:tc>
        <w:tc>
          <w:tcPr>
            <w:tcW w:type="dxa" w:w="35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Racial justice, moral courage, the law, and who bears the cost</w:t>
            </w:r>
          </w:p>
        </w:tc>
        <w:tc>
          <w:tcPr>
            <w:tcW w:type="dxa" w:w="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047857"/>
                <w:sz w:val="16"/>
                <w:szCs w:val="16"/>
              </w:rPr>
              <w:t xml:space="preserve"/>
            </w:r>
          </w:p>
        </w:tc>
      </w:tr>
      <w:tr>
        <w:tc>
          <w:tcPr>
            <w:tcW w:type="dxa" w:w="3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The House on Mango Street</w:t>
            </w:r>
          </w:p>
        </w:tc>
        <w:tc>
          <w:tcPr>
            <w:tcW w:type="dxa" w:w="15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Cisneros</w:t>
            </w:r>
          </w:p>
        </w:tc>
        <w:tc>
          <w:tcPr>
            <w:tcW w:type="dxa" w:w="35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Gender, voice, urban identity, aspiration, and structural inequality</w:t>
            </w:r>
          </w:p>
        </w:tc>
        <w:tc>
          <w:tcPr>
            <w:tcW w:type="dxa" w:w="6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bCs/>
                <w:color w:val="047857"/>
                <w:sz w:val="16"/>
                <w:szCs w:val="16"/>
              </w:rPr>
              <w:t xml:space="preserve"/>
            </w:r>
          </w:p>
        </w:tc>
      </w:tr>
      <w:tr>
        <w:tc>
          <w:tcPr>
            <w:tcW w:type="dxa" w:w="3400"/>
            <w:tcBorders>
              <w:top w:val="single" w:color="D1D5DB" w:sz="4"/>
              <w:left w:val="single" w:color="D1D5DB" w:sz="4"/>
              <w:bottom w:val="single" w:color="D1D5DB" w:sz="4"/>
              <w:right w:val="single" w:color="D1D5DB" w:sz="4"/>
            </w:tcBorders>
            <w:shd w:fill="ECFDF5"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Night</w:t>
            </w:r>
          </w:p>
        </w:tc>
        <w:tc>
          <w:tcPr>
            <w:tcW w:type="dxa" w:w="1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Wiesel</w:t>
            </w:r>
          </w:p>
        </w:tc>
        <w:tc>
          <w:tcPr>
            <w:tcW w:type="dxa" w:w="35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Trauma, memory, and the moral imperative to witness and testify</w:t>
            </w:r>
          </w:p>
        </w:tc>
        <w:tc>
          <w:tcPr>
            <w:tcW w:type="dxa" w:w="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047857"/>
                <w:sz w:val="16"/>
                <w:szCs w:val="16"/>
              </w:rPr>
              <w:t xml:space="preserve"/>
            </w:r>
          </w:p>
        </w:tc>
      </w:tr>
      <w:tr>
        <w:tc>
          <w:tcPr>
            <w:tcW w:type="dxa" w:w="3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Hatchet</w:t>
            </w:r>
          </w:p>
        </w:tc>
        <w:tc>
          <w:tcPr>
            <w:tcW w:type="dxa" w:w="15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Paulsen</w:t>
            </w:r>
          </w:p>
        </w:tc>
        <w:tc>
          <w:tcPr>
            <w:tcW w:type="dxa" w:w="35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Survival, self-reliance, and the demands of the natural world</w:t>
            </w:r>
          </w:p>
        </w:tc>
        <w:tc>
          <w:tcPr>
            <w:tcW w:type="dxa" w:w="6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bCs/>
                <w:color w:val="047857"/>
                <w:sz w:val="16"/>
                <w:szCs w:val="16"/>
              </w:rPr>
              <w:t xml:space="preserve">✦ ECO</w:t>
            </w:r>
          </w:p>
        </w:tc>
      </w:tr>
      <w:tr>
        <w:tc>
          <w:tcPr>
            <w:tcW w:type="dxa" w:w="3400"/>
            <w:tcBorders>
              <w:top w:val="single" w:color="D1D5DB" w:sz="4"/>
              <w:left w:val="single" w:color="D1D5DB" w:sz="4"/>
              <w:bottom w:val="single" w:color="D1D5DB" w:sz="4"/>
              <w:right w:val="single" w:color="D1D5DB" w:sz="4"/>
            </w:tcBorders>
            <w:shd w:fill="ECFDF5"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6 additional titles selected per WWL text criteria</w:t>
            </w:r>
          </w:p>
        </w:tc>
        <w:tc>
          <w:tcPr>
            <w:tcW w:type="dxa" w:w="1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t>
            </w:r>
          </w:p>
        </w:tc>
        <w:tc>
          <w:tcPr>
            <w:tcW w:type="dxa" w:w="35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Diverse cultural perspectives; ecological richness</w:t>
            </w:r>
          </w:p>
        </w:tc>
        <w:tc>
          <w:tcPr>
            <w:tcW w:type="dxa" w:w="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047857"/>
                <w:sz w:val="16"/>
                <w:szCs w:val="16"/>
              </w:rPr>
              <w:t xml:space="preserve"/>
            </w:r>
          </w:p>
        </w:tc>
      </w:tr>
    </w:tbl>
    <w:p>
      <w:pPr>
        <w:spacing w:after="0" w:before="80"/>
      </w:pPr>
      <w:r>
        <w:t xml:space="preserve"/>
      </w:r>
    </w:p>
    <w:p>
      <w:pPr>
        <w:spacing w:after="100" w:before="80"/>
        <w:jc w:val="left"/>
      </w:pPr>
      <w:r>
        <w:rPr>
          <w:rFonts w:ascii="Arial" w:cs="Arial" w:eastAsia="Arial" w:hAnsi="Arial"/>
          <w:b w:val="false"/>
          <w:bCs w:val="false"/>
          <w:i/>
          <w:iCs/>
          <w:caps w:val="false"/>
          <w:color w:val="4A5568"/>
          <w:sz w:val="19"/>
          <w:szCs w:val="19"/>
        </w:rPr>
        <w:t xml:space="preserve">Note: The complete 10-text roster — including the 6 additional titles — is finalised by the teacher in consultation with WWL text selection criteria and the cultural context of the school community. All selected texts meet the five-criterion standard.</w:t>
      </w:r>
    </w:p>
    <w:p>
      <w:pPr>
        <w:pBdr>
          <w:bottom w:val="single" w:color="047857" w:sz="4"/>
        </w:pBdr>
        <w:spacing w:after="200" w:before="200"/>
      </w:pPr>
      <w:r>
        <w:t xml:space="preserve"/>
      </w:r>
    </w:p>
    <w:p>
      <w:pPr>
        <w:pBdr>
          <w:bottom w:val="single" w:color="047857" w:sz="8"/>
        </w:pBdr>
        <w:spacing w:after="120" w:before="400"/>
      </w:pPr>
      <w:r>
        <w:rPr>
          <w:rFonts w:ascii="Arial" w:cs="Arial" w:eastAsia="Arial" w:hAnsi="Arial"/>
          <w:b/>
          <w:bCs/>
          <w:caps w:val="false"/>
          <w:color w:val="047857"/>
          <w:sz w:val="24"/>
          <w:szCs w:val="24"/>
        </w:rPr>
        <w:t xml:space="preserve">YOUR ACADEMIC YEAR — TERM BY TERM</w:t>
      </w:r>
    </w:p>
    <w:p>
      <w:pPr>
        <w:spacing w:after="100" w:before="80"/>
        <w:jc w:val="left"/>
      </w:pPr>
      <w:r>
        <w:rPr>
          <w:rFonts w:ascii="Arial" w:cs="Arial" w:eastAsia="Arial" w:hAnsi="Arial"/>
          <w:b w:val="false"/>
          <w:bCs w:val="false"/>
          <w:i w:val="false"/>
          <w:iCs w:val="false"/>
          <w:caps w:val="false"/>
          <w:color w:val="1A1A1A"/>
          <w:sz w:val="22"/>
          <w:szCs w:val="22"/>
        </w:rPr>
        <w:t xml:space="preserve">The 40-lesson year is organised into three terms. Each term deepens the application of the Jurassic Thinking Cycle™ and introduces new intellectual and ecological challenges.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026"/>
      </w:tblGrid>
      <w:tr>
        <w:trPr>
          <w:tblHeader/>
        </w:trPr>
        <w:tc>
          <w:tcPr>
            <w:tcW w:type="dxa" w:w="1400"/>
            <w:tcBorders>
              <w:top w:val="single" w:color="D1D5DB" w:sz="4"/>
              <w:left w:val="single" w:color="D1D5DB" w:sz="4"/>
              <w:bottom w:val="single" w:color="D1D5DB" w:sz="4"/>
              <w:right w:val="single" w:color="D1D5DB" w:sz="4"/>
            </w:tcBorders>
            <w:shd w:fill="047857"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Term</w:t>
            </w:r>
          </w:p>
        </w:tc>
        <w:tc>
          <w:tcPr>
            <w:tcW w:type="dxa" w:w="1600"/>
            <w:tcBorders>
              <w:top w:val="single" w:color="D1D5DB" w:sz="4"/>
              <w:left w:val="single" w:color="D1D5DB" w:sz="4"/>
              <w:bottom w:val="single" w:color="D1D5DB" w:sz="4"/>
              <w:right w:val="single" w:color="D1D5DB" w:sz="4"/>
            </w:tcBorders>
            <w:shd w:fill="047857"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Scope</w:t>
            </w:r>
          </w:p>
        </w:tc>
        <w:tc>
          <w:tcPr>
            <w:tcW w:type="dxa" w:w="6026"/>
            <w:tcBorders>
              <w:top w:val="single" w:color="D1D5DB" w:sz="4"/>
              <w:left w:val="single" w:color="D1D5DB" w:sz="4"/>
              <w:bottom w:val="single" w:color="D1D5DB" w:sz="4"/>
              <w:right w:val="single" w:color="D1D5DB" w:sz="4"/>
            </w:tcBorders>
            <w:shd w:fill="047857"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Focus and Key Activities</w:t>
            </w:r>
          </w:p>
        </w:tc>
      </w:tr>
      <w:tr>
        <w:tc>
          <w:tcPr>
            <w:tcW w:type="dxa" w:w="1400"/>
            <w:tcBorders>
              <w:top w:val="single" w:color="D1D5DB" w:sz="4"/>
              <w:left w:val="single" w:color="D1D5DB" w:sz="4"/>
              <w:bottom w:val="single" w:color="D1D5DB" w:sz="4"/>
              <w:right w:val="single" w:color="D1D5DB" w:sz="4"/>
            </w:tcBorders>
            <w:shd w:fill="ECFDF5"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Term 1</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Lessons 1–13
Units 1–3</w:t>
            </w:r>
          </w:p>
        </w:tc>
        <w:tc>
          <w:tcPr>
            <w:tcW w:type="dxa" w:w="60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Full novel analysis across sustained 4-lesson units. Contested interpretation: students identify and defend multiple defensible readings. Extended CEIW essay with counterargument and rebuttal. Eco strand begins: community as ecosystem — injustice as environmental degradation of the social fabric.</w:t>
            </w:r>
          </w:p>
        </w:tc>
      </w:tr>
      <w:tr>
        <w:tc>
          <w:tcPr>
            <w:tcW w:type="dxa" w:w="1400"/>
            <w:tcBorders>
              <w:top w:val="single" w:color="D1D5DB" w:sz="4"/>
              <w:left w:val="single" w:color="D1D5DB" w:sz="4"/>
              <w:bottom w:val="single" w:color="D1D5DB" w:sz="4"/>
              <w:right w:val="single" w:color="D1D5DB" w:sz="4"/>
            </w:tcBorders>
            <w:shd w:fill="ECFDF5"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Term 2</w:t>
            </w:r>
          </w:p>
        </w:tc>
        <w:tc>
          <w:tcPr>
            <w:tcW w:type="dxa" w:w="16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Lessons 14–27
Units 4–7</w:t>
            </w:r>
          </w:p>
        </w:tc>
        <w:tc>
          <w:tcPr>
            <w:tcW w:type="dxa" w:w="60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Formal debate structure — two sides, textual evidence, academic language. Temporal Extension eco-reasoning: 'What will this place look like in 100 years if this decision stands?' Indigenous Perspective dialogue introduced formally. Climate justice framed as a moral philosophy problem, not merely a scientific one.</w:t>
            </w:r>
          </w:p>
        </w:tc>
      </w:tr>
      <w:tr>
        <w:tc>
          <w:tcPr>
            <w:tcW w:type="dxa" w:w="1400"/>
            <w:tcBorders>
              <w:top w:val="single" w:color="D1D5DB" w:sz="4"/>
              <w:left w:val="single" w:color="D1D5DB" w:sz="4"/>
              <w:bottom w:val="single" w:color="D1D5DB" w:sz="4"/>
              <w:right w:val="single" w:color="D1D5DB" w:sz="4"/>
            </w:tcBorders>
            <w:shd w:fill="ECFDF5"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Term 3</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Lessons 28–40
Units 8–10</w:t>
            </w:r>
          </w:p>
        </w:tc>
        <w:tc>
          <w:tcPr>
            <w:tcW w:type="dxa" w:w="60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Multi-text synthesis essay: 'How do two novels illuminate the same ethical question from different angles?' Portfolio growth narrative: 'My reasoning journey this year.' CEFR B2 readiness review. Preparation for Level 5 academic demands and international examination contexts.</w:t>
            </w:r>
          </w:p>
        </w:tc>
      </w:tr>
    </w:tbl>
    <w:p>
      <w:pPr>
        <w:pBdr>
          <w:bottom w:val="single" w:color="047857" w:sz="4"/>
        </w:pBdr>
        <w:spacing w:after="200" w:before="200"/>
      </w:pPr>
      <w:r>
        <w:t xml:space="preserve"/>
      </w:r>
    </w:p>
    <w:p>
      <w:pPr>
        <w:pBdr>
          <w:bottom w:val="single" w:color="047857" w:sz="8"/>
        </w:pBdr>
        <w:spacing w:after="120" w:before="400"/>
      </w:pPr>
      <w:r>
        <w:rPr>
          <w:rFonts w:ascii="Arial" w:cs="Arial" w:eastAsia="Arial" w:hAnsi="Arial"/>
          <w:b/>
          <w:bCs/>
          <w:caps w:val="false"/>
          <w:color w:val="047857"/>
          <w:sz w:val="24"/>
          <w:szCs w:val="24"/>
        </w:rPr>
        <w:t xml:space="preserve">HOW WE MEASURE PROGRESS</w:t>
      </w:r>
    </w:p>
    <w:p>
      <w:pPr>
        <w:spacing w:after="100" w:before="80"/>
        <w:jc w:val="left"/>
      </w:pPr>
      <w:r>
        <w:rPr>
          <w:rFonts w:ascii="Arial" w:cs="Arial" w:eastAsia="Arial" w:hAnsi="Arial"/>
          <w:b w:val="false"/>
          <w:bCs w:val="false"/>
          <w:i w:val="false"/>
          <w:iCs w:val="false"/>
          <w:caps w:val="false"/>
          <w:color w:val="1A1A1A"/>
          <w:sz w:val="22"/>
          <w:szCs w:val="22"/>
        </w:rPr>
        <w:t xml:space="preserve">Assessment in Jurassic English™ focuses on the quality of reasoning — not just the presence of a quotation. A student who cites evidence but cannot explain its connection to their claim has not yet demonstrated proficient reasoning. The rubric and assessment tools are shared with students before instruction begins.</w:t>
      </w:r>
    </w:p>
    <w:p>
      <w:pPr>
        <w:spacing w:after="120" w:before="320"/>
      </w:pPr>
      <w:r>
        <w:rPr>
          <w:rFonts w:ascii="Arial" w:cs="Arial" w:eastAsia="Arial" w:hAnsi="Arial"/>
          <w:b/>
          <w:bCs/>
          <w:color w:val="047857"/>
          <w:sz w:val="26"/>
          <w:szCs w:val="26"/>
        </w:rPr>
        <w:t xml:space="preserve">Assessment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D1D5DB" w:sz="4"/>
              <w:left w:val="single" w:color="D1D5DB" w:sz="4"/>
              <w:bottom w:val="single" w:color="D1D5DB" w:sz="4"/>
              <w:right w:val="single" w:color="D1D5DB" w:sz="4"/>
            </w:tcBorders>
            <w:shd w:fill="047857"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Assessment Method</w:t>
            </w:r>
          </w:p>
        </w:tc>
        <w:tc>
          <w:tcPr>
            <w:tcW w:type="dxa" w:w="1800"/>
            <w:tcBorders>
              <w:top w:val="single" w:color="D1D5DB" w:sz="4"/>
              <w:left w:val="single" w:color="D1D5DB" w:sz="4"/>
              <w:bottom w:val="single" w:color="D1D5DB" w:sz="4"/>
              <w:right w:val="single" w:color="D1D5DB" w:sz="4"/>
            </w:tcBorders>
            <w:shd w:fill="047857"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Frequency</w:t>
            </w:r>
          </w:p>
        </w:tc>
        <w:tc>
          <w:tcPr>
            <w:tcW w:type="dxa" w:w="4826"/>
            <w:tcBorders>
              <w:top w:val="single" w:color="D1D5DB" w:sz="4"/>
              <w:left w:val="single" w:color="D1D5DB" w:sz="4"/>
              <w:bottom w:val="single" w:color="D1D5DB" w:sz="4"/>
              <w:right w:val="single" w:color="D1D5DB" w:sz="4"/>
            </w:tcBorders>
            <w:shd w:fill="047857"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Purpose</w:t>
            </w:r>
          </w:p>
        </w:tc>
      </w:tr>
      <w:tr>
        <w:tc>
          <w:tcPr>
            <w:tcW w:type="dxa" w:w="2400"/>
            <w:tcBorders>
              <w:top w:val="single" w:color="D1D5DB" w:sz="4"/>
              <w:left w:val="single" w:color="D1D5DB" w:sz="4"/>
              <w:bottom w:val="single" w:color="D1D5DB" w:sz="4"/>
              <w:right w:val="single" w:color="D1D5DB" w:sz="4"/>
            </w:tcBorders>
            <w:shd w:fill="ECFDF5"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Lesson observation</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Every lesson</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Teacher assesses multi-perspectival reasoning. Pressing and eco-pressing dialogue moves deepen analysis beyond initial positions.</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Formal debate</w:t>
            </w:r>
          </w:p>
        </w:tc>
        <w:tc>
          <w:tcPr>
            <w:tcW w:type="dxa" w:w="18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Per term</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Structured debate with academic language requirements. Assessed on: evidence strength, counterargument quality, and ecological extension where applicable.</w:t>
            </w:r>
          </w:p>
        </w:tc>
      </w:tr>
      <w:tr>
        <w:tc>
          <w:tcPr>
            <w:tcW w:type="dxa" w:w="2400"/>
            <w:tcBorders>
              <w:top w:val="single" w:color="D1D5DB" w:sz="4"/>
              <w:left w:val="single" w:color="D1D5DB" w:sz="4"/>
              <w:bottom w:val="single" w:color="D1D5DB" w:sz="4"/>
              <w:right w:val="single" w:color="D1D5DB" w:sz="4"/>
            </w:tcBorders>
            <w:shd w:fill="ECFDF5"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Multi-paragraph essay</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Per unit</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CEIW structure with counterargument and rebuttal. Feedback within 24 hours. Developing writers receive essay frame with open prompts.</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Eco-reasoning portfolio</w:t>
            </w:r>
          </w:p>
        </w:tc>
        <w:tc>
          <w:tcPr>
            <w:tcW w:type="dxa" w:w="18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Per eco unit</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Temporal Extension or Indigenous Perspective reflection. Teacher assesses philosophical depth and genuine ecological engagement.</w:t>
            </w:r>
          </w:p>
        </w:tc>
      </w:tr>
      <w:tr>
        <w:tc>
          <w:tcPr>
            <w:tcW w:type="dxa" w:w="2400"/>
            <w:tcBorders>
              <w:top w:val="single" w:color="D1D5DB" w:sz="4"/>
              <w:left w:val="single" w:color="D1D5DB" w:sz="4"/>
              <w:bottom w:val="single" w:color="D1D5DB" w:sz="4"/>
              <w:right w:val="single" w:color="D1D5DB" w:sz="4"/>
            </w:tcBorders>
            <w:shd w:fill="ECFDF5"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Portfolio</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Per unit (x10)</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Best essay excerpt + eco-reasoning reflection per unit. Year-end growth narrative: 'My reasoning journey this year.'</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CEFR self-assessment</w:t>
            </w:r>
          </w:p>
        </w:tc>
        <w:tc>
          <w:tcPr>
            <w:tcW w:type="dxa" w:w="18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Each term</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 marks B1 / B2 descriptor grid. B2 — the Plateau — is the most demanding CEFR transition and may take 1.5–2 years of sustained effort.</w:t>
            </w:r>
          </w:p>
        </w:tc>
      </w:tr>
    </w:tbl>
    <w:p>
      <w:pPr>
        <w:spacing w:after="0" w:before="120"/>
      </w:pPr>
      <w:r>
        <w:t xml:space="preserve"/>
      </w:r>
    </w:p>
    <w:p>
      <w:pPr>
        <w:spacing w:after="120" w:before="320"/>
      </w:pPr>
      <w:r>
        <w:rPr>
          <w:rFonts w:ascii="Arial" w:cs="Arial" w:eastAsia="Arial" w:hAnsi="Arial"/>
          <w:b/>
          <w:bCs/>
          <w:color w:val="047857"/>
          <w:sz w:val="26"/>
          <w:szCs w:val="26"/>
        </w:rPr>
        <w:t xml:space="preserve">The Four-Level Reasoning Rubric</w:t>
      </w:r>
    </w:p>
    <w:p>
      <w:pPr>
        <w:spacing w:after="100" w:before="80"/>
        <w:jc w:val="left"/>
      </w:pPr>
      <w:r>
        <w:rPr>
          <w:rFonts w:ascii="Arial" w:cs="Arial" w:eastAsia="Arial" w:hAnsi="Arial"/>
          <w:b w:val="false"/>
          <w:bCs w:val="false"/>
          <w:i w:val="false"/>
          <w:iCs w:val="false"/>
          <w:caps w:val="false"/>
          <w:color w:val="1A1A1A"/>
          <w:sz w:val="22"/>
          <w:szCs w:val="22"/>
        </w:rPr>
        <w:t xml:space="preserve">All written justification tasks are assessed using the WWL Four-Level Reasoning Rubric. This rubric is shared with students before they write — not after. Students are taught to self-assess their own reasoning.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663"/>
        <w:gridCol w:w="2463"/>
      </w:tblGrid>
      <w:tr>
        <w:trPr>
          <w:tblHeader/>
        </w:trPr>
        <w:tc>
          <w:tcPr>
            <w:tcW w:type="dxa" w:w="1400"/>
            <w:tcBorders>
              <w:top w:val="single" w:color="D1D5DB" w:sz="4"/>
              <w:left w:val="single" w:color="D1D5DB" w:sz="4"/>
              <w:bottom w:val="single" w:color="D1D5DB" w:sz="4"/>
              <w:right w:val="single" w:color="D1D5DB" w:sz="4"/>
            </w:tcBorders>
            <w:shd w:fill="047857"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Level</w:t>
            </w:r>
          </w:p>
        </w:tc>
        <w:tc>
          <w:tcPr>
            <w:tcW w:type="dxa" w:w="2500"/>
            <w:tcBorders>
              <w:top w:val="single" w:color="D1D5DB" w:sz="4"/>
              <w:left w:val="single" w:color="D1D5DB" w:sz="4"/>
              <w:bottom w:val="single" w:color="D1D5DB" w:sz="4"/>
              <w:right w:val="single" w:color="D1D5DB" w:sz="4"/>
            </w:tcBorders>
            <w:shd w:fill="047857"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Descriptor</w:t>
            </w:r>
          </w:p>
        </w:tc>
        <w:tc>
          <w:tcPr>
            <w:tcW w:type="dxa" w:w="2663"/>
            <w:tcBorders>
              <w:top w:val="single" w:color="D1D5DB" w:sz="4"/>
              <w:left w:val="single" w:color="D1D5DB" w:sz="4"/>
              <w:bottom w:val="single" w:color="D1D5DB" w:sz="4"/>
              <w:right w:val="single" w:color="D1D5DB" w:sz="4"/>
            </w:tcBorders>
            <w:shd w:fill="047857"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Justification Quality</w:t>
            </w:r>
          </w:p>
        </w:tc>
        <w:tc>
          <w:tcPr>
            <w:tcW w:type="dxa" w:w="2463"/>
            <w:tcBorders>
              <w:top w:val="single" w:color="D1D5DB" w:sz="4"/>
              <w:left w:val="single" w:color="D1D5DB" w:sz="4"/>
              <w:bottom w:val="single" w:color="D1D5DB" w:sz="4"/>
              <w:right w:val="single" w:color="D1D5DB" w:sz="4"/>
            </w:tcBorders>
            <w:shd w:fill="047857"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Evidence Use</w:t>
            </w:r>
          </w:p>
        </w:tc>
      </w:tr>
      <w:tr>
        <w:tc>
          <w:tcPr>
            <w:tcW w:type="dxa" w:w="1400"/>
            <w:tcBorders>
              <w:top w:val="single" w:color="D1D5DB" w:sz="4"/>
              <w:left w:val="single" w:color="D1D5DB" w:sz="4"/>
              <w:bottom w:val="single" w:color="D1D5DB" w:sz="4"/>
              <w:right w:val="single" w:color="D1D5DB" w:sz="4"/>
            </w:tcBorders>
            <w:shd w:fill="ECFDF5"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1 — Emerging</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States a position without support</w:t>
            </w:r>
          </w:p>
        </w:tc>
        <w:tc>
          <w:tcPr>
            <w:tcW w:type="dxa" w:w="2663"/>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Opinion only — no warrant</w:t>
            </w:r>
          </w:p>
        </w:tc>
        <w:tc>
          <w:tcPr>
            <w:tcW w:type="dxa" w:w="2463"/>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No textual evidence cited</w:t>
            </w:r>
          </w:p>
        </w:tc>
      </w:tr>
      <w:tr>
        <w:tc>
          <w:tcPr>
            <w:tcW w:type="dxa" w:w="1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2 — Developing</w:t>
            </w:r>
          </w:p>
        </w:tc>
        <w:tc>
          <w:tcPr>
            <w:tcW w:type="dxa" w:w="25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Cites evidence without clear connection</w:t>
            </w:r>
          </w:p>
        </w:tc>
        <w:tc>
          <w:tcPr>
            <w:tcW w:type="dxa" w:w="2663"/>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Evidence present; warrant absent or unclear</w:t>
            </w:r>
          </w:p>
        </w:tc>
        <w:tc>
          <w:tcPr>
            <w:tcW w:type="dxa" w:w="2463"/>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Evidence cited but not linked to claim</w:t>
            </w:r>
          </w:p>
        </w:tc>
      </w:tr>
      <w:tr>
        <w:tc>
          <w:tcPr>
            <w:tcW w:type="dxa" w:w="1400"/>
            <w:tcBorders>
              <w:top w:val="single" w:color="D1D5DB" w:sz="4"/>
              <w:left w:val="single" w:color="D1D5DB" w:sz="4"/>
              <w:bottom w:val="single" w:color="D1D5DB" w:sz="4"/>
              <w:right w:val="single" w:color="D1D5DB" w:sz="4"/>
            </w:tcBorders>
            <w:shd w:fill="ECFDF5"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3 — Proficient</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Links evidence to claim with clear reasoning</w:t>
            </w:r>
          </w:p>
        </w:tc>
        <w:tc>
          <w:tcPr>
            <w:tcW w:type="dxa" w:w="2663"/>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Claim + Evidence + Warrant all present</w:t>
            </w:r>
          </w:p>
        </w:tc>
        <w:tc>
          <w:tcPr>
            <w:tcW w:type="dxa" w:w="2463"/>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Evidence selected purposefully; connection explained</w:t>
            </w:r>
          </w:p>
        </w:tc>
      </w:tr>
      <w:tr>
        <w:tc>
          <w:tcPr>
            <w:tcW w:type="dxa" w:w="1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4 — Advanced</w:t>
            </w:r>
          </w:p>
        </w:tc>
        <w:tc>
          <w:tcPr>
            <w:tcW w:type="dxa" w:w="25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Anticipates counterarguments; extends to broader implications</w:t>
            </w:r>
          </w:p>
        </w:tc>
        <w:tc>
          <w:tcPr>
            <w:tcW w:type="dxa" w:w="2663"/>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Full CEIW; considers alternative perspectives</w:t>
            </w:r>
          </w:p>
        </w:tc>
        <w:tc>
          <w:tcPr>
            <w:tcW w:type="dxa" w:w="2463"/>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Multiple evidence points; evaluates strength of evidence</w:t>
            </w:r>
          </w:p>
        </w:tc>
      </w:tr>
    </w:tbl>
    <w:p>
      <w:pPr>
        <w:pBdr>
          <w:bottom w:val="single" w:color="047857" w:sz="4"/>
        </w:pBdr>
        <w:spacing w:after="200" w:before="200"/>
      </w:pPr>
      <w:r>
        <w:t xml:space="preserve"/>
      </w:r>
    </w:p>
    <w:p>
      <w:pPr>
        <w:pBdr>
          <w:bottom w:val="single" w:color="047857" w:sz="8"/>
        </w:pBdr>
        <w:spacing w:after="120" w:before="400"/>
      </w:pPr>
      <w:r>
        <w:rPr>
          <w:rFonts w:ascii="Arial" w:cs="Arial" w:eastAsia="Arial" w:hAnsi="Arial"/>
          <w:b/>
          <w:bCs/>
          <w:caps w:val="false"/>
          <w:color w:val="047857"/>
          <w:sz w:val="24"/>
          <w:szCs w:val="24"/>
        </w:rPr>
        <w:t xml:space="preserve">SUPPORTING LEARNING AT HOME</w:t>
      </w:r>
    </w:p>
    <w:p>
      <w:pPr>
        <w:spacing w:after="100" w:before="80"/>
        <w:jc w:val="left"/>
      </w:pPr>
      <w:r>
        <w:rPr>
          <w:rFonts w:ascii="Arial" w:cs="Arial" w:eastAsia="Arial" w:hAnsi="Arial"/>
          <w:b w:val="false"/>
          <w:bCs w:val="false"/>
          <w:i w:val="false"/>
          <w:iCs w:val="false"/>
          <w:caps w:val="false"/>
          <w:color w:val="1A1A1A"/>
          <w:sz w:val="22"/>
          <w:szCs w:val="22"/>
        </w:rPr>
        <w:t xml:space="preserve">Jurassic English™ is most effective when the reasoning conversation continues at home. You do not need to be an English teacher — you simply need to ask genuine questions and listen with curiosity to your child's answers.</w:t>
      </w:r>
    </w:p>
    <w:p>
      <w:pPr>
        <w:pStyle w:val="ListParagraph"/>
        <w:numPr>
          <w:ilvl w:val="0"/>
          <w:numId w:val="2"/>
        </w:numPr>
        <w:spacing w:after="60" w:before="60"/>
      </w:pPr>
      <w:r>
        <w:rPr>
          <w:rFonts w:ascii="Arial" w:cs="Arial" w:eastAsia="Arial" w:hAnsi="Arial"/>
          <w:color w:val="1A1A1A"/>
          <w:sz w:val="21"/>
          <w:szCs w:val="21"/>
        </w:rPr>
        <w:t xml:space="preserve">Engage your child as an intellectual equal — share your own views on justice, memory, and environmental responsibility, and be genuinely willing to be challenged.</w:t>
      </w:r>
    </w:p>
    <w:p>
      <w:pPr>
        <w:pStyle w:val="ListParagraph"/>
        <w:numPr>
          <w:ilvl w:val="0"/>
          <w:numId w:val="2"/>
        </w:numPr>
        <w:spacing w:after="60" w:before="60"/>
      </w:pPr>
      <w:r>
        <w:rPr>
          <w:rFonts w:ascii="Arial" w:cs="Arial" w:eastAsia="Arial" w:hAnsi="Arial"/>
          <w:color w:val="1A1A1A"/>
          <w:sz w:val="21"/>
          <w:szCs w:val="21"/>
        </w:rPr>
        <w:t xml:space="preserve">Discuss current events together and ask: 'How does this connect to the novel we just finished?' — making intertextual connections is Level 4 thinking.</w:t>
      </w:r>
    </w:p>
    <w:p>
      <w:pPr>
        <w:pStyle w:val="ListParagraph"/>
        <w:numPr>
          <w:ilvl w:val="0"/>
          <w:numId w:val="2"/>
        </w:numPr>
        <w:spacing w:after="60" w:before="60"/>
      </w:pPr>
      <w:r>
        <w:rPr>
          <w:rFonts w:ascii="Arial" w:cs="Arial" w:eastAsia="Arial" w:hAnsi="Arial"/>
          <w:color w:val="1A1A1A"/>
          <w:sz w:val="21"/>
          <w:szCs w:val="21"/>
        </w:rPr>
        <w:t xml:space="preserve">Encourage your child to identify the counterargument in any position they take: 'What would someone who disagrees say, and how would you respond?'</w:t>
      </w:r>
    </w:p>
    <w:p>
      <w:pPr>
        <w:pStyle w:val="ListParagraph"/>
        <w:numPr>
          <w:ilvl w:val="0"/>
          <w:numId w:val="2"/>
        </w:numPr>
        <w:spacing w:after="60" w:before="60"/>
      </w:pPr>
      <w:r>
        <w:rPr>
          <w:rFonts w:ascii="Arial" w:cs="Arial" w:eastAsia="Arial" w:hAnsi="Arial"/>
          <w:color w:val="1A1A1A"/>
          <w:sz w:val="21"/>
          <w:szCs w:val="21"/>
        </w:rPr>
        <w:t xml:space="preserve">Support the eco-reasoning strand at home: discuss climate news, indigenous land rights cases, and local environmental stewardship projects.</w:t>
      </w:r>
    </w:p>
    <w:p>
      <w:pPr>
        <w:pStyle w:val="ListParagraph"/>
        <w:numPr>
          <w:ilvl w:val="0"/>
          <w:numId w:val="2"/>
        </w:numPr>
        <w:spacing w:after="60" w:before="60"/>
      </w:pPr>
      <w:r>
        <w:rPr>
          <w:rFonts w:ascii="Arial" w:cs="Arial" w:eastAsia="Arial" w:hAnsi="Arial"/>
          <w:color w:val="1A1A1A"/>
          <w:sz w:val="21"/>
          <w:szCs w:val="21"/>
        </w:rPr>
        <w:t xml:space="preserve">Ask your child to explain the Temporal Extension question from their last lesson. Thinking 100 years forward is a transferable skill for any decision-making context.</w:t>
      </w:r>
    </w:p>
    <w:p>
      <w:pPr>
        <w:pStyle w:val="ListParagraph"/>
        <w:numPr>
          <w:ilvl w:val="0"/>
          <w:numId w:val="2"/>
        </w:numPr>
        <w:spacing w:after="60" w:before="60"/>
      </w:pPr>
      <w:r>
        <w:rPr>
          <w:rFonts w:ascii="Arial" w:cs="Arial" w:eastAsia="Arial" w:hAnsi="Arial"/>
          <w:color w:val="1A1A1A"/>
          <w:sz w:val="21"/>
          <w:szCs w:val="21"/>
        </w:rPr>
        <w:t xml:space="preserve">Review the WWL Four-Level Reasoning Rubric with your child — they should be able to honestly place their own writing on it, identifying their next growth target.</w:t>
      </w:r>
    </w:p>
    <w:p>
      <w:pPr>
        <w:pBdr>
          <w:bottom w:val="single" w:color="047857" w:sz="4"/>
        </w:pBdr>
        <w:spacing w:after="200" w:before="200"/>
      </w:pPr>
      <w:r>
        <w:t xml:space="preserve"/>
      </w:r>
    </w:p>
    <w:p>
      <w:pPr>
        <w:pBdr>
          <w:bottom w:val="single" w:color="047857" w:sz="8"/>
        </w:pBdr>
        <w:spacing w:after="120" w:before="400"/>
      </w:pPr>
      <w:r>
        <w:rPr>
          <w:rFonts w:ascii="Arial" w:cs="Arial" w:eastAsia="Arial" w:hAnsi="Arial"/>
          <w:b/>
          <w:bCs/>
          <w:caps w:val="false"/>
          <w:color w:val="047857"/>
          <w:sz w:val="24"/>
          <w:szCs w:val="24"/>
        </w:rPr>
        <w:t xml:space="preserve">THE ECO-LEARNING THREAD — LEVEL 4</w:t>
      </w:r>
    </w:p>
    <w:p>
      <w:pPr>
        <w:spacing w:after="100" w:before="80"/>
        <w:jc w:val="left"/>
      </w:pPr>
      <w:r>
        <w:rPr>
          <w:rFonts w:ascii="Arial" w:cs="Arial" w:eastAsia="Arial" w:hAnsi="Arial"/>
          <w:b w:val="false"/>
          <w:bCs w:val="false"/>
          <w:i w:val="false"/>
          <w:iCs w:val="false"/>
          <w:caps w:val="false"/>
          <w:color w:val="1A1A1A"/>
          <w:sz w:val="22"/>
          <w:szCs w:val="22"/>
        </w:rPr>
        <w:t xml:space="preserve">Level 4 integrates the most demanding eco-reasoning strand in the lower curriculum. Climate justice is framed as a moral philosophy problem — not merely a scientific or political one. Indigenous knowledge systems are introduced as legitimate and rigorous ecological frameworks. The Temporal Extension dialogue — 'What will this place look like in 100 years?' — is a formal requirement of at least two Level 4 eco-integrated lessons. Students develop a stewardship ethics they can articulate and defend with textual and real-world evidence.</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47857" w:sz="8"/>
              <w:left w:val="single" w:color="047857" w:sz="8"/>
              <w:bottom w:val="single" w:color="047857" w:sz="8"/>
              <w:right w:val="single" w:color="047857" w:sz="8"/>
            </w:tcBorders>
            <w:shd w:fill="ECFDF5" w:val="clear"/>
            <w:tcMar>
              <w:top w:type="dxa" w:w="100"/>
              <w:left w:type="dxa" w:w="150"/>
              <w:bottom w:type="dxa" w:w="100"/>
              <w:right w:type="dxa" w:w="150"/>
            </w:tcMar>
            <w:vAlign w:val="center"/>
          </w:tcPr>
          <w:p>
            <w:pPr>
              <w:spacing w:after="60" w:before="60"/>
            </w:pPr>
            <w:r>
              <w:rPr>
                <w:rFonts w:ascii="Arial" w:cs="Arial" w:eastAsia="Arial" w:hAnsi="Arial"/>
                <w:b/>
                <w:bCs/>
                <w:color w:val="047857"/>
                <w:sz w:val="21"/>
                <w:szCs w:val="21"/>
              </w:rPr>
              <w:t xml:space="preserve">Eco-Reasoning Strand at This Level:  </w:t>
            </w:r>
            <w:r>
              <w:rPr>
                <w:rFonts w:ascii="Arial" w:cs="Arial" w:eastAsia="Arial" w:hAnsi="Arial"/>
                <w:color w:val="1A1A1A"/>
                <w:sz w:val="21"/>
                <w:szCs w:val="21"/>
              </w:rPr>
              <w:t xml:space="preserve">Climate justice, indigenous knowledge, and stewardship ethics</w:t>
            </w:r>
          </w:p>
        </w:tc>
      </w:tr>
    </w:tbl>
    <w:p>
      <w:pPr>
        <w:pBdr>
          <w:bottom w:val="single" w:color="047857" w:sz="4"/>
        </w:pBdr>
        <w:spacing w:after="200" w:before="200"/>
      </w:pPr>
      <w:r>
        <w:t xml:space="preserve"/>
      </w:r>
    </w:p>
    <w:p>
      <w:pPr>
        <w:pBdr>
          <w:bottom w:val="single" w:color="047857" w:sz="8"/>
        </w:pBdr>
        <w:spacing w:after="120" w:before="400"/>
      </w:pPr>
      <w:r>
        <w:rPr>
          <w:rFonts w:ascii="Arial" w:cs="Arial" w:eastAsia="Arial" w:hAnsi="Arial"/>
          <w:b/>
          <w:bCs/>
          <w:caps w:val="false"/>
          <w:color w:val="047857"/>
          <w:sz w:val="24"/>
          <w:szCs w:val="24"/>
        </w:rPr>
        <w:t xml:space="preserve">WHERE THIS LEVEL LEADS</w:t>
      </w:r>
    </w:p>
    <w:p>
      <w:pPr>
        <w:spacing w:after="100" w:before="80"/>
        <w:jc w:val="left"/>
      </w:pPr>
      <w:r>
        <w:rPr>
          <w:rFonts w:ascii="Arial" w:cs="Arial" w:eastAsia="Arial" w:hAnsi="Arial"/>
          <w:b w:val="false"/>
          <w:bCs w:val="false"/>
          <w:i w:val="false"/>
          <w:iCs w:val="false"/>
          <w:caps w:val="false"/>
          <w:color w:val="1A1A1A"/>
          <w:sz w:val="22"/>
          <w:szCs w:val="22"/>
        </w:rPr>
        <w:t xml:space="preserve">Students ready for Level 5 demonstrate advanced multi-paragraph analytical writing with counterargument and synthesis, can engage intertextual comparison across two or more novels, and apply eco-reasoning — including Indigenous Perspective and Temporal Extension — independently. CEFR B2 readiness is confirmed through portfolio moderation, teacher assessment, and CEFR self-assessment. The transition to Level 5 marks entry into full academic language proficiency.</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1D5DB" w:sz="4"/>
              <w:left w:val="single" w:color="D1D5DB" w:sz="4"/>
              <w:bottom w:val="single" w:color="D1D5DB" w:sz="4"/>
              <w:right w:val="single" w:color="D1D5DB" w:sz="4"/>
            </w:tcBorders>
            <w:shd w:fill="F9FAFB" w:val="clear"/>
            <w:tcMar>
              <w:top w:type="dxa" w:w="100"/>
              <w:left w:type="dxa" w:w="150"/>
              <w:bottom w:type="dxa" w:w="100"/>
              <w:right w:type="dxa" w:w="150"/>
            </w:tcMar>
            <w:vAlign w:val="center"/>
          </w:tcPr>
          <w:p>
            <w:pPr>
              <w:spacing w:after="40" w:before="40"/>
            </w:pPr>
            <w:r>
              <w:rPr>
                <w:rFonts w:ascii="Arial" w:cs="Arial" w:eastAsia="Arial" w:hAnsi="Arial"/>
                <w:b/>
                <w:bCs/>
                <w:color w:val="4A5568"/>
                <w:sz w:val="20"/>
                <w:szCs w:val="20"/>
              </w:rPr>
              <w:t xml:space="preserve">Coming from:</w:t>
            </w:r>
          </w:p>
          <w:p>
            <w:pPr>
              <w:spacing w:after="40" w:before="0"/>
            </w:pPr>
            <w:r>
              <w:rPr>
                <w:rFonts w:ascii="Arial" w:cs="Arial" w:eastAsia="Arial" w:hAnsi="Arial"/>
                <w:b w:val="false"/>
                <w:bCs w:val="false"/>
                <w:color w:val="1A1A1A"/>
                <w:sz w:val="21"/>
                <w:szCs w:val="21"/>
              </w:rPr>
              <w:t xml:space="preserve">Programme entry point</w:t>
            </w:r>
          </w:p>
        </w:tc>
        <w:tc>
          <w:tcPr>
            <w:tcW w:type="dxa" w:w="4513"/>
            <w:tcBorders>
              <w:top w:val="single" w:color="D1D5DB" w:sz="4"/>
              <w:left w:val="single" w:color="D1D5DB" w:sz="4"/>
              <w:bottom w:val="single" w:color="D1D5DB" w:sz="4"/>
              <w:right w:val="single" w:color="D1D5DB" w:sz="4"/>
            </w:tcBorders>
            <w:shd w:fill="ECFDF5" w:val="clear"/>
            <w:tcMar>
              <w:top w:type="dxa" w:w="100"/>
              <w:left w:type="dxa" w:w="150"/>
              <w:bottom w:type="dxa" w:w="100"/>
              <w:right w:type="dxa" w:w="150"/>
            </w:tcMar>
            <w:vAlign w:val="center"/>
          </w:tcPr>
          <w:p>
            <w:pPr>
              <w:spacing w:after="40" w:before="40"/>
            </w:pPr>
            <w:r>
              <w:rPr>
                <w:rFonts w:ascii="Arial" w:cs="Arial" w:eastAsia="Arial" w:hAnsi="Arial"/>
                <w:b/>
                <w:bCs/>
                <w:color w:val="047857"/>
                <w:sz w:val="20"/>
                <w:szCs w:val="20"/>
              </w:rPr>
              <w:t xml:space="preserve">Leading to:</w:t>
            </w:r>
          </w:p>
          <w:p>
            <w:pPr>
              <w:spacing w:after="40" w:before="0"/>
            </w:pPr>
            <w:r>
              <w:rPr>
                <w:rFonts w:ascii="Arial" w:cs="Arial" w:eastAsia="Arial" w:hAnsi="Arial"/>
                <w:b/>
                <w:bCs/>
                <w:color w:val="047857"/>
                <w:sz w:val="21"/>
                <w:szCs w:val="21"/>
              </w:rPr>
              <w:t xml:space="preserve">Level 5: Advanced</w:t>
            </w:r>
          </w:p>
        </w:tc>
      </w:tr>
    </w:tbl>
    <w:p>
      <w:pPr>
        <w:pBdr>
          <w:bottom w:val="single" w:color="047857" w:sz="4"/>
        </w:pBdr>
        <w:spacing w:after="200" w:before="200"/>
      </w:pPr>
      <w:r>
        <w:t xml:space="preserve"/>
      </w:r>
    </w:p>
    <w:p>
      <w:pPr>
        <w:pBdr>
          <w:bottom w:val="single" w:color="047857" w:sz="8"/>
        </w:pBdr>
        <w:spacing w:after="120" w:before="400"/>
      </w:pPr>
      <w:r>
        <w:rPr>
          <w:rFonts w:ascii="Arial" w:cs="Arial" w:eastAsia="Arial" w:hAnsi="Arial"/>
          <w:b/>
          <w:bCs/>
          <w:caps w:val="false"/>
          <w:color w:val="047857"/>
          <w:sz w:val="24"/>
          <w:szCs w:val="24"/>
        </w:rPr>
        <w:t xml:space="preserve">ABOUT WORLD WISE LEARNING</w:t>
      </w:r>
    </w:p>
    <w:p>
      <w:pPr>
        <w:spacing w:after="100" w:before="80"/>
        <w:jc w:val="left"/>
      </w:pPr>
      <w:r>
        <w:rPr>
          <w:rFonts w:ascii="Arial" w:cs="Arial" w:eastAsia="Arial" w:hAnsi="Arial"/>
          <w:b w:val="false"/>
          <w:bCs w:val="false"/>
          <w:i w:val="false"/>
          <w:iCs w:val="false"/>
          <w:caps w:val="false"/>
          <w:color w:val="1A1A1A"/>
          <w:sz w:val="22"/>
          <w:szCs w:val="22"/>
        </w:rPr>
        <w:t xml:space="preserve">World Wise Learning (WWL) is an international curriculum development and teacher training organisation committed to producing rigorous, globally aligned, and ecologically responsible educational programmes. WWL partners with schools, ministries of education, and international school networks across Asia, the Middle East, Africa, and the Americas to deliver evidence-based curricula that prepare learners for the demands of the twenty-first century.</w:t>
      </w:r>
    </w:p>
    <w:p>
      <w:pPr>
        <w:spacing w:after="100" w:before="80"/>
        <w:jc w:val="left"/>
      </w:pPr>
      <w:r>
        <w:rPr>
          <w:rFonts w:ascii="Arial" w:cs="Arial" w:eastAsia="Arial" w:hAnsi="Arial"/>
          <w:b w:val="false"/>
          <w:bCs w:val="false"/>
          <w:i w:val="false"/>
          <w:iCs w:val="false"/>
          <w:caps w:val="false"/>
          <w:color w:val="1A1A1A"/>
          <w:sz w:val="22"/>
          <w:szCs w:val="22"/>
        </w:rPr>
        <w:t xml:space="preserve">Jurassic English™ is WWL's flagship English Language Arts programme. All teacher training, certification, quality assurance, and programme licensing is administered through WWL's Global Education Services division.</w:t>
      </w:r>
    </w:p>
    <w:p>
      <w:pPr>
        <w:spacing w:after="100" w:before="80"/>
        <w:jc w:val="left"/>
      </w:pPr>
      <w:r>
        <w:rPr>
          <w:rFonts w:ascii="Arial" w:cs="Arial" w:eastAsia="Arial" w:hAnsi="Arial"/>
          <w:b/>
          <w:bCs/>
          <w:i w:val="false"/>
          <w:iCs w:val="false"/>
          <w:caps w:val="false"/>
          <w:color w:val="1A1A1A"/>
          <w:sz w:val="22"/>
          <w:szCs w:val="22"/>
        </w:rPr>
        <w:t xml:space="preserve">Enquiries: programmes@worldwiselearning.org</w:t>
      </w:r>
    </w:p>
    <w:p>
      <w:pPr>
        <w:spacing w:after="0" w:before="200"/>
      </w:pPr>
      <w:r>
        <w:t xml:space="preserve"/>
      </w:r>
    </w:p>
    <w:p>
      <w:pPr>
        <w:pBdr>
          <w:top w:val="single" w:color="D1D5DB" w:sz="4"/>
        </w:pBdr>
        <w:spacing w:after="0" w:before="0"/>
        <w:jc w:val="center"/>
      </w:pPr>
      <w:r>
        <w:rPr>
          <w:rFonts w:ascii="Arial" w:cs="Arial" w:eastAsia="Arial" w:hAnsi="Arial"/>
          <w:color w:val="4A5568"/>
          <w:sz w:val="18"/>
          <w:szCs w:val="18"/>
        </w:rPr>
        <w:t xml:space="preserve">Jurassic English™ Level 4: Mastery — Student &amp; Family Syllabus</w:t>
      </w:r>
      <w:r>
        <w:rPr>
          <w:rFonts w:ascii="Arial" w:cs="Arial" w:eastAsia="Arial" w:hAnsi="Arial"/>
          <w:color w:val="D1D5DB"/>
          <w:sz w:val="18"/>
          <w:szCs w:val="18"/>
        </w:rPr>
        <w:t xml:space="preserve">  |  </w:t>
      </w:r>
      <w:r>
        <w:rPr>
          <w:rFonts w:ascii="Arial" w:cs="Arial" w:eastAsia="Arial" w:hAnsi="Arial"/>
          <w:color w:val="4A5568"/>
          <w:sz w:val="18"/>
          <w:szCs w:val="18"/>
        </w:rPr>
        <w:t xml:space="preserve">Published by World Wise Learning  |  Version 3.0  |  Academic Year 2025–2026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160"/>
    </w:pPr>
    <w:r>
      <w:rPr>
        <w:rFonts w:ascii="Arial" w:cs="Arial" w:eastAsia="Arial" w:hAnsi="Arial"/>
        <w:color w:val="4A5568"/>
        <w:sz w:val="16"/>
        <w:szCs w:val="16"/>
      </w:rPr>
      <w:t xml:space="preserve">Jurassic English™ © World Wise Learning 2026    </w:t>
    </w: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47857" w:sz="4"/>
      </w:pBdr>
      <w:spacing w:after="160"/>
    </w:pPr>
    <w:r>
      <w:rPr>
        <w:rFonts w:ascii="Arial" w:cs="Arial" w:eastAsia="Arial" w:hAnsi="Arial"/>
        <w:b/>
        <w:bCs/>
        <w:color w:val="047857"/>
        <w:sz w:val="18"/>
        <w:szCs w:val="18"/>
      </w:rPr>
      <w:t xml:space="preserve">Jurassic English™  |  Level 4: Mastery</w:t>
    </w:r>
    <w:r>
      <w:rPr>
        <w:rFonts w:ascii="Arial" w:cs="Arial" w:eastAsia="Arial" w:hAnsi="Arial"/>
        <w:color w:val="4A5568"/>
        <w:sz w:val="18"/>
        <w:szCs w:val="18"/>
      </w:rPr>
      <w:t xml:space="preserve">  |  Student &amp; Family Syllabus  |  World Wise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Jurassic English™ Level 4 Mastery — Student &amp; Family Syllabus</dc:title>
  <dc:creator>World Wise Learning</dc:creator>
  <dc:description>Jurassic English™ Level 4: Mastery — Student &amp; Family Syllabus (Academic Year 2025–2026). Published by World Wise Learning.</dc:description>
  <cp:lastModifiedBy>Un-named</cp:lastModifiedBy>
  <cp:revision>1</cp:revision>
  <dcterms:created xsi:type="dcterms:W3CDTF">2026-03-20T17:28:39.646Z</dcterms:created>
  <dcterms:modified xsi:type="dcterms:W3CDTF">2026-03-20T17:28:39.646Z</dcterms:modified>
</cp:coreProperties>
</file>

<file path=docProps/custom.xml><?xml version="1.0" encoding="utf-8"?>
<Properties xmlns="http://schemas.openxmlformats.org/officeDocument/2006/custom-properties" xmlns:vt="http://schemas.openxmlformats.org/officeDocument/2006/docPropsVTypes"/>
</file>