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C1C2E" w:val="clear"/>
        <w:spacing w:after="0" w:before="2880"/>
      </w:pPr>
      <w:r>
        <w:rPr>
          <w:rFonts w:ascii="Arial" w:cs="Arial" w:eastAsia="Arial" w:hAnsi="Arial"/>
          <w:sz w:val="2"/>
          <w:szCs w:val="2"/>
        </w:rPr>
        <w:t xml:space="preserve"/>
      </w:r>
    </w:p>
    <w:p>
      <w:pPr>
        <w:shd w:fill="1C1C2E" w:val="clear"/>
        <w:spacing w:after="80" w:before="0"/>
        <w:jc w:val="center"/>
      </w:pPr>
      <w:r>
        <w:rPr>
          <w:rFonts w:ascii="Arial" w:cs="Arial" w:eastAsia="Arial" w:hAnsi="Arial"/>
          <w:b/>
          <w:bCs/>
          <w:caps w:val="false"/>
          <w:color w:val="FFFFFF"/>
          <w:sz w:val="56"/>
          <w:szCs w:val="56"/>
        </w:rPr>
        <w:t xml:space="preserve">JURASSIC ENGLISH™</w:t>
      </w:r>
    </w:p>
    <w:p>
      <w:pPr>
        <w:shd w:fill="1C1C2E" w:val="clear"/>
        <w:spacing w:after="80" w:before="40"/>
        <w:jc w:val="center"/>
      </w:pPr>
      <w:r>
        <w:rPr>
          <w:rFonts w:ascii="Arial" w:cs="Arial" w:eastAsia="Arial" w:hAnsi="Arial"/>
          <w:color w:val="1D4ED8"/>
          <w:sz w:val="24"/>
          <w:szCs w:val="24"/>
        </w:rPr>
        <w:t xml:space="preserve">─────────────────────────────────</w:t>
      </w:r>
    </w:p>
    <w:p>
      <w:pPr>
        <w:shd w:fill="1C1C2E" w:val="clear"/>
        <w:spacing w:after="60" w:before="0"/>
        <w:jc w:val="center"/>
      </w:pPr>
      <w:r>
        <w:rPr>
          <w:rFonts w:ascii="Arial" w:cs="Arial" w:eastAsia="Arial" w:hAnsi="Arial"/>
          <w:b/>
          <w:bCs/>
          <w:color w:val="1D4ED8"/>
          <w:sz w:val="44"/>
          <w:szCs w:val="44"/>
        </w:rPr>
        <w:t xml:space="preserve">Level 5: Advanced</w:t>
      </w:r>
    </w:p>
    <w:p>
      <w:pPr>
        <w:shd w:fill="1C1C2E" w:val="clear"/>
        <w:spacing w:after="80" w:before="0"/>
        <w:jc w:val="center"/>
      </w:pPr>
      <w:r>
        <w:rPr>
          <w:rFonts w:ascii="Arial" w:cs="Arial" w:eastAsia="Arial" w:hAnsi="Arial"/>
          <w:color w:val="A0AEC0"/>
          <w:sz w:val="26"/>
          <w:szCs w:val="26"/>
        </w:rPr>
        <w:t xml:space="preserve">Academic Excellence. Global Responsibility.</w:t>
      </w:r>
    </w:p>
    <w:p>
      <w:pPr>
        <w:shd w:fill="1C1C2E" w:val="clear"/>
        <w:spacing w:after="200" w:before="40"/>
        <w:jc w:val="center"/>
      </w:pPr>
      <w:r>
        <w:rPr>
          <w:rFonts w:ascii="Arial" w:cs="Arial" w:eastAsia="Arial" w:hAnsi="Arial"/>
          <w:color w:val="1D4ED8"/>
          <w:sz w:val="24"/>
          <w:szCs w:val="24"/>
        </w:rPr>
        <w:t xml:space="preserve">─────────────────────────────────</w:t>
      </w:r>
    </w:p>
    <w:p>
      <w:pPr>
        <w:shd w:fill="1C1C2E" w:val="clear"/>
        <w:spacing w:after="200" w:before="0"/>
        <w:jc w:val="center"/>
      </w:pPr>
      <w:r>
        <w:rPr>
          <w:rFonts w:ascii="Arial" w:cs="Arial" w:eastAsia="Arial" w:hAnsi="Arial"/>
          <w:color w:val="FFFFFF"/>
          <w:sz w:val="22"/>
          <w:szCs w:val="22"/>
        </w:rPr>
        <w:t xml:space="preserve">Ages 14+</w:t>
      </w:r>
      <w:r>
        <w:rPr>
          <w:rFonts w:ascii="Arial" w:cs="Arial" w:eastAsia="Arial" w:hAnsi="Arial"/>
          <w:color w:val="1D4ED8"/>
          <w:sz w:val="22"/>
          <w:szCs w:val="22"/>
        </w:rPr>
        <w:t xml:space="preserve">   ·   </w:t>
      </w:r>
      <w:r>
        <w:rPr>
          <w:rFonts w:ascii="Arial" w:cs="Arial" w:eastAsia="Arial" w:hAnsi="Arial"/>
          <w:color w:val="FFFFFF"/>
          <w:sz w:val="22"/>
          <w:szCs w:val="22"/>
        </w:rPr>
        <w:t xml:space="preserve">CEFR B2 → C1</w:t>
      </w:r>
      <w:r>
        <w:rPr>
          <w:rFonts w:ascii="Arial" w:cs="Arial" w:eastAsia="Arial" w:hAnsi="Arial"/>
          <w:color w:val="1D4ED8"/>
          <w:sz w:val="22"/>
          <w:szCs w:val="22"/>
        </w:rPr>
        <w:t xml:space="preserve">   ·   </w:t>
      </w:r>
      <w:r>
        <w:rPr>
          <w:rFonts w:ascii="Arial" w:cs="Arial" w:eastAsia="Arial" w:hAnsi="Arial"/>
          <w:color w:val="FFFFFF"/>
          <w:sz w:val="22"/>
          <w:szCs w:val="22"/>
        </w:rPr>
        <w:t xml:space="preserve">40 Lessons / Year</w:t>
      </w:r>
      <w:r>
        <w:rPr>
          <w:rFonts w:ascii="Arial" w:cs="Arial" w:eastAsia="Arial" w:hAnsi="Arial"/>
          <w:color w:val="1D4ED8"/>
          <w:sz w:val="22"/>
          <w:szCs w:val="22"/>
        </w:rPr>
        <w:t xml:space="preserve">   ·   </w:t>
      </w:r>
      <w:r>
        <w:rPr>
          <w:rFonts w:ascii="Arial" w:cs="Arial" w:eastAsia="Arial" w:hAnsi="Arial"/>
          <w:color w:val="FFFFFF"/>
          <w:sz w:val="22"/>
          <w:szCs w:val="22"/>
        </w:rPr>
        <w:t xml:space="preserve">10 Core Texts</w:t>
      </w:r>
    </w:p>
    <w:p>
      <w:pPr>
        <w:shd w:fill="1C1C2E" w:val="clear"/>
        <w:spacing w:after="80" w:before="0"/>
        <w:jc w:val="center"/>
      </w:pPr>
      <w:r>
        <w:rPr>
          <w:rFonts w:ascii="Arial" w:cs="Arial" w:eastAsia="Arial" w:hAnsi="Arial"/>
          <w:b/>
          <w:bCs/>
          <w:caps w:val="false"/>
          <w:color w:val="718096"/>
          <w:sz w:val="22"/>
          <w:szCs w:val="22"/>
        </w:rPr>
        <w:t xml:space="preserve">STUDENT &amp; FAMILY SYLLABUS</w:t>
      </w:r>
    </w:p>
    <w:p>
      <w:pPr>
        <w:shd w:fill="1C1C2E" w:val="clear"/>
        <w:spacing w:after="400" w:before="0"/>
        <w:jc w:val="center"/>
      </w:pPr>
      <w:r>
        <w:rPr>
          <w:rFonts w:ascii="Arial" w:cs="Arial" w:eastAsia="Arial" w:hAnsi="Arial"/>
          <w:color w:val="718096"/>
          <w:sz w:val="20"/>
          <w:szCs w:val="20"/>
        </w:rPr>
        <w:t xml:space="preserve">Academic Year 2025–2026</w:t>
      </w:r>
    </w:p>
    <w:p>
      <w:pPr>
        <w:shd w:fill="1C1C2E" w:val="clear"/>
        <w:spacing w:after="2880" w:before="0"/>
        <w:jc w:val="center"/>
      </w:pPr>
      <w:r>
        <w:rPr>
          <w:rFonts w:ascii="Arial" w:cs="Arial" w:eastAsia="Arial" w:hAnsi="Arial"/>
          <w:color w:val="4A5568"/>
          <w:sz w:val="19"/>
          <w:szCs w:val="19"/>
        </w:rPr>
        <w:t xml:space="preserve">Published by World Wise Learning</w:t>
      </w:r>
    </w:p>
    <w:p>
      <w:pPr>
        <w:shd w:fill="1C1C2E" w:val="clear"/>
      </w:pPr>
      <w:r>
        <w:br w:type="page"/>
      </w:r>
    </w:p>
    <w:p>
      <w:pPr>
        <w:sectPr>
          <w:pgSz w:w="11906" w:h="16838" w:orient="portrait"/>
          <w:pgMar w:top="0" w:right="0" w:bottom="0" w:left="0" w:header="708" w:footer="708" w:gutter="0"/>
          <w:pgNumType/>
          <w:docGrid w:linePitch="360"/>
        </w:sectPr>
      </w:pPr>
    </w:p>
    <w:p>
      <w:pPr>
        <w:pBdr>
          <w:bottom w:val="single" w:color="1D4ED8" w:sz="8"/>
        </w:pBdr>
        <w:spacing w:after="120" w:before="400"/>
      </w:pPr>
      <w:r>
        <w:rPr>
          <w:rFonts w:ascii="Arial" w:cs="Arial" w:eastAsia="Arial" w:hAnsi="Arial"/>
          <w:b/>
          <w:bCs/>
          <w:caps w:val="false"/>
          <w:color w:val="1D4ED8"/>
          <w:sz w:val="24"/>
          <w:szCs w:val="24"/>
        </w:rPr>
        <w:t xml:space="preserve">WELCOME TO LEVEL 5: ADVANCED</w:t>
      </w:r>
    </w:p>
    <w:p>
      <w:pPr>
        <w:spacing w:after="100" w:before="80"/>
        <w:jc w:val="left"/>
      </w:pPr>
      <w:r>
        <w:rPr>
          <w:rFonts w:ascii="Arial" w:cs="Arial" w:eastAsia="Arial" w:hAnsi="Arial"/>
          <w:b w:val="false"/>
          <w:bCs w:val="false"/>
          <w:i w:val="false"/>
          <w:iCs w:val="false"/>
          <w:caps w:val="false"/>
          <w:color w:val="1A1A1A"/>
          <w:sz w:val="22"/>
          <w:szCs w:val="22"/>
        </w:rPr>
        <w:t xml:space="preserve">Welcome to Level 5: Advanced — the culmination of the Jurassic English™ journey.</w:t>
      </w:r>
    </w:p>
    <w:p>
      <w:pPr>
        <w:spacing w:after="100" w:before="80"/>
        <w:jc w:val="left"/>
      </w:pPr>
      <w:r>
        <w:rPr>
          <w:rFonts w:ascii="Arial" w:cs="Arial" w:eastAsia="Arial" w:hAnsi="Arial"/>
          <w:b w:val="false"/>
          <w:bCs w:val="false"/>
          <w:i w:val="false"/>
          <w:iCs w:val="false"/>
          <w:caps w:val="false"/>
          <w:color w:val="1A1A1A"/>
          <w:sz w:val="22"/>
          <w:szCs w:val="22"/>
        </w:rPr>
        <w:t xml:space="preserve">This is the level of full Cognitive Academic Language Proficiency (CALP): the register of academic journals, university essays, legal argument, and intellectual debate. The texts your child will study this year are not simply challenging — they are foundational works of English-language literature and thought.</w:t>
      </w:r>
    </w:p>
    <w:p>
      <w:pPr>
        <w:spacing w:after="100" w:before="80"/>
        <w:jc w:val="left"/>
      </w:pPr>
      <w:r>
        <w:rPr>
          <w:rFonts w:ascii="Arial" w:cs="Arial" w:eastAsia="Arial" w:hAnsi="Arial"/>
          <w:b w:val="false"/>
          <w:bCs w:val="false"/>
          <w:i w:val="false"/>
          <w:iCs w:val="false"/>
          <w:caps w:val="false"/>
          <w:color w:val="1A1A1A"/>
          <w:sz w:val="22"/>
          <w:szCs w:val="22"/>
        </w:rPr>
        <w:t xml:space="preserve">At Level 5, students engage in intertextual analysis — comparing how different authors, genres, and cultural traditions approach the same philosophical questions. They write with academic precision, construct multi-source arguments, and evaluate ecological and ethical positions with the rigour of scholarly discourse.</w:t>
      </w:r>
    </w:p>
    <w:p>
      <w:pPr>
        <w:spacing w:after="100" w:before="80"/>
        <w:jc w:val="left"/>
      </w:pPr>
      <w:r>
        <w:rPr>
          <w:rFonts w:ascii="Arial" w:cs="Arial" w:eastAsia="Arial" w:hAnsi="Arial"/>
          <w:b w:val="false"/>
          <w:bCs w:val="false"/>
          <w:i w:val="false"/>
          <w:iCs w:val="false"/>
          <w:caps w:val="false"/>
          <w:color w:val="1A1A1A"/>
          <w:sz w:val="22"/>
          <w:szCs w:val="22"/>
        </w:rPr>
        <w:t xml:space="preserve">The eco-reasoning strand reaches its apex here. The Overstory asks: what does it mean to belong to an ecosystem rather than merely inhabit one? Braiding Sweetgrass offers indigenous scientific and ethical frameworks as serious intellectual systems — not as 'alternative views' but as rigorous lenses that challenge and enrich Western analytical traditions.</w:t>
      </w:r>
    </w:p>
    <w:p>
      <w:pPr>
        <w:spacing w:after="100" w:before="80"/>
        <w:jc w:val="left"/>
      </w:pPr>
      <w:r>
        <w:rPr>
          <w:rFonts w:ascii="Arial" w:cs="Arial" w:eastAsia="Arial" w:hAnsi="Arial"/>
          <w:b w:val="false"/>
          <w:bCs w:val="false"/>
          <w:i w:val="false"/>
          <w:iCs w:val="false"/>
          <w:caps w:val="false"/>
          <w:color w:val="1A1A1A"/>
          <w:sz w:val="22"/>
          <w:szCs w:val="22"/>
        </w:rPr>
        <w:t xml:space="preserve">This year prepares students directly for international examinations — IB English, Cambridge Advanced, AP Literature — and for the demands of university-level academic writing. It is also, for students who began at Level 1, the completion of an extraordinary journey from first story to full academic voice.</w:t>
      </w:r>
    </w:p>
    <w:p>
      <w:pPr>
        <w:pBdr>
          <w:bottom w:val="single" w:color="1D4ED8" w:sz="4"/>
        </w:pBdr>
        <w:spacing w:after="200" w:before="200"/>
      </w:pPr>
      <w:r>
        <w:t xml:space="preserve"/>
      </w:r>
    </w:p>
    <w:p>
      <w:pPr>
        <w:pBdr>
          <w:bottom w:val="single" w:color="1D4ED8" w:sz="8"/>
        </w:pBdr>
        <w:spacing w:after="120" w:before="400"/>
      </w:pPr>
      <w:r>
        <w:rPr>
          <w:rFonts w:ascii="Arial" w:cs="Arial" w:eastAsia="Arial" w:hAnsi="Arial"/>
          <w:b/>
          <w:bCs/>
          <w:caps w:val="false"/>
          <w:color w:val="1D4ED8"/>
          <w:sz w:val="24"/>
          <w:szCs w:val="24"/>
        </w:rPr>
        <w:t xml:space="preserve">LEVEL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D1D5DB" w:sz="4"/>
              <w:left w:val="single" w:color="D1D5DB" w:sz="4"/>
              <w:bottom w:val="single" w:color="D1D5DB" w:sz="4"/>
              <w:right w:val="single" w:color="D1D5DB" w:sz="4"/>
            </w:tcBorders>
            <w:shd w:fill="EFF6FF"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Series Level</w:t>
            </w:r>
          </w:p>
        </w:tc>
        <w:tc>
          <w:tcPr>
            <w:tcW w:type="dxa" w:w="5826"/>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20"/>
                <w:szCs w:val="20"/>
              </w:rPr>
              <w:t xml:space="preserve">Level 5: Advanced</w:t>
            </w:r>
          </w:p>
        </w:tc>
      </w:tr>
      <w:tr>
        <w:tc>
          <w:tcPr>
            <w:tcW w:type="dxa" w:w="32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Age Band</w:t>
            </w:r>
          </w:p>
        </w:tc>
        <w:tc>
          <w:tcPr>
            <w:tcW w:type="dxa" w:w="5826"/>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20"/>
                <w:szCs w:val="20"/>
              </w:rPr>
              <w:t xml:space="preserve">14+ years</w:t>
            </w:r>
          </w:p>
        </w:tc>
      </w:tr>
      <w:tr>
        <w:tc>
          <w:tcPr>
            <w:tcW w:type="dxa" w:w="3200"/>
            <w:tcBorders>
              <w:top w:val="single" w:color="D1D5DB" w:sz="4"/>
              <w:left w:val="single" w:color="D1D5DB" w:sz="4"/>
              <w:bottom w:val="single" w:color="D1D5DB" w:sz="4"/>
              <w:right w:val="single" w:color="D1D5DB" w:sz="4"/>
            </w:tcBorders>
            <w:shd w:fill="EFF6FF"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CEFR Range</w:t>
            </w:r>
          </w:p>
        </w:tc>
        <w:tc>
          <w:tcPr>
            <w:tcW w:type="dxa" w:w="5826"/>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20"/>
                <w:szCs w:val="20"/>
              </w:rPr>
              <w:t xml:space="preserve">B2 → C1</w:t>
            </w:r>
          </w:p>
        </w:tc>
      </w:tr>
      <w:tr>
        <w:tc>
          <w:tcPr>
            <w:tcW w:type="dxa" w:w="32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CEFR Progression</w:t>
            </w:r>
          </w:p>
        </w:tc>
        <w:tc>
          <w:tcPr>
            <w:tcW w:type="dxa" w:w="5826"/>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20"/>
                <w:szCs w:val="20"/>
              </w:rPr>
              <w:t xml:space="preserve">B2 → C1 (approx. 700–800+ instructional hours — Full CALP)</w:t>
            </w:r>
          </w:p>
        </w:tc>
      </w:tr>
      <w:tr>
        <w:tc>
          <w:tcPr>
            <w:tcW w:type="dxa" w:w="3200"/>
            <w:tcBorders>
              <w:top w:val="single" w:color="D1D5DB" w:sz="4"/>
              <w:left w:val="single" w:color="D1D5DB" w:sz="4"/>
              <w:bottom w:val="single" w:color="D1D5DB" w:sz="4"/>
              <w:right w:val="single" w:color="D1D5DB" w:sz="4"/>
            </w:tcBorders>
            <w:shd w:fill="EFF6FF"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Cognitive Focus</w:t>
            </w:r>
          </w:p>
        </w:tc>
        <w:tc>
          <w:tcPr>
            <w:tcW w:type="dxa" w:w="5826"/>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20"/>
                <w:szCs w:val="20"/>
              </w:rPr>
              <w:t xml:space="preserve">Full CALP (Cognitive Academic Language Proficiency): nuance, subtext, academic synthesis, and the register of IB HL / Cambridge Advanced</w:t>
            </w:r>
          </w:p>
        </w:tc>
      </w:tr>
      <w:tr>
        <w:tc>
          <w:tcPr>
            <w:tcW w:type="dxa" w:w="32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Text Complexity</w:t>
            </w:r>
          </w:p>
        </w:tc>
        <w:tc>
          <w:tcPr>
            <w:tcW w:type="dxa" w:w="5826"/>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20"/>
                <w:szCs w:val="20"/>
              </w:rPr>
              <w:t xml:space="preserve">Diverse genres — memoir, satire, postcolonial fiction, scientific essay</w:t>
            </w:r>
          </w:p>
        </w:tc>
      </w:tr>
      <w:tr>
        <w:tc>
          <w:tcPr>
            <w:tcW w:type="dxa" w:w="3200"/>
            <w:tcBorders>
              <w:top w:val="single" w:color="D1D5DB" w:sz="4"/>
              <w:left w:val="single" w:color="D1D5DB" w:sz="4"/>
              <w:bottom w:val="single" w:color="D1D5DB" w:sz="4"/>
              <w:right w:val="single" w:color="D1D5DB" w:sz="4"/>
            </w:tcBorders>
            <w:shd w:fill="EFF6FF"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Books Studied</w:t>
            </w:r>
          </w:p>
        </w:tc>
        <w:tc>
          <w:tcPr>
            <w:tcW w:type="dxa" w:w="5826"/>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20"/>
                <w:szCs w:val="20"/>
              </w:rPr>
              <w:t xml:space="preserve">10 core texts (4 lessons each)</w:t>
            </w:r>
          </w:p>
        </w:tc>
      </w:tr>
      <w:tr>
        <w:tc>
          <w:tcPr>
            <w:tcW w:type="dxa" w:w="32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Total Lessons</w:t>
            </w:r>
          </w:p>
        </w:tc>
        <w:tc>
          <w:tcPr>
            <w:tcW w:type="dxa" w:w="5826"/>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20"/>
                <w:szCs w:val="20"/>
              </w:rPr>
              <w:t xml:space="preserve">40 structured lessons per academic year</w:t>
            </w:r>
          </w:p>
        </w:tc>
      </w:tr>
      <w:tr>
        <w:tc>
          <w:tcPr>
            <w:tcW w:type="dxa" w:w="3200"/>
            <w:tcBorders>
              <w:top w:val="single" w:color="D1D5DB" w:sz="4"/>
              <w:left w:val="single" w:color="D1D5DB" w:sz="4"/>
              <w:bottom w:val="single" w:color="D1D5DB" w:sz="4"/>
              <w:right w:val="single" w:color="D1D5DB" w:sz="4"/>
            </w:tcBorders>
            <w:shd w:fill="EFF6FF"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Lesson Duration</w:t>
            </w:r>
          </w:p>
        </w:tc>
        <w:tc>
          <w:tcPr>
            <w:tcW w:type="dxa" w:w="5826"/>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20"/>
                <w:szCs w:val="20"/>
              </w:rPr>
              <w:t xml:space="preserve">40–60 minutes per lesson</w:t>
            </w:r>
          </w:p>
        </w:tc>
      </w:tr>
      <w:tr>
        <w:tc>
          <w:tcPr>
            <w:tcW w:type="dxa" w:w="32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Eco-Reasoning Strand</w:t>
            </w:r>
          </w:p>
        </w:tc>
        <w:tc>
          <w:tcPr>
            <w:tcW w:type="dxa" w:w="5826"/>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20"/>
                <w:szCs w:val="20"/>
              </w:rPr>
              <w:t xml:space="preserve">Systems thinking, ecological philosophy, and policy critique</w:t>
            </w:r>
          </w:p>
        </w:tc>
      </w:tr>
      <w:tr>
        <w:tc>
          <w:tcPr>
            <w:tcW w:type="dxa" w:w="3200"/>
            <w:tcBorders>
              <w:top w:val="single" w:color="D1D5DB" w:sz="4"/>
              <w:left w:val="single" w:color="D1D5DB" w:sz="4"/>
              <w:bottom w:val="single" w:color="D1D5DB" w:sz="4"/>
              <w:right w:val="single" w:color="D1D5DB" w:sz="4"/>
            </w:tcBorders>
            <w:shd w:fill="EFF6FF"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Eco Units (minimum)</w:t>
            </w:r>
          </w:p>
        </w:tc>
        <w:tc>
          <w:tcPr>
            <w:tcW w:type="dxa" w:w="5826"/>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20"/>
                <w:szCs w:val="20"/>
              </w:rPr>
              <w:t xml:space="preserve">2 eco-integrated units per year (UNESCO ESD requirement)</w:t>
            </w:r>
          </w:p>
        </w:tc>
      </w:tr>
    </w:tbl>
    <w:p>
      <w:pPr>
        <w:pBdr>
          <w:bottom w:val="single" w:color="1D4ED8" w:sz="4"/>
        </w:pBdr>
        <w:spacing w:after="200" w:before="200"/>
      </w:pPr>
      <w:r>
        <w:t xml:space="preserve"/>
      </w:r>
    </w:p>
    <w:p>
      <w:pPr>
        <w:pBdr>
          <w:bottom w:val="single" w:color="1D4ED8" w:sz="8"/>
        </w:pBdr>
        <w:spacing w:after="120" w:before="400"/>
      </w:pPr>
      <w:r>
        <w:rPr>
          <w:rFonts w:ascii="Arial" w:cs="Arial" w:eastAsia="Arial" w:hAnsi="Arial"/>
          <w:b/>
          <w:bCs/>
          <w:caps w:val="false"/>
          <w:color w:val="1D4ED8"/>
          <w:sz w:val="24"/>
          <w:szCs w:val="24"/>
        </w:rPr>
        <w:t xml:space="preserve">WHAT IS JURASSIC ENGLISH™?</w:t>
      </w:r>
    </w:p>
    <w:p>
      <w:pPr>
        <w:spacing w:after="100" w:before="80"/>
        <w:jc w:val="left"/>
      </w:pPr>
      <w:r>
        <w:rPr>
          <w:rFonts w:ascii="Arial" w:cs="Arial" w:eastAsia="Arial" w:hAnsi="Arial"/>
          <w:b w:val="false"/>
          <w:bCs w:val="false"/>
          <w:i w:val="false"/>
          <w:iCs w:val="false"/>
          <w:caps w:val="false"/>
          <w:color w:val="1A1A1A"/>
          <w:sz w:val="22"/>
          <w:szCs w:val="22"/>
        </w:rPr>
        <w:t xml:space="preserve">Jurassic English™ is a literature-centred English programme published by World Wise Learning. It is designed to develop four interconnected competencies through authentic works of children's and young adult literature: Critical Thinking, Moral Reasoning, Structured Reflection, and Academic Expression. Like layers of fossil record, each level of the programme builds on the reasoning capabilities developed in the one before it.</w:t>
      </w:r>
    </w:p>
    <w:p>
      <w:pPr>
        <w:spacing w:after="100" w:before="80"/>
        <w:jc w:val="left"/>
      </w:pPr>
      <w:r>
        <w:rPr>
          <w:rFonts w:ascii="Arial" w:cs="Arial" w:eastAsia="Arial" w:hAnsi="Arial"/>
          <w:b w:val="false"/>
          <w:bCs w:val="false"/>
          <w:i w:val="false"/>
          <w:iCs w:val="false"/>
          <w:caps w:val="false"/>
          <w:color w:val="1A1A1A"/>
          <w:sz w:val="22"/>
          <w:szCs w:val="22"/>
        </w:rPr>
        <w:t xml:space="preserve">English in this programme is not the object of study — it is the medium through which students examine ideas that genuinely matter: justice, identity, ecological responsibility, and the human condition. Every lesson anchors language development in a substantive ethical or intellectual question.</w:t>
      </w:r>
    </w:p>
    <w:p>
      <w:pPr>
        <w:spacing w:after="120" w:before="320"/>
      </w:pPr>
      <w:r>
        <w:rPr>
          <w:rFonts w:ascii="Arial" w:cs="Arial" w:eastAsia="Arial" w:hAnsi="Arial"/>
          <w:b/>
          <w:bCs/>
          <w:color w:val="1D4ED8"/>
          <w:sz w:val="26"/>
          <w:szCs w:val="26"/>
        </w:rPr>
        <w:t xml:space="preserve">The Four Competencies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D1D5DB" w:sz="4"/>
              <w:left w:val="single" w:color="D1D5DB" w:sz="4"/>
              <w:bottom w:val="single" w:color="D1D5DB" w:sz="4"/>
              <w:right w:val="single" w:color="D1D5DB" w:sz="4"/>
            </w:tcBorders>
            <w:shd w:fill="1D4ED8" w:val="clear"/>
            <w:tcMar>
              <w:top w:type="dxa" w:w="100"/>
              <w:left w:type="dxa" w:w="150"/>
              <w:bottom w:type="dxa" w:w="100"/>
              <w:right w:type="dxa" w:w="150"/>
            </w:tcMar>
            <w:vAlign w:val="center"/>
          </w:tcPr>
          <w:p>
            <w:pPr>
              <w:spacing w:after="60" w:before="60"/>
              <w:jc w:val="left"/>
            </w:pPr>
            <w:r>
              <w:rPr>
                <w:rFonts w:ascii="Arial" w:cs="Arial" w:eastAsia="Arial" w:hAnsi="Arial"/>
                <w:b/>
                <w:bCs/>
                <w:color w:val="FFFFFF"/>
                <w:sz w:val="20"/>
                <w:szCs w:val="20"/>
              </w:rPr>
              <w:t xml:space="preserve">Competency</w:t>
            </w:r>
          </w:p>
        </w:tc>
        <w:tc>
          <w:tcPr>
            <w:tcW w:type="dxa" w:w="6226"/>
            <w:tcBorders>
              <w:top w:val="single" w:color="D1D5DB" w:sz="4"/>
              <w:left w:val="single" w:color="D1D5DB" w:sz="4"/>
              <w:bottom w:val="single" w:color="D1D5DB" w:sz="4"/>
              <w:right w:val="single" w:color="D1D5DB" w:sz="4"/>
            </w:tcBorders>
            <w:shd w:fill="1D4ED8" w:val="clear"/>
            <w:tcMar>
              <w:top w:type="dxa" w:w="100"/>
              <w:left w:type="dxa" w:w="150"/>
              <w:bottom w:type="dxa" w:w="100"/>
              <w:right w:type="dxa" w:w="150"/>
            </w:tcMar>
            <w:vAlign w:val="center"/>
          </w:tcPr>
          <w:p>
            <w:pPr>
              <w:spacing w:after="60" w:before="60"/>
              <w:jc w:val="left"/>
            </w:pPr>
            <w:r>
              <w:rPr>
                <w:rFonts w:ascii="Arial" w:cs="Arial" w:eastAsia="Arial" w:hAnsi="Arial"/>
                <w:b/>
                <w:bCs/>
                <w:color w:val="FFFFFF"/>
                <w:sz w:val="20"/>
                <w:szCs w:val="20"/>
              </w:rPr>
              <w:t xml:space="preserve">What Your Child Practises</w:t>
            </w:r>
          </w:p>
        </w:tc>
      </w:tr>
      <w:tr>
        <w:tc>
          <w:tcPr>
            <w:tcW w:type="dxa" w:w="2800"/>
            <w:tcBorders>
              <w:top w:val="single" w:color="D1D5DB" w:sz="4"/>
              <w:left w:val="single" w:color="D1D5DB" w:sz="4"/>
              <w:bottom w:val="single" w:color="D1D5DB" w:sz="4"/>
              <w:right w:val="single" w:color="D1D5DB" w:sz="4"/>
            </w:tcBorders>
            <w:shd w:fill="EFF6FF"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Critical Thinking</w:t>
            </w:r>
          </w:p>
        </w:tc>
        <w:tc>
          <w:tcPr>
            <w:tcW w:type="dxa" w:w="6226"/>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20"/>
                <w:szCs w:val="20"/>
              </w:rPr>
              <w:t xml:space="preserve">Students produce intertextual analysis — comparing how multiple authors across genres and cultural traditions approach the same philosophical question, evaluating each framework on its own terms.</w:t>
            </w:r>
          </w:p>
        </w:tc>
      </w:tr>
      <w:tr>
        <w:tc>
          <w:tcPr>
            <w:tcW w:type="dxa" w:w="28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Moral Reasoning</w:t>
            </w:r>
          </w:p>
        </w:tc>
        <w:tc>
          <w:tcPr>
            <w:tcW w:type="dxa" w:w="6226"/>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20"/>
                <w:szCs w:val="20"/>
              </w:rPr>
              <w:t xml:space="preserve">Students engage ecological philosophy, postcolonial ethics, and political philosophy as rigorous intellectual systems, not merely as 'alternative views'.</w:t>
            </w:r>
          </w:p>
        </w:tc>
      </w:tr>
      <w:tr>
        <w:tc>
          <w:tcPr>
            <w:tcW w:type="dxa" w:w="2800"/>
            <w:tcBorders>
              <w:top w:val="single" w:color="D1D5DB" w:sz="4"/>
              <w:left w:val="single" w:color="D1D5DB" w:sz="4"/>
              <w:bottom w:val="single" w:color="D1D5DB" w:sz="4"/>
              <w:right w:val="single" w:color="D1D5DB" w:sz="4"/>
            </w:tcBorders>
            <w:shd w:fill="EFF6FF"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Structured Reflection</w:t>
            </w:r>
          </w:p>
        </w:tc>
        <w:tc>
          <w:tcPr>
            <w:tcW w:type="dxa" w:w="6226"/>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20"/>
                <w:szCs w:val="20"/>
              </w:rPr>
              <w:t xml:space="preserve">Students write extended ecological philosophy reflections, policy critique arguments, and growth narratives that synthesise their entire Jurassic English™ journey.</w:t>
            </w:r>
          </w:p>
        </w:tc>
      </w:tr>
      <w:tr>
        <w:tc>
          <w:tcPr>
            <w:tcW w:type="dxa" w:w="28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Academic Expression</w:t>
            </w:r>
          </w:p>
        </w:tc>
        <w:tc>
          <w:tcPr>
            <w:tcW w:type="dxa" w:w="6226"/>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20"/>
                <w:szCs w:val="20"/>
              </w:rPr>
              <w:t xml:space="preserve">Students write multi-source research essays with citation, academic precision, and the register demanded by international examinations (IB, Cambridge, AP).</w:t>
            </w:r>
          </w:p>
        </w:tc>
      </w:tr>
    </w:tbl>
    <w:p>
      <w:pPr>
        <w:pBdr>
          <w:bottom w:val="single" w:color="1D4ED8" w:sz="4"/>
        </w:pBdr>
        <w:spacing w:after="200" w:before="200"/>
      </w:pPr>
      <w:r>
        <w:t xml:space="preserve"/>
      </w:r>
    </w:p>
    <w:p>
      <w:pPr>
        <w:pBdr>
          <w:bottom w:val="single" w:color="1D4ED8" w:sz="8"/>
        </w:pBdr>
        <w:spacing w:after="120" w:before="400"/>
      </w:pPr>
      <w:r>
        <w:rPr>
          <w:rFonts w:ascii="Arial" w:cs="Arial" w:eastAsia="Arial" w:hAnsi="Arial"/>
          <w:b/>
          <w:bCs/>
          <w:caps w:val="false"/>
          <w:color w:val="1D4ED8"/>
          <w:sz w:val="24"/>
          <w:szCs w:val="24"/>
        </w:rPr>
        <w:t xml:space="preserve">THE JURASSIC THINKING CYCLE™</w:t>
      </w:r>
    </w:p>
    <w:p>
      <w:pPr>
        <w:spacing w:after="100" w:before="80"/>
        <w:jc w:val="left"/>
      </w:pPr>
      <w:r>
        <w:rPr>
          <w:rFonts w:ascii="Arial" w:cs="Arial" w:eastAsia="Arial" w:hAnsi="Arial"/>
          <w:b w:val="false"/>
          <w:bCs w:val="false"/>
          <w:i w:val="false"/>
          <w:iCs w:val="false"/>
          <w:caps w:val="false"/>
          <w:color w:val="1A1A1A"/>
          <w:sz w:val="22"/>
          <w:szCs w:val="22"/>
        </w:rPr>
        <w:t xml:space="preserve">Every Jurassic English™ lesson follows the same four-stage cognitive sequence. No stage is ever skipped — each builds on the one before it. This is the 'engine' of every lesson your child experiences.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4826"/>
      </w:tblGrid>
      <w:tr>
        <w:trPr>
          <w:tblHeader/>
        </w:trPr>
        <w:tc>
          <w:tcPr>
            <w:tcW w:type="dxa" w:w="2000"/>
            <w:tcBorders>
              <w:top w:val="single" w:color="D1D5DB" w:sz="4"/>
              <w:left w:val="single" w:color="D1D5DB" w:sz="4"/>
              <w:bottom w:val="single" w:color="D1D5DB" w:sz="4"/>
              <w:right w:val="single" w:color="D1D5DB" w:sz="4"/>
            </w:tcBorders>
            <w:shd w:fill="1D4ED8" w:val="clear"/>
            <w:tcMar>
              <w:top w:type="dxa" w:w="100"/>
              <w:left w:type="dxa" w:w="150"/>
              <w:bottom w:type="dxa" w:w="100"/>
              <w:right w:type="dxa" w:w="150"/>
            </w:tcMar>
            <w:vAlign w:val="center"/>
          </w:tcPr>
          <w:p>
            <w:pPr>
              <w:spacing w:after="60" w:before="60"/>
              <w:jc w:val="left"/>
            </w:pPr>
            <w:r>
              <w:rPr>
                <w:rFonts w:ascii="Arial" w:cs="Arial" w:eastAsia="Arial" w:hAnsi="Arial"/>
                <w:b/>
                <w:bCs/>
                <w:color w:val="FFFFFF"/>
                <w:sz w:val="20"/>
                <w:szCs w:val="20"/>
              </w:rPr>
              <w:t xml:space="preserve">Stage</w:t>
            </w:r>
          </w:p>
        </w:tc>
        <w:tc>
          <w:tcPr>
            <w:tcW w:type="dxa" w:w="2200"/>
            <w:tcBorders>
              <w:top w:val="single" w:color="D1D5DB" w:sz="4"/>
              <w:left w:val="single" w:color="D1D5DB" w:sz="4"/>
              <w:bottom w:val="single" w:color="D1D5DB" w:sz="4"/>
              <w:right w:val="single" w:color="D1D5DB" w:sz="4"/>
            </w:tcBorders>
            <w:shd w:fill="1D4ED8" w:val="clear"/>
            <w:tcMar>
              <w:top w:type="dxa" w:w="100"/>
              <w:left w:type="dxa" w:w="150"/>
              <w:bottom w:type="dxa" w:w="100"/>
              <w:right w:type="dxa" w:w="150"/>
            </w:tcMar>
            <w:vAlign w:val="center"/>
          </w:tcPr>
          <w:p>
            <w:pPr>
              <w:spacing w:after="60" w:before="60"/>
              <w:jc w:val="left"/>
            </w:pPr>
            <w:r>
              <w:rPr>
                <w:rFonts w:ascii="Arial" w:cs="Arial" w:eastAsia="Arial" w:hAnsi="Arial"/>
                <w:b/>
                <w:bCs/>
                <w:color w:val="FFFFFF"/>
                <w:sz w:val="20"/>
                <w:szCs w:val="20"/>
              </w:rPr>
              <w:t xml:space="preserve">Core Question</w:t>
            </w:r>
          </w:p>
        </w:tc>
        <w:tc>
          <w:tcPr>
            <w:tcW w:type="dxa" w:w="4826"/>
            <w:tcBorders>
              <w:top w:val="single" w:color="D1D5DB" w:sz="4"/>
              <w:left w:val="single" w:color="D1D5DB" w:sz="4"/>
              <w:bottom w:val="single" w:color="D1D5DB" w:sz="4"/>
              <w:right w:val="single" w:color="D1D5DB" w:sz="4"/>
            </w:tcBorders>
            <w:shd w:fill="1D4ED8" w:val="clear"/>
            <w:tcMar>
              <w:top w:type="dxa" w:w="100"/>
              <w:left w:type="dxa" w:w="150"/>
              <w:bottom w:type="dxa" w:w="100"/>
              <w:right w:type="dxa" w:w="150"/>
            </w:tcMar>
            <w:vAlign w:val="center"/>
          </w:tcPr>
          <w:p>
            <w:pPr>
              <w:spacing w:after="60" w:before="60"/>
              <w:jc w:val="left"/>
            </w:pPr>
            <w:r>
              <w:rPr>
                <w:rFonts w:ascii="Arial" w:cs="Arial" w:eastAsia="Arial" w:hAnsi="Arial"/>
                <w:b/>
                <w:bCs/>
                <w:color w:val="FFFFFF"/>
                <w:sz w:val="20"/>
                <w:szCs w:val="20"/>
              </w:rPr>
              <w:t xml:space="preserve">What Students Do</w:t>
            </w:r>
          </w:p>
        </w:tc>
      </w:tr>
      <w:tr>
        <w:tc>
          <w:tcPr>
            <w:tcW w:type="dxa" w:w="2000"/>
            <w:tcBorders>
              <w:top w:val="single" w:color="D1D5DB" w:sz="4"/>
              <w:left w:val="single" w:color="D1D5DB" w:sz="4"/>
              <w:bottom w:val="single" w:color="D1D5DB" w:sz="4"/>
              <w:right w:val="single" w:color="D1D5DB" w:sz="4"/>
            </w:tcBorders>
            <w:shd w:fill="EFF6FF"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19"/>
                <w:szCs w:val="19"/>
              </w:rPr>
              <w:t xml:space="preserve">Stage 1 — ANALYZE</w:t>
            </w:r>
          </w:p>
        </w:tc>
        <w:tc>
          <w:tcPr>
            <w:tcW w:type="dxa" w:w="22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4A5568"/>
                <w:sz w:val="19"/>
                <w:szCs w:val="19"/>
              </w:rPr>
              <w:t xml:space="preserve">'What does the text actually say?'</w:t>
            </w:r>
          </w:p>
        </w:tc>
        <w:tc>
          <w:tcPr>
            <w:tcW w:type="dxa" w:w="4826"/>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19"/>
                <w:szCs w:val="19"/>
              </w:rPr>
              <w:t xml:space="preserve">Students identify characters, settings, and events. They distinguish what the text explicitly states from what must be inferred. Evidence is located and labelled.</w:t>
            </w:r>
          </w:p>
        </w:tc>
      </w:tr>
      <w:tr>
        <w:tc>
          <w:tcPr>
            <w:tcW w:type="dxa" w:w="20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19"/>
                <w:szCs w:val="19"/>
              </w:rPr>
              <w:t xml:space="preserve">Stage 2 — EVALUATE</w:t>
            </w:r>
          </w:p>
        </w:tc>
        <w:tc>
          <w:tcPr>
            <w:tcW w:type="dxa" w:w="2200"/>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4A5568"/>
                <w:sz w:val="19"/>
                <w:szCs w:val="19"/>
              </w:rPr>
              <w:t xml:space="preserve">'What do I think about this — and why?'</w:t>
            </w:r>
          </w:p>
        </w:tc>
        <w:tc>
          <w:tcPr>
            <w:tcW w:type="dxa" w:w="4826"/>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19"/>
                <w:szCs w:val="19"/>
              </w:rPr>
              <w:t xml:space="preserve">Students assess the quality, fairness, or morality of a decision or idea using stated criteria. Partner discussions and Socratic questioning develop evaluative reasoning.</w:t>
            </w:r>
          </w:p>
        </w:tc>
      </w:tr>
      <w:tr>
        <w:tc>
          <w:tcPr>
            <w:tcW w:type="dxa" w:w="2000"/>
            <w:tcBorders>
              <w:top w:val="single" w:color="D1D5DB" w:sz="4"/>
              <w:left w:val="single" w:color="D1D5DB" w:sz="4"/>
              <w:bottom w:val="single" w:color="D1D5DB" w:sz="4"/>
              <w:right w:val="single" w:color="D1D5DB" w:sz="4"/>
            </w:tcBorders>
            <w:shd w:fill="EFF6FF"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19"/>
                <w:szCs w:val="19"/>
              </w:rPr>
              <w:t xml:space="preserve">Stage 3 — JUSTIFY</w:t>
            </w:r>
          </w:p>
        </w:tc>
        <w:tc>
          <w:tcPr>
            <w:tcW w:type="dxa" w:w="22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4A5568"/>
                <w:sz w:val="19"/>
                <w:szCs w:val="19"/>
              </w:rPr>
              <w:t xml:space="preserve">'How do I support my view with evidence?'</w:t>
            </w:r>
          </w:p>
        </w:tc>
        <w:tc>
          <w:tcPr>
            <w:tcW w:type="dxa" w:w="4826"/>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19"/>
                <w:szCs w:val="19"/>
              </w:rPr>
              <w:t xml:space="preserve">Students construct a formal argument: Claim → Evidence → Warrant → Impact. Opinion without evidence is not accepted. The warrant — explaining WHY the evidence supports the claim — is the core reasoning move.</w:t>
            </w:r>
          </w:p>
        </w:tc>
      </w:tr>
      <w:tr>
        <w:tc>
          <w:tcPr>
            <w:tcW w:type="dxa" w:w="20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19"/>
                <w:szCs w:val="19"/>
              </w:rPr>
              <w:t xml:space="preserve">Stage 4 — REFLECT</w:t>
            </w:r>
          </w:p>
        </w:tc>
        <w:tc>
          <w:tcPr>
            <w:tcW w:type="dxa" w:w="2200"/>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4A5568"/>
                <w:sz w:val="19"/>
                <w:szCs w:val="19"/>
              </w:rPr>
              <w:t xml:space="preserve">'What does this mean for me and the world?'</w:t>
            </w:r>
          </w:p>
        </w:tc>
        <w:tc>
          <w:tcPr>
            <w:tcW w:type="dxa" w:w="4826"/>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19"/>
                <w:szCs w:val="19"/>
              </w:rPr>
              <w:t xml:space="preserve">Students connect textual themes to personal experience, ethical principles, universal human questions, and — from Level 2 onwards — the living world. At Level 3+, an Ecological Reflection prompt is formally required.</w:t>
            </w:r>
          </w:p>
        </w:tc>
      </w:tr>
    </w:tbl>
    <w:p>
      <w:pPr>
        <w:spacing w:after="0" w:before="120"/>
      </w:pPr>
      <w:r>
        <w:t xml:space="preserve"/>
      </w:r>
    </w:p>
    <w:p>
      <w:pPr>
        <w:spacing w:after="100" w:before="80"/>
        <w:jc w:val="left"/>
      </w:pPr>
      <w:r>
        <w:rPr>
          <w:rFonts w:ascii="Arial" w:cs="Arial" w:eastAsia="Arial" w:hAnsi="Arial"/>
          <w:b w:val="false"/>
          <w:bCs w:val="false"/>
          <w:i/>
          <w:iCs/>
          <w:caps w:val="false"/>
          <w:color w:val="4A5568"/>
          <w:sz w:val="20"/>
          <w:szCs w:val="20"/>
        </w:rPr>
        <w:t xml:space="preserve">At Advanced level, the Jurassic Thinking Cycle™ operates at full philosophical depth. The Analyze stage requires source evaluation and authorial positioning. The Evaluate stage demands engagement with competing philosophical frameworks. The Justify stage produces multi-source academic arguments. The Reflect stage — Ecological — reaches its apex: students articulate an ecological ethics they can defend with the rigour of academic argument.</w:t>
      </w:r>
    </w:p>
    <w:p>
      <w:pPr>
        <w:pBdr>
          <w:bottom w:val="single" w:color="1D4ED8" w:sz="4"/>
        </w:pBdr>
        <w:spacing w:after="200" w:before="200"/>
      </w:pPr>
      <w:r>
        <w:t xml:space="preserve"/>
      </w:r>
    </w:p>
    <w:p>
      <w:pPr>
        <w:pBdr>
          <w:bottom w:val="single" w:color="1D4ED8" w:sz="8"/>
        </w:pBdr>
        <w:spacing w:after="120" w:before="400"/>
      </w:pPr>
      <w:r>
        <w:rPr>
          <w:rFonts w:ascii="Arial" w:cs="Arial" w:eastAsia="Arial" w:hAnsi="Arial"/>
          <w:b/>
          <w:bCs/>
          <w:caps w:val="false"/>
          <w:color w:val="1D4ED8"/>
          <w:sz w:val="24"/>
          <w:szCs w:val="24"/>
        </w:rPr>
        <w:t xml:space="preserve">CORE TEXTS THIS YEAR</w:t>
      </w:r>
    </w:p>
    <w:p>
      <w:pPr>
        <w:spacing w:after="100" w:before="80"/>
        <w:jc w:val="left"/>
      </w:pPr>
      <w:r>
        <w:rPr>
          <w:rFonts w:ascii="Arial" w:cs="Arial" w:eastAsia="Arial" w:hAnsi="Arial"/>
          <w:b w:val="false"/>
          <w:bCs w:val="false"/>
          <w:i w:val="false"/>
          <w:iCs w:val="false"/>
          <w:caps w:val="false"/>
          <w:color w:val="1A1A1A"/>
          <w:sz w:val="22"/>
          <w:szCs w:val="22"/>
        </w:rPr>
        <w:t xml:space="preserve">At Level 5: Advanced, students study 10 core texts over the academic year — four structured lessons per book, totalling 40 lessons. Each text is selected according to five rigorous criteria: moral depth, narrative clarity, cultural richness, language development potential, and ecological richness. Texts marked [ECO] carry a formal Eco-Reasoning designation and include at least one eco-integrated lesson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3526"/>
        <w:gridCol w:w="600"/>
      </w:tblGrid>
      <w:tr>
        <w:trPr>
          <w:tblHeader/>
        </w:trPr>
        <w:tc>
          <w:tcPr>
            <w:tcW w:type="dxa" w:w="3400"/>
            <w:tcBorders>
              <w:top w:val="single" w:color="D1D5DB" w:sz="4"/>
              <w:left w:val="single" w:color="D1D5DB" w:sz="4"/>
              <w:bottom w:val="single" w:color="D1D5DB" w:sz="4"/>
              <w:right w:val="single" w:color="D1D5DB" w:sz="4"/>
            </w:tcBorders>
            <w:shd w:fill="1D4ED8" w:val="clear"/>
            <w:tcMar>
              <w:top w:type="dxa" w:w="100"/>
              <w:left w:type="dxa" w:w="150"/>
              <w:bottom w:type="dxa" w:w="100"/>
              <w:right w:type="dxa" w:w="150"/>
            </w:tcMar>
            <w:vAlign w:val="center"/>
          </w:tcPr>
          <w:p>
            <w:pPr>
              <w:spacing w:after="60" w:before="60"/>
              <w:jc w:val="left"/>
            </w:pPr>
            <w:r>
              <w:rPr>
                <w:rFonts w:ascii="Arial" w:cs="Arial" w:eastAsia="Arial" w:hAnsi="Arial"/>
                <w:b/>
                <w:bCs/>
                <w:color w:val="FFFFFF"/>
                <w:sz w:val="20"/>
                <w:szCs w:val="20"/>
              </w:rPr>
              <w:t xml:space="preserve">Title</w:t>
            </w:r>
          </w:p>
        </w:tc>
        <w:tc>
          <w:tcPr>
            <w:tcW w:type="dxa" w:w="1500"/>
            <w:tcBorders>
              <w:top w:val="single" w:color="D1D5DB" w:sz="4"/>
              <w:left w:val="single" w:color="D1D5DB" w:sz="4"/>
              <w:bottom w:val="single" w:color="D1D5DB" w:sz="4"/>
              <w:right w:val="single" w:color="D1D5DB" w:sz="4"/>
            </w:tcBorders>
            <w:shd w:fill="1D4ED8" w:val="clear"/>
            <w:tcMar>
              <w:top w:type="dxa" w:w="100"/>
              <w:left w:type="dxa" w:w="150"/>
              <w:bottom w:type="dxa" w:w="100"/>
              <w:right w:type="dxa" w:w="150"/>
            </w:tcMar>
            <w:vAlign w:val="center"/>
          </w:tcPr>
          <w:p>
            <w:pPr>
              <w:spacing w:after="60" w:before="60"/>
              <w:jc w:val="left"/>
            </w:pPr>
            <w:r>
              <w:rPr>
                <w:rFonts w:ascii="Arial" w:cs="Arial" w:eastAsia="Arial" w:hAnsi="Arial"/>
                <w:b/>
                <w:bCs/>
                <w:color w:val="FFFFFF"/>
                <w:sz w:val="20"/>
                <w:szCs w:val="20"/>
              </w:rPr>
              <w:t xml:space="preserve">Author</w:t>
            </w:r>
          </w:p>
        </w:tc>
        <w:tc>
          <w:tcPr>
            <w:tcW w:type="dxa" w:w="3526"/>
            <w:tcBorders>
              <w:top w:val="single" w:color="D1D5DB" w:sz="4"/>
              <w:left w:val="single" w:color="D1D5DB" w:sz="4"/>
              <w:bottom w:val="single" w:color="D1D5DB" w:sz="4"/>
              <w:right w:val="single" w:color="D1D5DB" w:sz="4"/>
            </w:tcBorders>
            <w:shd w:fill="1D4ED8" w:val="clear"/>
            <w:tcMar>
              <w:top w:type="dxa" w:w="100"/>
              <w:left w:type="dxa" w:w="150"/>
              <w:bottom w:type="dxa" w:w="100"/>
              <w:right w:type="dxa" w:w="150"/>
            </w:tcMar>
            <w:vAlign w:val="center"/>
          </w:tcPr>
          <w:p>
            <w:pPr>
              <w:spacing w:after="60" w:before="60"/>
              <w:jc w:val="left"/>
            </w:pPr>
            <w:r>
              <w:rPr>
                <w:rFonts w:ascii="Arial" w:cs="Arial" w:eastAsia="Arial" w:hAnsi="Arial"/>
                <w:b/>
                <w:bCs/>
                <w:color w:val="FFFFFF"/>
                <w:sz w:val="20"/>
                <w:szCs w:val="20"/>
              </w:rPr>
              <w:t xml:space="preserve">Central Moral Question / Theme</w:t>
            </w:r>
          </w:p>
        </w:tc>
        <w:tc>
          <w:tcPr>
            <w:tcW w:type="dxa" w:w="600"/>
            <w:tcBorders>
              <w:top w:val="single" w:color="D1D5DB" w:sz="4"/>
              <w:left w:val="single" w:color="D1D5DB" w:sz="4"/>
              <w:bottom w:val="single" w:color="D1D5DB" w:sz="4"/>
              <w:right w:val="single" w:color="D1D5DB" w:sz="4"/>
            </w:tcBorders>
            <w:shd w:fill="1D4ED8" w:val="clear"/>
            <w:tcMar>
              <w:top w:type="dxa" w:w="100"/>
              <w:left w:type="dxa" w:w="150"/>
              <w:bottom w:type="dxa" w:w="100"/>
              <w:right w:type="dxa" w:w="150"/>
            </w:tcMar>
            <w:vAlign w:val="center"/>
          </w:tcPr>
          <w:p>
            <w:pPr>
              <w:spacing w:after="60" w:before="60"/>
              <w:jc w:val="left"/>
            </w:pPr>
            <w:r>
              <w:rPr>
                <w:rFonts w:ascii="Arial" w:cs="Arial" w:eastAsia="Arial" w:hAnsi="Arial"/>
                <w:b/>
                <w:bCs/>
                <w:color w:val="FFFFFF"/>
                <w:sz w:val="20"/>
                <w:szCs w:val="20"/>
              </w:rPr>
              <w:t xml:space="preserve">Eco</w:t>
            </w:r>
          </w:p>
        </w:tc>
      </w:tr>
      <w:tr>
        <w:tc>
          <w:tcPr>
            <w:tcW w:type="dxa" w:w="3400"/>
            <w:tcBorders>
              <w:top w:val="single" w:color="D1D5DB" w:sz="4"/>
              <w:left w:val="single" w:color="D1D5DB" w:sz="4"/>
              <w:bottom w:val="single" w:color="D1D5DB" w:sz="4"/>
              <w:right w:val="single" w:color="D1D5DB" w:sz="4"/>
            </w:tcBorders>
            <w:shd w:fill="EFF6FF"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Things Fall Apart</w:t>
            </w:r>
          </w:p>
        </w:tc>
        <w:tc>
          <w:tcPr>
            <w:tcW w:type="dxa" w:w="15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4A5568"/>
                <w:sz w:val="19"/>
                <w:szCs w:val="19"/>
              </w:rPr>
              <w:t xml:space="preserve">Achebe</w:t>
            </w:r>
          </w:p>
        </w:tc>
        <w:tc>
          <w:tcPr>
            <w:tcW w:type="dxa" w:w="3526"/>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19"/>
                <w:szCs w:val="19"/>
              </w:rPr>
              <w:t xml:space="preserve">Colonialism, cultural identity, and the cost of enforced change</w:t>
            </w:r>
          </w:p>
        </w:tc>
        <w:tc>
          <w:tcPr>
            <w:tcW w:type="dxa" w:w="6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bCs/>
                <w:color w:val="1D4ED8"/>
                <w:sz w:val="16"/>
                <w:szCs w:val="16"/>
              </w:rPr>
              <w:t xml:space="preserve"/>
            </w:r>
          </w:p>
        </w:tc>
      </w:tr>
      <w:tr>
        <w:tc>
          <w:tcPr>
            <w:tcW w:type="dxa" w:w="34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1984</w:t>
            </w:r>
          </w:p>
        </w:tc>
        <w:tc>
          <w:tcPr>
            <w:tcW w:type="dxa" w:w="1500"/>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4A5568"/>
                <w:sz w:val="19"/>
                <w:szCs w:val="19"/>
              </w:rPr>
              <w:t xml:space="preserve">Orwell</w:t>
            </w:r>
          </w:p>
        </w:tc>
        <w:tc>
          <w:tcPr>
            <w:tcW w:type="dxa" w:w="3526"/>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19"/>
                <w:szCs w:val="19"/>
              </w:rPr>
              <w:t xml:space="preserve">Power, surveillance, language as control, and the possibility of truth</w:t>
            </w:r>
          </w:p>
        </w:tc>
        <w:tc>
          <w:tcPr>
            <w:tcW w:type="dxa" w:w="600"/>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bCs/>
                <w:color w:val="1D4ED8"/>
                <w:sz w:val="16"/>
                <w:szCs w:val="16"/>
              </w:rPr>
              <w:t xml:space="preserve"/>
            </w:r>
          </w:p>
        </w:tc>
      </w:tr>
      <w:tr>
        <w:tc>
          <w:tcPr>
            <w:tcW w:type="dxa" w:w="3400"/>
            <w:tcBorders>
              <w:top w:val="single" w:color="D1D5DB" w:sz="4"/>
              <w:left w:val="single" w:color="D1D5DB" w:sz="4"/>
              <w:bottom w:val="single" w:color="D1D5DB" w:sz="4"/>
              <w:right w:val="single" w:color="D1D5DB" w:sz="4"/>
            </w:tcBorders>
            <w:shd w:fill="EFF6FF"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Beloved</w:t>
            </w:r>
          </w:p>
        </w:tc>
        <w:tc>
          <w:tcPr>
            <w:tcW w:type="dxa" w:w="15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4A5568"/>
                <w:sz w:val="19"/>
                <w:szCs w:val="19"/>
              </w:rPr>
              <w:t xml:space="preserve">Morrison</w:t>
            </w:r>
          </w:p>
        </w:tc>
        <w:tc>
          <w:tcPr>
            <w:tcW w:type="dxa" w:w="3526"/>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19"/>
                <w:szCs w:val="19"/>
              </w:rPr>
              <w:t xml:space="preserve">Memory, trauma, the legacy of slavery, and the ethics of witness</w:t>
            </w:r>
          </w:p>
        </w:tc>
        <w:tc>
          <w:tcPr>
            <w:tcW w:type="dxa" w:w="6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bCs/>
                <w:color w:val="1D4ED8"/>
                <w:sz w:val="16"/>
                <w:szCs w:val="16"/>
              </w:rPr>
              <w:t xml:space="preserve"/>
            </w:r>
          </w:p>
        </w:tc>
      </w:tr>
      <w:tr>
        <w:tc>
          <w:tcPr>
            <w:tcW w:type="dxa" w:w="34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The Overstory</w:t>
            </w:r>
          </w:p>
        </w:tc>
        <w:tc>
          <w:tcPr>
            <w:tcW w:type="dxa" w:w="1500"/>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4A5568"/>
                <w:sz w:val="19"/>
                <w:szCs w:val="19"/>
              </w:rPr>
              <w:t xml:space="preserve">Powers</w:t>
            </w:r>
          </w:p>
        </w:tc>
        <w:tc>
          <w:tcPr>
            <w:tcW w:type="dxa" w:w="3526"/>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19"/>
                <w:szCs w:val="19"/>
              </w:rPr>
              <w:t xml:space="preserve">Human-tree interdependence, ecological grief, and activist ethics</w:t>
            </w:r>
          </w:p>
        </w:tc>
        <w:tc>
          <w:tcPr>
            <w:tcW w:type="dxa" w:w="600"/>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bCs/>
                <w:color w:val="1D4ED8"/>
                <w:sz w:val="16"/>
                <w:szCs w:val="16"/>
              </w:rPr>
              <w:t xml:space="preserve">✦ ECO</w:t>
            </w:r>
          </w:p>
        </w:tc>
      </w:tr>
      <w:tr>
        <w:tc>
          <w:tcPr>
            <w:tcW w:type="dxa" w:w="3400"/>
            <w:tcBorders>
              <w:top w:val="single" w:color="D1D5DB" w:sz="4"/>
              <w:left w:val="single" w:color="D1D5DB" w:sz="4"/>
              <w:bottom w:val="single" w:color="D1D5DB" w:sz="4"/>
              <w:right w:val="single" w:color="D1D5DB" w:sz="4"/>
            </w:tcBorders>
            <w:shd w:fill="EFF6FF"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Braiding Sweetgrass (sel. essays)</w:t>
            </w:r>
          </w:p>
        </w:tc>
        <w:tc>
          <w:tcPr>
            <w:tcW w:type="dxa" w:w="15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4A5568"/>
                <w:sz w:val="19"/>
                <w:szCs w:val="19"/>
              </w:rPr>
              <w:t xml:space="preserve">Kimmerer</w:t>
            </w:r>
          </w:p>
        </w:tc>
        <w:tc>
          <w:tcPr>
            <w:tcW w:type="dxa" w:w="3526"/>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19"/>
                <w:szCs w:val="19"/>
              </w:rPr>
              <w:t xml:space="preserve">Indigenous ecological knowledge, reciprocity, and the grammar of animacy</w:t>
            </w:r>
          </w:p>
        </w:tc>
        <w:tc>
          <w:tcPr>
            <w:tcW w:type="dxa" w:w="6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bCs/>
                <w:color w:val="1D4ED8"/>
                <w:sz w:val="16"/>
                <w:szCs w:val="16"/>
              </w:rPr>
              <w:t xml:space="preserve">✦ ECO</w:t>
            </w:r>
          </w:p>
        </w:tc>
      </w:tr>
      <w:tr>
        <w:tc>
          <w:tcPr>
            <w:tcW w:type="dxa" w:w="34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20"/>
                <w:szCs w:val="20"/>
              </w:rPr>
              <w:t xml:space="preserve">5 additional titles selected per WWL text criteria</w:t>
            </w:r>
          </w:p>
        </w:tc>
        <w:tc>
          <w:tcPr>
            <w:tcW w:type="dxa" w:w="1500"/>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4A5568"/>
                <w:sz w:val="19"/>
                <w:szCs w:val="19"/>
              </w:rPr>
              <w:t xml:space="preserve">—</w:t>
            </w:r>
          </w:p>
        </w:tc>
        <w:tc>
          <w:tcPr>
            <w:tcW w:type="dxa" w:w="3526"/>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19"/>
                <w:szCs w:val="19"/>
              </w:rPr>
              <w:t xml:space="preserve">Diverse genres; intertextual analysis; ecological philosophy</w:t>
            </w:r>
          </w:p>
        </w:tc>
        <w:tc>
          <w:tcPr>
            <w:tcW w:type="dxa" w:w="600"/>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bCs/>
                <w:color w:val="1D4ED8"/>
                <w:sz w:val="16"/>
                <w:szCs w:val="16"/>
              </w:rPr>
              <w:t xml:space="preserve"/>
            </w:r>
          </w:p>
        </w:tc>
      </w:tr>
    </w:tbl>
    <w:p>
      <w:pPr>
        <w:spacing w:after="0" w:before="80"/>
      </w:pPr>
      <w:r>
        <w:t xml:space="preserve"/>
      </w:r>
    </w:p>
    <w:p>
      <w:pPr>
        <w:spacing w:after="100" w:before="80"/>
        <w:jc w:val="left"/>
      </w:pPr>
      <w:r>
        <w:rPr>
          <w:rFonts w:ascii="Arial" w:cs="Arial" w:eastAsia="Arial" w:hAnsi="Arial"/>
          <w:b w:val="false"/>
          <w:bCs w:val="false"/>
          <w:i/>
          <w:iCs/>
          <w:caps w:val="false"/>
          <w:color w:val="4A5568"/>
          <w:sz w:val="19"/>
          <w:szCs w:val="19"/>
        </w:rPr>
        <w:t xml:space="preserve">Note: The complete 10-text roster — including the 6 additional titles — is finalised by the teacher in consultation with WWL text selection criteria and the cultural context of the school community. All selected texts meet the five-criterion standard.</w:t>
      </w:r>
    </w:p>
    <w:p>
      <w:pPr>
        <w:pBdr>
          <w:bottom w:val="single" w:color="1D4ED8" w:sz="4"/>
        </w:pBdr>
        <w:spacing w:after="200" w:before="200"/>
      </w:pPr>
      <w:r>
        <w:t xml:space="preserve"/>
      </w:r>
    </w:p>
    <w:p>
      <w:pPr>
        <w:pBdr>
          <w:bottom w:val="single" w:color="1D4ED8" w:sz="8"/>
        </w:pBdr>
        <w:spacing w:after="120" w:before="400"/>
      </w:pPr>
      <w:r>
        <w:rPr>
          <w:rFonts w:ascii="Arial" w:cs="Arial" w:eastAsia="Arial" w:hAnsi="Arial"/>
          <w:b/>
          <w:bCs/>
          <w:caps w:val="false"/>
          <w:color w:val="1D4ED8"/>
          <w:sz w:val="24"/>
          <w:szCs w:val="24"/>
        </w:rPr>
        <w:t xml:space="preserve">YOUR ACADEMIC YEAR — TERM BY TERM</w:t>
      </w:r>
    </w:p>
    <w:p>
      <w:pPr>
        <w:spacing w:after="100" w:before="80"/>
        <w:jc w:val="left"/>
      </w:pPr>
      <w:r>
        <w:rPr>
          <w:rFonts w:ascii="Arial" w:cs="Arial" w:eastAsia="Arial" w:hAnsi="Arial"/>
          <w:b w:val="false"/>
          <w:bCs w:val="false"/>
          <w:i w:val="false"/>
          <w:iCs w:val="false"/>
          <w:caps w:val="false"/>
          <w:color w:val="1A1A1A"/>
          <w:sz w:val="22"/>
          <w:szCs w:val="22"/>
        </w:rPr>
        <w:t xml:space="preserve">The 40-lesson year is organised into three terms. Each term deepens the application of the Jurassic Thinking Cycle™ and introduces new intellectual and ecological challenges.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026"/>
      </w:tblGrid>
      <w:tr>
        <w:trPr>
          <w:tblHeader/>
        </w:trPr>
        <w:tc>
          <w:tcPr>
            <w:tcW w:type="dxa" w:w="1400"/>
            <w:tcBorders>
              <w:top w:val="single" w:color="D1D5DB" w:sz="4"/>
              <w:left w:val="single" w:color="D1D5DB" w:sz="4"/>
              <w:bottom w:val="single" w:color="D1D5DB" w:sz="4"/>
              <w:right w:val="single" w:color="D1D5DB" w:sz="4"/>
            </w:tcBorders>
            <w:shd w:fill="1D4ED8" w:val="clear"/>
            <w:tcMar>
              <w:top w:type="dxa" w:w="100"/>
              <w:left w:type="dxa" w:w="150"/>
              <w:bottom w:type="dxa" w:w="100"/>
              <w:right w:type="dxa" w:w="150"/>
            </w:tcMar>
            <w:vAlign w:val="center"/>
          </w:tcPr>
          <w:p>
            <w:pPr>
              <w:spacing w:after="60" w:before="60"/>
              <w:jc w:val="left"/>
            </w:pPr>
            <w:r>
              <w:rPr>
                <w:rFonts w:ascii="Arial" w:cs="Arial" w:eastAsia="Arial" w:hAnsi="Arial"/>
                <w:b/>
                <w:bCs/>
                <w:color w:val="FFFFFF"/>
                <w:sz w:val="20"/>
                <w:szCs w:val="20"/>
              </w:rPr>
              <w:t xml:space="preserve">Term</w:t>
            </w:r>
          </w:p>
        </w:tc>
        <w:tc>
          <w:tcPr>
            <w:tcW w:type="dxa" w:w="1600"/>
            <w:tcBorders>
              <w:top w:val="single" w:color="D1D5DB" w:sz="4"/>
              <w:left w:val="single" w:color="D1D5DB" w:sz="4"/>
              <w:bottom w:val="single" w:color="D1D5DB" w:sz="4"/>
              <w:right w:val="single" w:color="D1D5DB" w:sz="4"/>
            </w:tcBorders>
            <w:shd w:fill="1D4ED8" w:val="clear"/>
            <w:tcMar>
              <w:top w:type="dxa" w:w="100"/>
              <w:left w:type="dxa" w:w="150"/>
              <w:bottom w:type="dxa" w:w="100"/>
              <w:right w:type="dxa" w:w="150"/>
            </w:tcMar>
            <w:vAlign w:val="center"/>
          </w:tcPr>
          <w:p>
            <w:pPr>
              <w:spacing w:after="60" w:before="60"/>
              <w:jc w:val="left"/>
            </w:pPr>
            <w:r>
              <w:rPr>
                <w:rFonts w:ascii="Arial" w:cs="Arial" w:eastAsia="Arial" w:hAnsi="Arial"/>
                <w:b/>
                <w:bCs/>
                <w:color w:val="FFFFFF"/>
                <w:sz w:val="20"/>
                <w:szCs w:val="20"/>
              </w:rPr>
              <w:t xml:space="preserve">Scope</w:t>
            </w:r>
          </w:p>
        </w:tc>
        <w:tc>
          <w:tcPr>
            <w:tcW w:type="dxa" w:w="6026"/>
            <w:tcBorders>
              <w:top w:val="single" w:color="D1D5DB" w:sz="4"/>
              <w:left w:val="single" w:color="D1D5DB" w:sz="4"/>
              <w:bottom w:val="single" w:color="D1D5DB" w:sz="4"/>
              <w:right w:val="single" w:color="D1D5DB" w:sz="4"/>
            </w:tcBorders>
            <w:shd w:fill="1D4ED8" w:val="clear"/>
            <w:tcMar>
              <w:top w:type="dxa" w:w="100"/>
              <w:left w:type="dxa" w:w="150"/>
              <w:bottom w:type="dxa" w:w="100"/>
              <w:right w:type="dxa" w:w="150"/>
            </w:tcMar>
            <w:vAlign w:val="center"/>
          </w:tcPr>
          <w:p>
            <w:pPr>
              <w:spacing w:after="60" w:before="60"/>
              <w:jc w:val="left"/>
            </w:pPr>
            <w:r>
              <w:rPr>
                <w:rFonts w:ascii="Arial" w:cs="Arial" w:eastAsia="Arial" w:hAnsi="Arial"/>
                <w:b/>
                <w:bCs/>
                <w:color w:val="FFFFFF"/>
                <w:sz w:val="20"/>
                <w:szCs w:val="20"/>
              </w:rPr>
              <w:t xml:space="preserve">Focus and Key Activities</w:t>
            </w:r>
          </w:p>
        </w:tc>
      </w:tr>
      <w:tr>
        <w:tc>
          <w:tcPr>
            <w:tcW w:type="dxa" w:w="1400"/>
            <w:tcBorders>
              <w:top w:val="single" w:color="D1D5DB" w:sz="4"/>
              <w:left w:val="single" w:color="D1D5DB" w:sz="4"/>
              <w:bottom w:val="single" w:color="D1D5DB" w:sz="4"/>
              <w:right w:val="single" w:color="D1D5DB" w:sz="4"/>
            </w:tcBorders>
            <w:shd w:fill="EFF6FF"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Term 1</w:t>
            </w:r>
          </w:p>
        </w:tc>
        <w:tc>
          <w:tcPr>
            <w:tcW w:type="dxa" w:w="16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4A5568"/>
                <w:sz w:val="19"/>
                <w:szCs w:val="19"/>
              </w:rPr>
              <w:t xml:space="preserve">Lessons 1–13
Units 1–3</w:t>
            </w:r>
          </w:p>
        </w:tc>
        <w:tc>
          <w:tcPr>
            <w:tcW w:type="dxa" w:w="6026"/>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20"/>
                <w:szCs w:val="20"/>
              </w:rPr>
              <w:t xml:space="preserve">Intertextual analysis: postcolonial and dystopian frameworks compared. Full academic essay — counterargument, synthesis, and formal citation. Eco strand: The Overstory — ecological grief and activist ethics as philosophical positions. Ecological Anchor Question: 'What do humans owe to trees — and why?'</w:t>
            </w:r>
          </w:p>
        </w:tc>
      </w:tr>
      <w:tr>
        <w:tc>
          <w:tcPr>
            <w:tcW w:type="dxa" w:w="1400"/>
            <w:tcBorders>
              <w:top w:val="single" w:color="D1D5DB" w:sz="4"/>
              <w:left w:val="single" w:color="D1D5DB" w:sz="4"/>
              <w:bottom w:val="single" w:color="D1D5DB" w:sz="4"/>
              <w:right w:val="single" w:color="D1D5DB" w:sz="4"/>
            </w:tcBorders>
            <w:shd w:fill="EFF6FF"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Term 2</w:t>
            </w:r>
          </w:p>
        </w:tc>
        <w:tc>
          <w:tcPr>
            <w:tcW w:type="dxa" w:w="1600"/>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4A5568"/>
                <w:sz w:val="19"/>
                <w:szCs w:val="19"/>
              </w:rPr>
              <w:t xml:space="preserve">Lessons 14–27
Units 4–7</w:t>
            </w:r>
          </w:p>
        </w:tc>
        <w:tc>
          <w:tcPr>
            <w:tcW w:type="dxa" w:w="6026"/>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20"/>
                <w:szCs w:val="20"/>
              </w:rPr>
              <w:t xml:space="preserve">Genre diversity: memoir (Beloved) and scientific-literary essay (Braiding Sweetgrass) as formal literary modes. Policy critique eco-reasoning: 'What systemic changes does this ecological crisis require, and who bears the cost?' Systems Thinking Probe at full philosophical depth. Indigenous knowledge frameworks evaluated on their own terms.</w:t>
            </w:r>
          </w:p>
        </w:tc>
      </w:tr>
      <w:tr>
        <w:tc>
          <w:tcPr>
            <w:tcW w:type="dxa" w:w="1400"/>
            <w:tcBorders>
              <w:top w:val="single" w:color="D1D5DB" w:sz="4"/>
              <w:left w:val="single" w:color="D1D5DB" w:sz="4"/>
              <w:bottom w:val="single" w:color="D1D5DB" w:sz="4"/>
              <w:right w:val="single" w:color="D1D5DB" w:sz="4"/>
            </w:tcBorders>
            <w:shd w:fill="EFF6FF"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Term 3</w:t>
            </w:r>
          </w:p>
        </w:tc>
        <w:tc>
          <w:tcPr>
            <w:tcW w:type="dxa" w:w="16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4A5568"/>
                <w:sz w:val="19"/>
                <w:szCs w:val="19"/>
              </w:rPr>
              <w:t xml:space="preserve">Lessons 28–40
Units 8–10</w:t>
            </w:r>
          </w:p>
        </w:tc>
        <w:tc>
          <w:tcPr>
            <w:tcW w:type="dxa" w:w="6026"/>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20"/>
                <w:szCs w:val="20"/>
              </w:rPr>
              <w:t xml:space="preserve">Extended research essay: multi-text thematic synthesis with formal citation. Final portfolio growth narrative: 'My reasoning journey across all levels of Jurassic English™.' CEFR C1 self-assessment. International examination preparation — IB, Cambridge Advanced, AP Literature — with WWL guidance.</w:t>
            </w:r>
          </w:p>
        </w:tc>
      </w:tr>
    </w:tbl>
    <w:p>
      <w:pPr>
        <w:pBdr>
          <w:bottom w:val="single" w:color="1D4ED8" w:sz="4"/>
        </w:pBdr>
        <w:spacing w:after="200" w:before="200"/>
      </w:pPr>
      <w:r>
        <w:t xml:space="preserve"/>
      </w:r>
    </w:p>
    <w:p>
      <w:pPr>
        <w:pBdr>
          <w:bottom w:val="single" w:color="1D4ED8" w:sz="8"/>
        </w:pBdr>
        <w:spacing w:after="120" w:before="400"/>
      </w:pPr>
      <w:r>
        <w:rPr>
          <w:rFonts w:ascii="Arial" w:cs="Arial" w:eastAsia="Arial" w:hAnsi="Arial"/>
          <w:b/>
          <w:bCs/>
          <w:caps w:val="false"/>
          <w:color w:val="1D4ED8"/>
          <w:sz w:val="24"/>
          <w:szCs w:val="24"/>
        </w:rPr>
        <w:t xml:space="preserve">HOW WE MEASURE PROGRESS</w:t>
      </w:r>
    </w:p>
    <w:p>
      <w:pPr>
        <w:spacing w:after="100" w:before="80"/>
        <w:jc w:val="left"/>
      </w:pPr>
      <w:r>
        <w:rPr>
          <w:rFonts w:ascii="Arial" w:cs="Arial" w:eastAsia="Arial" w:hAnsi="Arial"/>
          <w:b w:val="false"/>
          <w:bCs w:val="false"/>
          <w:i w:val="false"/>
          <w:iCs w:val="false"/>
          <w:caps w:val="false"/>
          <w:color w:val="1A1A1A"/>
          <w:sz w:val="22"/>
          <w:szCs w:val="22"/>
        </w:rPr>
        <w:t xml:space="preserve">Assessment in Jurassic English™ focuses on the quality of reasoning — not just the presence of a quotation. A student who cites evidence but cannot explain its connection to their claim has not yet demonstrated proficient reasoning. The rubric and assessment tools are shared with students before instruction begins.</w:t>
      </w:r>
    </w:p>
    <w:p>
      <w:pPr>
        <w:spacing w:after="120" w:before="320"/>
      </w:pPr>
      <w:r>
        <w:rPr>
          <w:rFonts w:ascii="Arial" w:cs="Arial" w:eastAsia="Arial" w:hAnsi="Arial"/>
          <w:b/>
          <w:bCs/>
          <w:color w:val="1D4ED8"/>
          <w:sz w:val="26"/>
          <w:szCs w:val="26"/>
        </w:rPr>
        <w:t xml:space="preserve">Assessment Methods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26"/>
      </w:tblGrid>
      <w:tr>
        <w:trPr>
          <w:tblHeader/>
        </w:trPr>
        <w:tc>
          <w:tcPr>
            <w:tcW w:type="dxa" w:w="2400"/>
            <w:tcBorders>
              <w:top w:val="single" w:color="D1D5DB" w:sz="4"/>
              <w:left w:val="single" w:color="D1D5DB" w:sz="4"/>
              <w:bottom w:val="single" w:color="D1D5DB" w:sz="4"/>
              <w:right w:val="single" w:color="D1D5DB" w:sz="4"/>
            </w:tcBorders>
            <w:shd w:fill="1D4ED8" w:val="clear"/>
            <w:tcMar>
              <w:top w:type="dxa" w:w="100"/>
              <w:left w:type="dxa" w:w="150"/>
              <w:bottom w:type="dxa" w:w="100"/>
              <w:right w:type="dxa" w:w="150"/>
            </w:tcMar>
            <w:vAlign w:val="center"/>
          </w:tcPr>
          <w:p>
            <w:pPr>
              <w:spacing w:after="60" w:before="60"/>
              <w:jc w:val="left"/>
            </w:pPr>
            <w:r>
              <w:rPr>
                <w:rFonts w:ascii="Arial" w:cs="Arial" w:eastAsia="Arial" w:hAnsi="Arial"/>
                <w:b/>
                <w:bCs/>
                <w:color w:val="FFFFFF"/>
                <w:sz w:val="20"/>
                <w:szCs w:val="20"/>
              </w:rPr>
              <w:t xml:space="preserve">Assessment Method</w:t>
            </w:r>
          </w:p>
        </w:tc>
        <w:tc>
          <w:tcPr>
            <w:tcW w:type="dxa" w:w="1800"/>
            <w:tcBorders>
              <w:top w:val="single" w:color="D1D5DB" w:sz="4"/>
              <w:left w:val="single" w:color="D1D5DB" w:sz="4"/>
              <w:bottom w:val="single" w:color="D1D5DB" w:sz="4"/>
              <w:right w:val="single" w:color="D1D5DB" w:sz="4"/>
            </w:tcBorders>
            <w:shd w:fill="1D4ED8" w:val="clear"/>
            <w:tcMar>
              <w:top w:type="dxa" w:w="100"/>
              <w:left w:type="dxa" w:w="150"/>
              <w:bottom w:type="dxa" w:w="100"/>
              <w:right w:type="dxa" w:w="150"/>
            </w:tcMar>
            <w:vAlign w:val="center"/>
          </w:tcPr>
          <w:p>
            <w:pPr>
              <w:spacing w:after="60" w:before="60"/>
              <w:jc w:val="left"/>
            </w:pPr>
            <w:r>
              <w:rPr>
                <w:rFonts w:ascii="Arial" w:cs="Arial" w:eastAsia="Arial" w:hAnsi="Arial"/>
                <w:b/>
                <w:bCs/>
                <w:color w:val="FFFFFF"/>
                <w:sz w:val="20"/>
                <w:szCs w:val="20"/>
              </w:rPr>
              <w:t xml:space="preserve">Frequency</w:t>
            </w:r>
          </w:p>
        </w:tc>
        <w:tc>
          <w:tcPr>
            <w:tcW w:type="dxa" w:w="4826"/>
            <w:tcBorders>
              <w:top w:val="single" w:color="D1D5DB" w:sz="4"/>
              <w:left w:val="single" w:color="D1D5DB" w:sz="4"/>
              <w:bottom w:val="single" w:color="D1D5DB" w:sz="4"/>
              <w:right w:val="single" w:color="D1D5DB" w:sz="4"/>
            </w:tcBorders>
            <w:shd w:fill="1D4ED8" w:val="clear"/>
            <w:tcMar>
              <w:top w:type="dxa" w:w="100"/>
              <w:left w:type="dxa" w:w="150"/>
              <w:bottom w:type="dxa" w:w="100"/>
              <w:right w:type="dxa" w:w="150"/>
            </w:tcMar>
            <w:vAlign w:val="center"/>
          </w:tcPr>
          <w:p>
            <w:pPr>
              <w:spacing w:after="60" w:before="60"/>
              <w:jc w:val="left"/>
            </w:pPr>
            <w:r>
              <w:rPr>
                <w:rFonts w:ascii="Arial" w:cs="Arial" w:eastAsia="Arial" w:hAnsi="Arial"/>
                <w:b/>
                <w:bCs/>
                <w:color w:val="FFFFFF"/>
                <w:sz w:val="20"/>
                <w:szCs w:val="20"/>
              </w:rPr>
              <w:t xml:space="preserve">Purpose</w:t>
            </w:r>
          </w:p>
        </w:tc>
      </w:tr>
      <w:tr>
        <w:tc>
          <w:tcPr>
            <w:tcW w:type="dxa" w:w="2400"/>
            <w:tcBorders>
              <w:top w:val="single" w:color="D1D5DB" w:sz="4"/>
              <w:left w:val="single" w:color="D1D5DB" w:sz="4"/>
              <w:bottom w:val="single" w:color="D1D5DB" w:sz="4"/>
              <w:right w:val="single" w:color="D1D5DB" w:sz="4"/>
            </w:tcBorders>
            <w:shd w:fill="EFF6FF"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Lesson observation</w:t>
            </w:r>
          </w:p>
        </w:tc>
        <w:tc>
          <w:tcPr>
            <w:tcW w:type="dxa" w:w="18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4A5568"/>
                <w:sz w:val="19"/>
                <w:szCs w:val="19"/>
              </w:rPr>
              <w:t xml:space="preserve">Every lesson</w:t>
            </w:r>
          </w:p>
        </w:tc>
        <w:tc>
          <w:tcPr>
            <w:tcW w:type="dxa" w:w="4826"/>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20"/>
                <w:szCs w:val="20"/>
              </w:rPr>
              <w:t xml:space="preserve">Teacher assesses intertextual reasoning, source evaluation, and philosophical positioning. Eco-pressing dialogue: 'What does this mean for the living world beyond the story?'</w:t>
            </w:r>
          </w:p>
        </w:tc>
      </w:tr>
      <w:tr>
        <w:tc>
          <w:tcPr>
            <w:tcW w:type="dxa" w:w="24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Academic essay</w:t>
            </w:r>
          </w:p>
        </w:tc>
        <w:tc>
          <w:tcPr>
            <w:tcW w:type="dxa" w:w="1800"/>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4A5568"/>
                <w:sz w:val="19"/>
                <w:szCs w:val="19"/>
              </w:rPr>
              <w:t xml:space="preserve">Per unit</w:t>
            </w:r>
          </w:p>
        </w:tc>
        <w:tc>
          <w:tcPr>
            <w:tcW w:type="dxa" w:w="4826"/>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20"/>
                <w:szCs w:val="20"/>
              </w:rPr>
              <w:t xml:space="preserve">Multi-paragraph with counterargument, synthesis, and citation. Feedback within 24 hours. Aligned to IB/Cambridge assessment criteria.</w:t>
            </w:r>
          </w:p>
        </w:tc>
      </w:tr>
      <w:tr>
        <w:tc>
          <w:tcPr>
            <w:tcW w:type="dxa" w:w="2400"/>
            <w:tcBorders>
              <w:top w:val="single" w:color="D1D5DB" w:sz="4"/>
              <w:left w:val="single" w:color="D1D5DB" w:sz="4"/>
              <w:bottom w:val="single" w:color="D1D5DB" w:sz="4"/>
              <w:right w:val="single" w:color="D1D5DB" w:sz="4"/>
            </w:tcBorders>
            <w:shd w:fill="EFF6FF"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Policy critique reflection</w:t>
            </w:r>
          </w:p>
        </w:tc>
        <w:tc>
          <w:tcPr>
            <w:tcW w:type="dxa" w:w="18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4A5568"/>
                <w:sz w:val="19"/>
                <w:szCs w:val="19"/>
              </w:rPr>
              <w:t xml:space="preserve">Per eco unit</w:t>
            </w:r>
          </w:p>
        </w:tc>
        <w:tc>
          <w:tcPr>
            <w:tcW w:type="dxa" w:w="4826"/>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20"/>
                <w:szCs w:val="20"/>
              </w:rPr>
              <w:t xml:space="preserve">Formal written argument: 'What systemic changes does this crisis require?' Assessed on philosophical depth, evidence quality, and systemic reasoning.</w:t>
            </w:r>
          </w:p>
        </w:tc>
      </w:tr>
      <w:tr>
        <w:tc>
          <w:tcPr>
            <w:tcW w:type="dxa" w:w="24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Research essay</w:t>
            </w:r>
          </w:p>
        </w:tc>
        <w:tc>
          <w:tcPr>
            <w:tcW w:type="dxa" w:w="1800"/>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4A5568"/>
                <w:sz w:val="19"/>
                <w:szCs w:val="19"/>
              </w:rPr>
              <w:t xml:space="preserve">Terms 2 and 3</w:t>
            </w:r>
          </w:p>
        </w:tc>
        <w:tc>
          <w:tcPr>
            <w:tcW w:type="dxa" w:w="4826"/>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20"/>
                <w:szCs w:val="20"/>
              </w:rPr>
              <w:t xml:space="preserve">Multi-text thematic synthesis with formal citation. Preparation for international examination extended essay or commentary formats.</w:t>
            </w:r>
          </w:p>
        </w:tc>
      </w:tr>
      <w:tr>
        <w:tc>
          <w:tcPr>
            <w:tcW w:type="dxa" w:w="2400"/>
            <w:tcBorders>
              <w:top w:val="single" w:color="D1D5DB" w:sz="4"/>
              <w:left w:val="single" w:color="D1D5DB" w:sz="4"/>
              <w:bottom w:val="single" w:color="D1D5DB" w:sz="4"/>
              <w:right w:val="single" w:color="D1D5DB" w:sz="4"/>
            </w:tcBorders>
            <w:shd w:fill="EFF6FF"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Portfolio</w:t>
            </w:r>
          </w:p>
        </w:tc>
        <w:tc>
          <w:tcPr>
            <w:tcW w:type="dxa" w:w="18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4A5568"/>
                <w:sz w:val="19"/>
                <w:szCs w:val="19"/>
              </w:rPr>
              <w:t xml:space="preserve">Per unit (x10)</w:t>
            </w:r>
          </w:p>
        </w:tc>
        <w:tc>
          <w:tcPr>
            <w:tcW w:type="dxa" w:w="4826"/>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20"/>
                <w:szCs w:val="20"/>
              </w:rPr>
              <w:t xml:space="preserve">Best essay excerpt + eco-reasoning reflection per unit. Year-end: final growth narrative synthesising the full Jurassic English™ journey.</w:t>
            </w:r>
          </w:p>
        </w:tc>
      </w:tr>
      <w:tr>
        <w:tc>
          <w:tcPr>
            <w:tcW w:type="dxa" w:w="24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CEFR self-assessment</w:t>
            </w:r>
          </w:p>
        </w:tc>
        <w:tc>
          <w:tcPr>
            <w:tcW w:type="dxa" w:w="1800"/>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4A5568"/>
                <w:sz w:val="19"/>
                <w:szCs w:val="19"/>
              </w:rPr>
              <w:t xml:space="preserve">Each term</w:t>
            </w:r>
          </w:p>
        </w:tc>
        <w:tc>
          <w:tcPr>
            <w:tcW w:type="dxa" w:w="4826"/>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20"/>
                <w:szCs w:val="20"/>
              </w:rPr>
              <w:t xml:space="preserve">Student marks B2 / C1 descriptor grid. C1 readiness is confirmed through portfolio moderation, examination performance, and teacher assessment.</w:t>
            </w:r>
          </w:p>
        </w:tc>
      </w:tr>
    </w:tbl>
    <w:p>
      <w:pPr>
        <w:spacing w:after="0" w:before="120"/>
      </w:pPr>
      <w:r>
        <w:t xml:space="preserve"/>
      </w:r>
    </w:p>
    <w:p>
      <w:pPr>
        <w:spacing w:after="120" w:before="320"/>
      </w:pPr>
      <w:r>
        <w:rPr>
          <w:rFonts w:ascii="Arial" w:cs="Arial" w:eastAsia="Arial" w:hAnsi="Arial"/>
          <w:b/>
          <w:bCs/>
          <w:color w:val="1D4ED8"/>
          <w:sz w:val="26"/>
          <w:szCs w:val="26"/>
        </w:rPr>
        <w:t xml:space="preserve">The Four-Level Reasoning Rubric</w:t>
      </w:r>
    </w:p>
    <w:p>
      <w:pPr>
        <w:spacing w:after="100" w:before="80"/>
        <w:jc w:val="left"/>
      </w:pPr>
      <w:r>
        <w:rPr>
          <w:rFonts w:ascii="Arial" w:cs="Arial" w:eastAsia="Arial" w:hAnsi="Arial"/>
          <w:b w:val="false"/>
          <w:bCs w:val="false"/>
          <w:i w:val="false"/>
          <w:iCs w:val="false"/>
          <w:caps w:val="false"/>
          <w:color w:val="1A1A1A"/>
          <w:sz w:val="22"/>
          <w:szCs w:val="22"/>
        </w:rPr>
        <w:t xml:space="preserve">All written justification tasks are assessed using the WWL Four-Level Reasoning Rubric. This rubric is shared with students before they write — not after. Students are taught to self-assess their own reasoning.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2663"/>
        <w:gridCol w:w="2463"/>
      </w:tblGrid>
      <w:tr>
        <w:trPr>
          <w:tblHeader/>
        </w:trPr>
        <w:tc>
          <w:tcPr>
            <w:tcW w:type="dxa" w:w="1400"/>
            <w:tcBorders>
              <w:top w:val="single" w:color="D1D5DB" w:sz="4"/>
              <w:left w:val="single" w:color="D1D5DB" w:sz="4"/>
              <w:bottom w:val="single" w:color="D1D5DB" w:sz="4"/>
              <w:right w:val="single" w:color="D1D5DB" w:sz="4"/>
            </w:tcBorders>
            <w:shd w:fill="1D4ED8" w:val="clear"/>
            <w:tcMar>
              <w:top w:type="dxa" w:w="100"/>
              <w:left w:type="dxa" w:w="150"/>
              <w:bottom w:type="dxa" w:w="100"/>
              <w:right w:type="dxa" w:w="150"/>
            </w:tcMar>
            <w:vAlign w:val="center"/>
          </w:tcPr>
          <w:p>
            <w:pPr>
              <w:spacing w:after="60" w:before="60"/>
              <w:jc w:val="left"/>
            </w:pPr>
            <w:r>
              <w:rPr>
                <w:rFonts w:ascii="Arial" w:cs="Arial" w:eastAsia="Arial" w:hAnsi="Arial"/>
                <w:b/>
                <w:bCs/>
                <w:color w:val="FFFFFF"/>
                <w:sz w:val="20"/>
                <w:szCs w:val="20"/>
              </w:rPr>
              <w:t xml:space="preserve">Level</w:t>
            </w:r>
          </w:p>
        </w:tc>
        <w:tc>
          <w:tcPr>
            <w:tcW w:type="dxa" w:w="2500"/>
            <w:tcBorders>
              <w:top w:val="single" w:color="D1D5DB" w:sz="4"/>
              <w:left w:val="single" w:color="D1D5DB" w:sz="4"/>
              <w:bottom w:val="single" w:color="D1D5DB" w:sz="4"/>
              <w:right w:val="single" w:color="D1D5DB" w:sz="4"/>
            </w:tcBorders>
            <w:shd w:fill="1D4ED8" w:val="clear"/>
            <w:tcMar>
              <w:top w:type="dxa" w:w="100"/>
              <w:left w:type="dxa" w:w="150"/>
              <w:bottom w:type="dxa" w:w="100"/>
              <w:right w:type="dxa" w:w="150"/>
            </w:tcMar>
            <w:vAlign w:val="center"/>
          </w:tcPr>
          <w:p>
            <w:pPr>
              <w:spacing w:after="60" w:before="60"/>
              <w:jc w:val="left"/>
            </w:pPr>
            <w:r>
              <w:rPr>
                <w:rFonts w:ascii="Arial" w:cs="Arial" w:eastAsia="Arial" w:hAnsi="Arial"/>
                <w:b/>
                <w:bCs/>
                <w:color w:val="FFFFFF"/>
                <w:sz w:val="20"/>
                <w:szCs w:val="20"/>
              </w:rPr>
              <w:t xml:space="preserve">Descriptor</w:t>
            </w:r>
          </w:p>
        </w:tc>
        <w:tc>
          <w:tcPr>
            <w:tcW w:type="dxa" w:w="2663"/>
            <w:tcBorders>
              <w:top w:val="single" w:color="D1D5DB" w:sz="4"/>
              <w:left w:val="single" w:color="D1D5DB" w:sz="4"/>
              <w:bottom w:val="single" w:color="D1D5DB" w:sz="4"/>
              <w:right w:val="single" w:color="D1D5DB" w:sz="4"/>
            </w:tcBorders>
            <w:shd w:fill="1D4ED8" w:val="clear"/>
            <w:tcMar>
              <w:top w:type="dxa" w:w="100"/>
              <w:left w:type="dxa" w:w="150"/>
              <w:bottom w:type="dxa" w:w="100"/>
              <w:right w:type="dxa" w:w="150"/>
            </w:tcMar>
            <w:vAlign w:val="center"/>
          </w:tcPr>
          <w:p>
            <w:pPr>
              <w:spacing w:after="60" w:before="60"/>
              <w:jc w:val="left"/>
            </w:pPr>
            <w:r>
              <w:rPr>
                <w:rFonts w:ascii="Arial" w:cs="Arial" w:eastAsia="Arial" w:hAnsi="Arial"/>
                <w:b/>
                <w:bCs/>
                <w:color w:val="FFFFFF"/>
                <w:sz w:val="20"/>
                <w:szCs w:val="20"/>
              </w:rPr>
              <w:t xml:space="preserve">Justification Quality</w:t>
            </w:r>
          </w:p>
        </w:tc>
        <w:tc>
          <w:tcPr>
            <w:tcW w:type="dxa" w:w="2463"/>
            <w:tcBorders>
              <w:top w:val="single" w:color="D1D5DB" w:sz="4"/>
              <w:left w:val="single" w:color="D1D5DB" w:sz="4"/>
              <w:bottom w:val="single" w:color="D1D5DB" w:sz="4"/>
              <w:right w:val="single" w:color="D1D5DB" w:sz="4"/>
            </w:tcBorders>
            <w:shd w:fill="1D4ED8" w:val="clear"/>
            <w:tcMar>
              <w:top w:type="dxa" w:w="100"/>
              <w:left w:type="dxa" w:w="150"/>
              <w:bottom w:type="dxa" w:w="100"/>
              <w:right w:type="dxa" w:w="150"/>
            </w:tcMar>
            <w:vAlign w:val="center"/>
          </w:tcPr>
          <w:p>
            <w:pPr>
              <w:spacing w:after="60" w:before="60"/>
              <w:jc w:val="left"/>
            </w:pPr>
            <w:r>
              <w:rPr>
                <w:rFonts w:ascii="Arial" w:cs="Arial" w:eastAsia="Arial" w:hAnsi="Arial"/>
                <w:b/>
                <w:bCs/>
                <w:color w:val="FFFFFF"/>
                <w:sz w:val="20"/>
                <w:szCs w:val="20"/>
              </w:rPr>
              <w:t xml:space="preserve">Evidence Use</w:t>
            </w:r>
          </w:p>
        </w:tc>
      </w:tr>
      <w:tr>
        <w:tc>
          <w:tcPr>
            <w:tcW w:type="dxa" w:w="1400"/>
            <w:tcBorders>
              <w:top w:val="single" w:color="D1D5DB" w:sz="4"/>
              <w:left w:val="single" w:color="D1D5DB" w:sz="4"/>
              <w:bottom w:val="single" w:color="D1D5DB" w:sz="4"/>
              <w:right w:val="single" w:color="D1D5DB" w:sz="4"/>
            </w:tcBorders>
            <w:shd w:fill="EFF6FF"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19"/>
                <w:szCs w:val="19"/>
              </w:rPr>
              <w:t xml:space="preserve">1 — Emerging</w:t>
            </w:r>
          </w:p>
        </w:tc>
        <w:tc>
          <w:tcPr>
            <w:tcW w:type="dxa" w:w="25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19"/>
                <w:szCs w:val="19"/>
              </w:rPr>
              <w:t xml:space="preserve">States a position without support</w:t>
            </w:r>
          </w:p>
        </w:tc>
        <w:tc>
          <w:tcPr>
            <w:tcW w:type="dxa" w:w="2663"/>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19"/>
                <w:szCs w:val="19"/>
              </w:rPr>
              <w:t xml:space="preserve">Opinion only — no warrant</w:t>
            </w:r>
          </w:p>
        </w:tc>
        <w:tc>
          <w:tcPr>
            <w:tcW w:type="dxa" w:w="2463"/>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19"/>
                <w:szCs w:val="19"/>
              </w:rPr>
              <w:t xml:space="preserve">No textual evidence cited</w:t>
            </w:r>
          </w:p>
        </w:tc>
      </w:tr>
      <w:tr>
        <w:tc>
          <w:tcPr>
            <w:tcW w:type="dxa" w:w="14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19"/>
                <w:szCs w:val="19"/>
              </w:rPr>
              <w:t xml:space="preserve">2 — Developing</w:t>
            </w:r>
          </w:p>
        </w:tc>
        <w:tc>
          <w:tcPr>
            <w:tcW w:type="dxa" w:w="2500"/>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19"/>
                <w:szCs w:val="19"/>
              </w:rPr>
              <w:t xml:space="preserve">Cites evidence without clear connection</w:t>
            </w:r>
          </w:p>
        </w:tc>
        <w:tc>
          <w:tcPr>
            <w:tcW w:type="dxa" w:w="2663"/>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19"/>
                <w:szCs w:val="19"/>
              </w:rPr>
              <w:t xml:space="preserve">Evidence present; warrant absent or unclear</w:t>
            </w:r>
          </w:p>
        </w:tc>
        <w:tc>
          <w:tcPr>
            <w:tcW w:type="dxa" w:w="2463"/>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19"/>
                <w:szCs w:val="19"/>
              </w:rPr>
              <w:t xml:space="preserve">Evidence cited but not linked to claim</w:t>
            </w:r>
          </w:p>
        </w:tc>
      </w:tr>
      <w:tr>
        <w:tc>
          <w:tcPr>
            <w:tcW w:type="dxa" w:w="1400"/>
            <w:tcBorders>
              <w:top w:val="single" w:color="D1D5DB" w:sz="4"/>
              <w:left w:val="single" w:color="D1D5DB" w:sz="4"/>
              <w:bottom w:val="single" w:color="D1D5DB" w:sz="4"/>
              <w:right w:val="single" w:color="D1D5DB" w:sz="4"/>
            </w:tcBorders>
            <w:shd w:fill="EFF6FF"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19"/>
                <w:szCs w:val="19"/>
              </w:rPr>
              <w:t xml:space="preserve">3 — Proficient</w:t>
            </w:r>
          </w:p>
        </w:tc>
        <w:tc>
          <w:tcPr>
            <w:tcW w:type="dxa" w:w="25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19"/>
                <w:szCs w:val="19"/>
              </w:rPr>
              <w:t xml:space="preserve">Links evidence to claim with clear reasoning</w:t>
            </w:r>
          </w:p>
        </w:tc>
        <w:tc>
          <w:tcPr>
            <w:tcW w:type="dxa" w:w="2663"/>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19"/>
                <w:szCs w:val="19"/>
              </w:rPr>
              <w:t xml:space="preserve">Claim + Evidence + Warrant all present</w:t>
            </w:r>
          </w:p>
        </w:tc>
        <w:tc>
          <w:tcPr>
            <w:tcW w:type="dxa" w:w="2463"/>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19"/>
                <w:szCs w:val="19"/>
              </w:rPr>
              <w:t xml:space="preserve">Evidence selected purposefully; connection explained</w:t>
            </w:r>
          </w:p>
        </w:tc>
      </w:tr>
      <w:tr>
        <w:tc>
          <w:tcPr>
            <w:tcW w:type="dxa" w:w="14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19"/>
                <w:szCs w:val="19"/>
              </w:rPr>
              <w:t xml:space="preserve">4 — Advanced</w:t>
            </w:r>
          </w:p>
        </w:tc>
        <w:tc>
          <w:tcPr>
            <w:tcW w:type="dxa" w:w="2500"/>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19"/>
                <w:szCs w:val="19"/>
              </w:rPr>
              <w:t xml:space="preserve">Anticipates counterarguments; extends to broader implications</w:t>
            </w:r>
          </w:p>
        </w:tc>
        <w:tc>
          <w:tcPr>
            <w:tcW w:type="dxa" w:w="2663"/>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19"/>
                <w:szCs w:val="19"/>
              </w:rPr>
              <w:t xml:space="preserve">Full CEIW; considers alternative perspectives</w:t>
            </w:r>
          </w:p>
        </w:tc>
        <w:tc>
          <w:tcPr>
            <w:tcW w:type="dxa" w:w="2463"/>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19"/>
                <w:szCs w:val="19"/>
              </w:rPr>
              <w:t xml:space="preserve">Multiple evidence points; evaluates strength of evidence</w:t>
            </w:r>
          </w:p>
        </w:tc>
      </w:tr>
    </w:tbl>
    <w:p>
      <w:pPr>
        <w:pBdr>
          <w:bottom w:val="single" w:color="1D4ED8" w:sz="4"/>
        </w:pBdr>
        <w:spacing w:after="200" w:before="200"/>
      </w:pPr>
      <w:r>
        <w:t xml:space="preserve"/>
      </w:r>
    </w:p>
    <w:p>
      <w:pPr>
        <w:pBdr>
          <w:bottom w:val="single" w:color="1D4ED8" w:sz="8"/>
        </w:pBdr>
        <w:spacing w:after="120" w:before="400"/>
      </w:pPr>
      <w:r>
        <w:rPr>
          <w:rFonts w:ascii="Arial" w:cs="Arial" w:eastAsia="Arial" w:hAnsi="Arial"/>
          <w:b/>
          <w:bCs/>
          <w:caps w:val="false"/>
          <w:color w:val="1D4ED8"/>
          <w:sz w:val="24"/>
          <w:szCs w:val="24"/>
        </w:rPr>
        <w:t xml:space="preserve">SUPPORTING LEARNING AT HOME</w:t>
      </w:r>
    </w:p>
    <w:p>
      <w:pPr>
        <w:spacing w:after="100" w:before="80"/>
        <w:jc w:val="left"/>
      </w:pPr>
      <w:r>
        <w:rPr>
          <w:rFonts w:ascii="Arial" w:cs="Arial" w:eastAsia="Arial" w:hAnsi="Arial"/>
          <w:b w:val="false"/>
          <w:bCs w:val="false"/>
          <w:i w:val="false"/>
          <w:iCs w:val="false"/>
          <w:caps w:val="false"/>
          <w:color w:val="1A1A1A"/>
          <w:sz w:val="22"/>
          <w:szCs w:val="22"/>
        </w:rPr>
        <w:t xml:space="preserve">Jurassic English™ is most effective when the reasoning conversation continues at home. You do not need to be an English teacher — you simply need to ask genuine questions and listen with curiosity to your child's answers.</w:t>
      </w:r>
    </w:p>
    <w:p>
      <w:pPr>
        <w:pStyle w:val="ListParagraph"/>
        <w:numPr>
          <w:ilvl w:val="0"/>
          <w:numId w:val="2"/>
        </w:numPr>
        <w:spacing w:after="60" w:before="60"/>
      </w:pPr>
      <w:r>
        <w:rPr>
          <w:rFonts w:ascii="Arial" w:cs="Arial" w:eastAsia="Arial" w:hAnsi="Arial"/>
          <w:color w:val="1A1A1A"/>
          <w:sz w:val="21"/>
          <w:szCs w:val="21"/>
        </w:rPr>
        <w:t xml:space="preserve">Engage your young adult as an intellectual equal — share articles, international news, and documentaries that connect directly to the texts they are studying.</w:t>
      </w:r>
    </w:p>
    <w:p>
      <w:pPr>
        <w:pStyle w:val="ListParagraph"/>
        <w:numPr>
          <w:ilvl w:val="0"/>
          <w:numId w:val="2"/>
        </w:numPr>
        <w:spacing w:after="60" w:before="60"/>
      </w:pPr>
      <w:r>
        <w:rPr>
          <w:rFonts w:ascii="Arial" w:cs="Arial" w:eastAsia="Arial" w:hAnsi="Arial"/>
          <w:color w:val="1A1A1A"/>
          <w:sz w:val="21"/>
          <w:szCs w:val="21"/>
        </w:rPr>
        <w:t xml:space="preserve">Discuss ecological philosophy at home: 'Do you think forests have rights? What would Kimmerer say? What would Orwell say about a government that claimed they did?'</w:t>
      </w:r>
    </w:p>
    <w:p>
      <w:pPr>
        <w:pStyle w:val="ListParagraph"/>
        <w:numPr>
          <w:ilvl w:val="0"/>
          <w:numId w:val="2"/>
        </w:numPr>
        <w:spacing w:after="60" w:before="60"/>
      </w:pPr>
      <w:r>
        <w:rPr>
          <w:rFonts w:ascii="Arial" w:cs="Arial" w:eastAsia="Arial" w:hAnsi="Arial"/>
          <w:color w:val="1A1A1A"/>
          <w:sz w:val="21"/>
          <w:szCs w:val="21"/>
        </w:rPr>
        <w:t xml:space="preserve">Encourage reading across international news sources in English — Level 5 reasoning requires multi-perspectival information literacy.</w:t>
      </w:r>
    </w:p>
    <w:p>
      <w:pPr>
        <w:pStyle w:val="ListParagraph"/>
        <w:numPr>
          <w:ilvl w:val="0"/>
          <w:numId w:val="2"/>
        </w:numPr>
        <w:spacing w:after="60" w:before="60"/>
      </w:pPr>
      <w:r>
        <w:rPr>
          <w:rFonts w:ascii="Arial" w:cs="Arial" w:eastAsia="Arial" w:hAnsi="Arial"/>
          <w:color w:val="1A1A1A"/>
          <w:sz w:val="21"/>
          <w:szCs w:val="21"/>
        </w:rPr>
        <w:t xml:space="preserve">Ask your child to share and genuinely defend a counterargument they wrote — respond as if you are the opposition in a formal debate.</w:t>
      </w:r>
    </w:p>
    <w:p>
      <w:pPr>
        <w:pStyle w:val="ListParagraph"/>
        <w:numPr>
          <w:ilvl w:val="0"/>
          <w:numId w:val="2"/>
        </w:numPr>
        <w:spacing w:after="60" w:before="60"/>
      </w:pPr>
      <w:r>
        <w:rPr>
          <w:rFonts w:ascii="Arial" w:cs="Arial" w:eastAsia="Arial" w:hAnsi="Arial"/>
          <w:color w:val="1A1A1A"/>
          <w:sz w:val="21"/>
          <w:szCs w:val="21"/>
        </w:rPr>
        <w:t xml:space="preserve">Support timed writing practice: 30 minutes, one analytical prompt, no revision. This builds the examination fluency needed for IB and Cambridge assessments.</w:t>
      </w:r>
    </w:p>
    <w:p>
      <w:pPr>
        <w:pStyle w:val="ListParagraph"/>
        <w:numPr>
          <w:ilvl w:val="0"/>
          <w:numId w:val="2"/>
        </w:numPr>
        <w:spacing w:after="60" w:before="60"/>
      </w:pPr>
      <w:r>
        <w:rPr>
          <w:rFonts w:ascii="Arial" w:cs="Arial" w:eastAsia="Arial" w:hAnsi="Arial"/>
          <w:color w:val="1A1A1A"/>
          <w:sz w:val="21"/>
          <w:szCs w:val="21"/>
        </w:rPr>
        <w:t xml:space="preserve">If your child has been in Jurassic English™ since Level 1, take time to celebrate an extraordinary intellectual journey — from first sentences to academic essays.</w:t>
      </w:r>
    </w:p>
    <w:p>
      <w:pPr>
        <w:pBdr>
          <w:bottom w:val="single" w:color="1D4ED8" w:sz="4"/>
        </w:pBdr>
        <w:spacing w:after="200" w:before="200"/>
      </w:pPr>
      <w:r>
        <w:t xml:space="preserve"/>
      </w:r>
    </w:p>
    <w:p>
      <w:pPr>
        <w:pBdr>
          <w:bottom w:val="single" w:color="1D4ED8" w:sz="8"/>
        </w:pBdr>
        <w:spacing w:after="120" w:before="400"/>
      </w:pPr>
      <w:r>
        <w:rPr>
          <w:rFonts w:ascii="Arial" w:cs="Arial" w:eastAsia="Arial" w:hAnsi="Arial"/>
          <w:b/>
          <w:bCs/>
          <w:caps w:val="false"/>
          <w:color w:val="1D4ED8"/>
          <w:sz w:val="24"/>
          <w:szCs w:val="24"/>
        </w:rPr>
        <w:t xml:space="preserve">THE ECO-LEARNING THREAD — LEVEL 5</w:t>
      </w:r>
    </w:p>
    <w:p>
      <w:pPr>
        <w:spacing w:after="100" w:before="80"/>
        <w:jc w:val="left"/>
      </w:pPr>
      <w:r>
        <w:rPr>
          <w:rFonts w:ascii="Arial" w:cs="Arial" w:eastAsia="Arial" w:hAnsi="Arial"/>
          <w:b w:val="false"/>
          <w:bCs w:val="false"/>
          <w:i w:val="false"/>
          <w:iCs w:val="false"/>
          <w:caps w:val="false"/>
          <w:color w:val="1A1A1A"/>
          <w:sz w:val="22"/>
          <w:szCs w:val="22"/>
        </w:rPr>
        <w:t xml:space="preserve">At Level 5, eco-reasoning reaches full philosophical scope. The Overstory is studied as a novel that reconceives the relationship between human consciousness and the living world — what does it mean to belong to an ecosystem, not merely inhabit one? Braiding Sweetgrass is engaged as a model of indigenous scientific and ethical reasoning that challenges and extends Western analytical traditions. Policy critique becomes a formal assessment task: 'What systemic changes does this ecological crisis require, and who bears the cost?' Students are expected to answer with academic precision, philosophical rigour, and genuine ethical commitment.</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D4ED8" w:sz="8"/>
              <w:left w:val="single" w:color="1D4ED8" w:sz="8"/>
              <w:bottom w:val="single" w:color="1D4ED8" w:sz="8"/>
              <w:right w:val="single" w:color="1D4ED8" w:sz="8"/>
            </w:tcBorders>
            <w:shd w:fill="EFF6FF" w:val="clear"/>
            <w:tcMar>
              <w:top w:type="dxa" w:w="100"/>
              <w:left w:type="dxa" w:w="150"/>
              <w:bottom w:type="dxa" w:w="100"/>
              <w:right w:type="dxa" w:w="150"/>
            </w:tcMar>
            <w:vAlign w:val="center"/>
          </w:tcPr>
          <w:p>
            <w:pPr>
              <w:spacing w:after="60" w:before="60"/>
            </w:pPr>
            <w:r>
              <w:rPr>
                <w:rFonts w:ascii="Arial" w:cs="Arial" w:eastAsia="Arial" w:hAnsi="Arial"/>
                <w:b/>
                <w:bCs/>
                <w:color w:val="1D4ED8"/>
                <w:sz w:val="21"/>
                <w:szCs w:val="21"/>
              </w:rPr>
              <w:t xml:space="preserve">Eco-Reasoning Strand at This Level:  </w:t>
            </w:r>
            <w:r>
              <w:rPr>
                <w:rFonts w:ascii="Arial" w:cs="Arial" w:eastAsia="Arial" w:hAnsi="Arial"/>
                <w:color w:val="1A1A1A"/>
                <w:sz w:val="21"/>
                <w:szCs w:val="21"/>
              </w:rPr>
              <w:t xml:space="preserve">Systems thinking, ecological philosophy, and policy critique</w:t>
            </w:r>
          </w:p>
        </w:tc>
      </w:tr>
    </w:tbl>
    <w:p>
      <w:pPr>
        <w:pBdr>
          <w:bottom w:val="single" w:color="1D4ED8" w:sz="4"/>
        </w:pBdr>
        <w:spacing w:after="200" w:before="200"/>
      </w:pPr>
      <w:r>
        <w:t xml:space="preserve"/>
      </w:r>
    </w:p>
    <w:p>
      <w:pPr>
        <w:pBdr>
          <w:bottom w:val="single" w:color="1D4ED8" w:sz="8"/>
        </w:pBdr>
        <w:spacing w:after="120" w:before="400"/>
      </w:pPr>
      <w:r>
        <w:rPr>
          <w:rFonts w:ascii="Arial" w:cs="Arial" w:eastAsia="Arial" w:hAnsi="Arial"/>
          <w:b/>
          <w:bCs/>
          <w:caps w:val="false"/>
          <w:color w:val="1D4ED8"/>
          <w:sz w:val="24"/>
          <w:szCs w:val="24"/>
        </w:rPr>
        <w:t xml:space="preserve">WHERE THIS LEVEL LEADS</w:t>
      </w:r>
    </w:p>
    <w:p>
      <w:pPr>
        <w:spacing w:after="100" w:before="80"/>
        <w:jc w:val="left"/>
      </w:pPr>
      <w:r>
        <w:rPr>
          <w:rFonts w:ascii="Arial" w:cs="Arial" w:eastAsia="Arial" w:hAnsi="Arial"/>
          <w:b w:val="false"/>
          <w:bCs w:val="false"/>
          <w:i w:val="false"/>
          <w:iCs w:val="false"/>
          <w:caps w:val="false"/>
          <w:color w:val="1A1A1A"/>
          <w:sz w:val="22"/>
          <w:szCs w:val="22"/>
        </w:rPr>
        <w:t xml:space="preserve">Level 5 completers with Advanced-level portfolio work and demonstrated CEFR C1 competency are fully prepared for international English examinations. The WWL Growth Narrative portfolio provides documentation of sustained reasoning development for university and scholarship applications. Students are encouraged to discuss next steps with their Jurassic English™ teacher and World Wise Learning programme adviser.</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1D5DB" w:sz="4"/>
              <w:left w:val="single" w:color="D1D5DB" w:sz="4"/>
              <w:bottom w:val="single" w:color="D1D5DB" w:sz="4"/>
              <w:right w:val="single" w:color="D1D5DB" w:sz="4"/>
            </w:tcBorders>
            <w:shd w:fill="F9FAFB" w:val="clear"/>
            <w:tcMar>
              <w:top w:type="dxa" w:w="100"/>
              <w:left w:type="dxa" w:w="150"/>
              <w:bottom w:type="dxa" w:w="100"/>
              <w:right w:type="dxa" w:w="150"/>
            </w:tcMar>
            <w:vAlign w:val="center"/>
          </w:tcPr>
          <w:p>
            <w:pPr>
              <w:spacing w:after="40" w:before="40"/>
            </w:pPr>
            <w:r>
              <w:rPr>
                <w:rFonts w:ascii="Arial" w:cs="Arial" w:eastAsia="Arial" w:hAnsi="Arial"/>
                <w:b/>
                <w:bCs/>
                <w:color w:val="4A5568"/>
                <w:sz w:val="20"/>
                <w:szCs w:val="20"/>
              </w:rPr>
              <w:t xml:space="preserve">Coming from:</w:t>
            </w:r>
          </w:p>
          <w:p>
            <w:pPr>
              <w:spacing w:after="40" w:before="0"/>
            </w:pPr>
            <w:r>
              <w:rPr>
                <w:rFonts w:ascii="Arial" w:cs="Arial" w:eastAsia="Arial" w:hAnsi="Arial"/>
                <w:b w:val="false"/>
                <w:bCs w:val="false"/>
                <w:color w:val="1A1A1A"/>
                <w:sz w:val="21"/>
                <w:szCs w:val="21"/>
              </w:rPr>
              <w:t xml:space="preserve">Programme entry point</w:t>
            </w:r>
          </w:p>
        </w:tc>
        <w:tc>
          <w:tcPr>
            <w:tcW w:type="dxa" w:w="4513"/>
            <w:tcBorders>
              <w:top w:val="single" w:color="D1D5DB" w:sz="4"/>
              <w:left w:val="single" w:color="D1D5DB" w:sz="4"/>
              <w:bottom w:val="single" w:color="D1D5DB" w:sz="4"/>
              <w:right w:val="single" w:color="D1D5DB" w:sz="4"/>
            </w:tcBorders>
            <w:shd w:fill="EFF6FF" w:val="clear"/>
            <w:tcMar>
              <w:top w:type="dxa" w:w="100"/>
              <w:left w:type="dxa" w:w="150"/>
              <w:bottom w:type="dxa" w:w="100"/>
              <w:right w:type="dxa" w:w="150"/>
            </w:tcMar>
            <w:vAlign w:val="center"/>
          </w:tcPr>
          <w:p>
            <w:pPr>
              <w:spacing w:after="40" w:before="40"/>
            </w:pPr>
            <w:r>
              <w:rPr>
                <w:rFonts w:ascii="Arial" w:cs="Arial" w:eastAsia="Arial" w:hAnsi="Arial"/>
                <w:b/>
                <w:bCs/>
                <w:color w:val="1D4ED8"/>
                <w:sz w:val="20"/>
                <w:szCs w:val="20"/>
              </w:rPr>
              <w:t xml:space="preserve">Leading to:</w:t>
            </w:r>
          </w:p>
          <w:p>
            <w:pPr>
              <w:spacing w:after="40" w:before="0"/>
            </w:pPr>
            <w:r>
              <w:rPr>
                <w:rFonts w:ascii="Arial" w:cs="Arial" w:eastAsia="Arial" w:hAnsi="Arial"/>
                <w:b/>
                <w:bCs/>
                <w:color w:val="1D4ED8"/>
                <w:sz w:val="21"/>
                <w:szCs w:val="21"/>
              </w:rPr>
              <w:t xml:space="preserve">University / International Examination (IB HL, Cambridge C1 Advanced, AP Literature)</w:t>
            </w:r>
          </w:p>
        </w:tc>
      </w:tr>
    </w:tbl>
    <w:p>
      <w:pPr>
        <w:pBdr>
          <w:bottom w:val="single" w:color="1D4ED8" w:sz="4"/>
        </w:pBdr>
        <w:spacing w:after="200" w:before="200"/>
      </w:pPr>
      <w:r>
        <w:t xml:space="preserve"/>
      </w:r>
    </w:p>
    <w:p>
      <w:pPr>
        <w:pBdr>
          <w:bottom w:val="single" w:color="1D4ED8" w:sz="8"/>
        </w:pBdr>
        <w:spacing w:after="120" w:before="400"/>
      </w:pPr>
      <w:r>
        <w:rPr>
          <w:rFonts w:ascii="Arial" w:cs="Arial" w:eastAsia="Arial" w:hAnsi="Arial"/>
          <w:b/>
          <w:bCs/>
          <w:caps w:val="false"/>
          <w:color w:val="1D4ED8"/>
          <w:sz w:val="24"/>
          <w:szCs w:val="24"/>
        </w:rPr>
        <w:t xml:space="preserve">ABOUT WORLD WISE LEARNING</w:t>
      </w:r>
    </w:p>
    <w:p>
      <w:pPr>
        <w:spacing w:after="100" w:before="80"/>
        <w:jc w:val="left"/>
      </w:pPr>
      <w:r>
        <w:rPr>
          <w:rFonts w:ascii="Arial" w:cs="Arial" w:eastAsia="Arial" w:hAnsi="Arial"/>
          <w:b w:val="false"/>
          <w:bCs w:val="false"/>
          <w:i w:val="false"/>
          <w:iCs w:val="false"/>
          <w:caps w:val="false"/>
          <w:color w:val="1A1A1A"/>
          <w:sz w:val="22"/>
          <w:szCs w:val="22"/>
        </w:rPr>
        <w:t xml:space="preserve">World Wise Learning (WWL) is an international curriculum development and teacher training organisation committed to producing rigorous, globally aligned, and ecologically responsible educational programmes. WWL partners with schools, ministries of education, and international school networks across Asia, the Middle East, Africa, and the Americas to deliver evidence-based curricula that prepare learners for the demands of the twenty-first century.</w:t>
      </w:r>
    </w:p>
    <w:p>
      <w:pPr>
        <w:spacing w:after="100" w:before="80"/>
        <w:jc w:val="left"/>
      </w:pPr>
      <w:r>
        <w:rPr>
          <w:rFonts w:ascii="Arial" w:cs="Arial" w:eastAsia="Arial" w:hAnsi="Arial"/>
          <w:b w:val="false"/>
          <w:bCs w:val="false"/>
          <w:i w:val="false"/>
          <w:iCs w:val="false"/>
          <w:caps w:val="false"/>
          <w:color w:val="1A1A1A"/>
          <w:sz w:val="22"/>
          <w:szCs w:val="22"/>
        </w:rPr>
        <w:t xml:space="preserve">Jurassic English™ is WWL's flagship English Language Arts programme. All teacher training, certification, quality assurance, and programme licensing is administered through WWL's Global Education Services division.</w:t>
      </w:r>
    </w:p>
    <w:p>
      <w:pPr>
        <w:spacing w:after="100" w:before="80"/>
        <w:jc w:val="left"/>
      </w:pPr>
      <w:r>
        <w:rPr>
          <w:rFonts w:ascii="Arial" w:cs="Arial" w:eastAsia="Arial" w:hAnsi="Arial"/>
          <w:b/>
          <w:bCs/>
          <w:i w:val="false"/>
          <w:iCs w:val="false"/>
          <w:caps w:val="false"/>
          <w:color w:val="1A1A1A"/>
          <w:sz w:val="22"/>
          <w:szCs w:val="22"/>
        </w:rPr>
        <w:t xml:space="preserve">Enquiries: programmes@worldwiselearning.org</w:t>
      </w:r>
    </w:p>
    <w:p>
      <w:pPr>
        <w:spacing w:after="0" w:before="200"/>
      </w:pPr>
      <w:r>
        <w:t xml:space="preserve"/>
      </w:r>
    </w:p>
    <w:p>
      <w:pPr>
        <w:pBdr>
          <w:top w:val="single" w:color="D1D5DB" w:sz="4"/>
        </w:pBdr>
        <w:spacing w:after="0" w:before="0"/>
        <w:jc w:val="center"/>
      </w:pPr>
      <w:r>
        <w:rPr>
          <w:rFonts w:ascii="Arial" w:cs="Arial" w:eastAsia="Arial" w:hAnsi="Arial"/>
          <w:color w:val="4A5568"/>
          <w:sz w:val="18"/>
          <w:szCs w:val="18"/>
        </w:rPr>
        <w:t xml:space="preserve">Jurassic English™ Level 5: Advanced — Student &amp; Family Syllabus</w:t>
      </w:r>
      <w:r>
        <w:rPr>
          <w:rFonts w:ascii="Arial" w:cs="Arial" w:eastAsia="Arial" w:hAnsi="Arial"/>
          <w:color w:val="D1D5DB"/>
          <w:sz w:val="18"/>
          <w:szCs w:val="18"/>
        </w:rPr>
        <w:t xml:space="preserve">  |  </w:t>
      </w:r>
      <w:r>
        <w:rPr>
          <w:rFonts w:ascii="Arial" w:cs="Arial" w:eastAsia="Arial" w:hAnsi="Arial"/>
          <w:color w:val="4A5568"/>
          <w:sz w:val="18"/>
          <w:szCs w:val="18"/>
        </w:rPr>
        <w:t xml:space="preserve">Published by World Wise Learning  |  Version 3.0  |  Academic Year 2025–2026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pBdr>
      <w:spacing w:before="160"/>
    </w:pPr>
    <w:r>
      <w:rPr>
        <w:rFonts w:ascii="Arial" w:cs="Arial" w:eastAsia="Arial" w:hAnsi="Arial"/>
        <w:color w:val="4A5568"/>
        <w:sz w:val="16"/>
        <w:szCs w:val="16"/>
      </w:rPr>
      <w:t xml:space="preserve">Jurassic English™ © World Wise Learning 2026    </w:t>
    </w:r>
    <w:r>
      <w:rPr>
        <w:rFonts w:ascii="Arial" w:cs="Arial" w:eastAsia="Arial" w:hAnsi="Arial"/>
        <w:color w:val="4A5568"/>
        <w:sz w:val="16"/>
        <w:szCs w:val="16"/>
      </w:rPr>
      <w:t xml:space="preserve">Page </w:t>
    </w:r>
    <w:r>
      <w:rPr>
        <w:rFonts w:ascii="Arial" w:cs="Arial" w:eastAsia="Arial" w:hAnsi="Arial"/>
        <w:color w:val="4A55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4ED8" w:sz="4"/>
      </w:pBdr>
      <w:spacing w:after="160"/>
    </w:pPr>
    <w:r>
      <w:rPr>
        <w:rFonts w:ascii="Arial" w:cs="Arial" w:eastAsia="Arial" w:hAnsi="Arial"/>
        <w:b/>
        <w:bCs/>
        <w:color w:val="1D4ED8"/>
        <w:sz w:val="18"/>
        <w:szCs w:val="18"/>
      </w:rPr>
      <w:t xml:space="preserve">Jurassic English™  |  Level 5: Advanced</w:t>
    </w:r>
    <w:r>
      <w:rPr>
        <w:rFonts w:ascii="Arial" w:cs="Arial" w:eastAsia="Arial" w:hAnsi="Arial"/>
        <w:color w:val="4A5568"/>
        <w:sz w:val="18"/>
        <w:szCs w:val="18"/>
      </w:rPr>
      <w:t xml:space="preserve">  |  Student &amp; Family Syllabus  |  World Wise Learning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Jurassic English™ Level 5 Advanced — Student &amp; Family Syllabus</dc:title>
  <dc:creator>World Wise Learning</dc:creator>
  <dc:description>Jurassic English™ Level 5: Advanced — Student &amp; Family Syllabus (Academic Year 2025–2026). Published by World Wise Learning.</dc:description>
  <cp:lastModifiedBy>Un-named</cp:lastModifiedBy>
  <cp:revision>1</cp:revision>
  <dcterms:created xsi:type="dcterms:W3CDTF">2026-03-20T17:28:39.678Z</dcterms:created>
  <dcterms:modified xsi:type="dcterms:W3CDTF">2026-03-20T17:28:39.678Z</dcterms:modified>
</cp:coreProperties>
</file>

<file path=docProps/custom.xml><?xml version="1.0" encoding="utf-8"?>
<Properties xmlns="http://schemas.openxmlformats.org/officeDocument/2006/custom-properties" xmlns:vt="http://schemas.openxmlformats.org/officeDocument/2006/docPropsVTypes"/>
</file>