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jurassic-english-build-cycle-white-paper"/>
    <w:p>
      <w:pPr>
        <w:pStyle w:val="Heading1"/>
      </w:pPr>
      <w:r>
        <w:t xml:space="preserve">Jurassic English™ Build Cycle White Paper</w:t>
      </w:r>
    </w:p>
    <w:p>
      <w:pPr>
        <w:pStyle w:val="FirstParagraph"/>
      </w:pPr>
      <w:r>
        <w:rPr>
          <w:b/>
          <w:bCs/>
        </w:rPr>
        <w:t xml:space="preserve">Project:</w:t>
      </w:r>
      <w:r>
        <w:t xml:space="preserve"> </w:t>
      </w:r>
      <w:r>
        <w:t xml:space="preserve">Jurassic English™</w:t>
      </w:r>
      <w:r>
        <w:br/>
      </w:r>
      <w:r>
        <w:rPr>
          <w:b/>
          <w:bCs/>
        </w:rPr>
        <w:t xml:space="preserve">Subtitle:</w:t>
      </w:r>
      <w:r>
        <w:t xml:space="preserve"> </w:t>
      </w:r>
      <w:r>
        <w:t xml:space="preserve">From curriculum concept to live institutional platform</w:t>
      </w:r>
      <w:r>
        <w:br/>
      </w:r>
      <w:r>
        <w:rPr>
          <w:b/>
          <w:bCs/>
        </w:rPr>
        <w:t xml:space="preserve">Prepared by:</w:t>
      </w:r>
      <w:r>
        <w:t xml:space="preserve"> </w:t>
      </w:r>
      <w:r>
        <w:t xml:space="preserve">OpenAI Codex, based on project files, deployed implementation, and documented build / audit history</w:t>
      </w:r>
      <w:r>
        <w:br/>
      </w:r>
      <w:r>
        <w:rPr>
          <w:b/>
          <w:bCs/>
        </w:rPr>
        <w:t xml:space="preserve">Date:</w:t>
      </w:r>
      <w:r>
        <w:t xml:space="preserve"> </w:t>
      </w:r>
      <w:r>
        <w:t xml:space="preserve">March 25, 2026</w:t>
      </w:r>
      <w:r>
        <w:br/>
      </w:r>
      <w:r>
        <w:rPr>
          <w:b/>
          <w:bCs/>
        </w:rPr>
        <w:t xml:space="preserve">Version:</w:t>
      </w:r>
      <w:r>
        <w:t xml:space="preserve"> </w:t>
      </w:r>
      <w:r>
        <w:t xml:space="preserve">1.0</w:t>
      </w:r>
    </w:p>
    <w:bookmarkStart w:id="9" w:name="executive-summary"/>
    <w:p>
      <w:pPr>
        <w:pStyle w:val="Heading2"/>
      </w:pPr>
      <w:r>
        <w:t xml:space="preserve">Executive Summary</w:t>
      </w:r>
    </w:p>
    <w:p>
      <w:pPr>
        <w:pStyle w:val="FirstParagraph"/>
      </w:pPr>
      <w:r>
        <w:t xml:space="preserve">Jurassic English™ is a literature-centred English, reasoning, and curriculum system presented publicly through a dedicated web platform at</w:t>
      </w:r>
      <w:r>
        <w:t xml:space="preserve"> </w:t>
      </w:r>
      <w:r>
        <w:rPr>
          <w:rStyle w:val="VerbatimChar"/>
        </w:rPr>
        <w:t xml:space="preserve">jurassicenglish.com</w:t>
      </w:r>
      <w:r>
        <w:t xml:space="preserve">. The site was built to perform more than a branding function. It had to explain a serious academic model, support institutional trust, structure inbound enquiry, expose controlled downloads, present legal and policy readiness, and translate a complex curriculum system into a form that schools, partners, and reviewers could understand quickly.</w:t>
      </w:r>
    </w:p>
    <w:p>
      <w:pPr>
        <w:pStyle w:val="BodyText"/>
      </w:pPr>
      <w:r>
        <w:t xml:space="preserve">The build cycle accomplished three things at once. First, it created a public-facing institutional platform with a clear architecture for the framework, the Jurassic Thinking Cycle™, and the five-level Jurassic English Series. Second, it converted source documents into structured web content models so that compare pages, detail pages, downloads, and legal materials could be maintained coherently. Third, it moved the site through repeated audit and remediation loops until it reached a professionally releasable state: navigation stabilized, legal pages became substantive, accessibility defects were corrected, production identity was verified, and intentionally unavailable features were handled in a way that preserved user trust.</w:t>
      </w:r>
    </w:p>
    <w:p>
      <w:pPr>
        <w:pStyle w:val="BodyText"/>
      </w:pPr>
      <w:r>
        <w:t xml:space="preserve">The final result is a live production system that is strategically useful in several ways. It communicates the programme to non-specialists without flattening its academic substance. It supports enquiry generation through a structured institutional intake flow. It gives curriculum leaders and reviewers route-based access to framework, stage, level, and policy materials. It also creates the beginnings of a durable governance model: the public platform now sits on top of documented source-of-truth files, and the broader curriculum architecture has started to be formalized through post-launch B1 and B2 documentation work.</w:t>
      </w:r>
    </w:p>
    <w:p>
      <w:pPr>
        <w:pStyle w:val="BodyText"/>
      </w:pPr>
      <w:r>
        <w:t xml:space="preserve">Strategically, this matters because Jurassic English™ is not only a website and not only a curriculum. It is becoming a system: academic architecture, public communication layer, institutional onboarding surface, and governance asset. The build cycle turned that system from an emerging concept into a live, inspectable, and operational platform.</w:t>
      </w:r>
    </w:p>
    <w:bookmarkEnd w:id="9"/>
    <w:bookmarkStart w:id="10" w:name="project-overview"/>
    <w:p>
      <w:pPr>
        <w:pStyle w:val="Heading2"/>
      </w:pPr>
      <w:r>
        <w:t xml:space="preserve">Project Overview</w:t>
      </w:r>
    </w:p>
    <w:p>
      <w:pPr>
        <w:pStyle w:val="FirstParagraph"/>
      </w:pPr>
      <w:r>
        <w:t xml:space="preserve">Jurassic English™ is positioned as a literature-centred framework for English language development, critical thinking, moral reasoning, and structured reflection. The public platform serves multiple audiences at once: school leaders, curriculum coordinators, teachers, institutional partners, strategic reviewers, and adult decision-makers evaluating adoption pathways. It is therefore both a communication product and an operational surface for the broader programme.</w:t>
      </w:r>
    </w:p>
    <w:p>
      <w:pPr>
        <w:pStyle w:val="BodyText"/>
      </w:pPr>
      <w:r>
        <w:t xml:space="preserve">The site’s relationship to the curriculum system is deliberate. The website does not contain the whole system. The full system includes the Teacher Guidebook, the CEFR alignment reference document, the five annual syllabi, the eight Jurassic Thinking Cycle manuals, lesson templates, and the programme’s governance and service structures. The website functions as the public-facing synthesis layer. It introduces the framework, exposes selected detailed views, routes users into institutional next steps, and publishes controlled materials such as syllabi and stage manuals.</w:t>
      </w:r>
    </w:p>
    <w:p>
      <w:pPr>
        <w:pStyle w:val="BodyText"/>
      </w:pPr>
      <w:r>
        <w:t xml:space="preserve">A dedicated public platform was necessary because the underlying academic system is too complex to communicate effectively through ad hoc documents alone. The framework includes multiple progression layers: CEFR, literary complexity, the four-stage thinking architecture, writing progression, ecological reasoning, neuroinclusive access principles, and multiple institutional implementation pathways. Without a purpose-built platform, those relationships remain difficult for external stakeholders to parse. The site provides that translation layer while preserving the seriousness of the underlying model.</w:t>
      </w:r>
    </w:p>
    <w:bookmarkEnd w:id="10"/>
    <w:bookmarkStart w:id="11" w:name="strategic-intent-and-business-rationale"/>
    <w:p>
      <w:pPr>
        <w:pStyle w:val="Heading2"/>
      </w:pPr>
      <w:r>
        <w:t xml:space="preserve">Strategic Intent and Business Rationale</w:t>
      </w:r>
    </w:p>
    <w:p>
      <w:pPr>
        <w:pStyle w:val="FirstParagraph"/>
      </w:pPr>
      <w:r>
        <w:t xml:space="preserve">The platform needed to exist because Jurassic English™ required a credible institutional front end. The programme is not a lightweight classroom brand; it is presented as a structured educational framework with teacher training, school licensing, curriculum review, consulting, and partnership pathways. That kind of system requires a public interface that can do three things reliably: communicate academic seriousness, establish operational trust, and convert interest into structured institutional enquiry.</w:t>
      </w:r>
    </w:p>
    <w:p>
      <w:pPr>
        <w:pStyle w:val="BodyText"/>
      </w:pPr>
      <w:r>
        <w:t xml:space="preserve">The website and the academic system are related but distinct. The academic system contains the deeper intellectual property, curricular logic, and instructional design standards. The public platform explains that system, demonstrates that it is coherent, and makes enough of it visible to support evaluation. In practice, the site functions as a trust surface. It shows that the programme has defined levels, defined stage architecture, controlled downloads, formal legal pages, and a clear intake process. For institutional stakeholders, those signals matter almost as much as the design itself.</w:t>
      </w:r>
    </w:p>
    <w:p>
      <w:pPr>
        <w:pStyle w:val="BodyText"/>
      </w:pPr>
      <w:r>
        <w:t xml:space="preserve">From a business and scaling perspective, the site supports several long-term needs. It improves inquiry generation through a structured</w:t>
      </w:r>
      <w:r>
        <w:t xml:space="preserve"> </w:t>
      </w:r>
      <w:r>
        <w:rPr>
          <w:rStyle w:val="VerbatimChar"/>
        </w:rPr>
        <w:t xml:space="preserve">Get Started</w:t>
      </w:r>
      <w:r>
        <w:t xml:space="preserve"> </w:t>
      </w:r>
      <w:r>
        <w:t xml:space="preserve">portal instead of generic contact messaging. It improves curriculum communication by making the Thinking Cycle and Series progression visible as systems rather than isolated documents. It improves compliance posture by exposing live legal pages and a consistent footer/legal structure. It also supports scale because it separates the public platform from the deeper content and governance documents, allowing the programme to evolve without rewriting the entire public surface each time.</w:t>
      </w:r>
    </w:p>
    <w:bookmarkEnd w:id="11"/>
    <w:bookmarkStart w:id="24" w:name="build-cycle-chronology"/>
    <w:p>
      <w:pPr>
        <w:pStyle w:val="Heading2"/>
      </w:pPr>
      <w:r>
        <w:t xml:space="preserve">Build Cycle Chronology</w:t>
      </w:r>
    </w:p>
    <w:bookmarkStart w:id="12" w:name="X86dc31319cd7fd24d23032b97ae111ecb0c6645"/>
    <w:p>
      <w:pPr>
        <w:pStyle w:val="Heading3"/>
      </w:pPr>
      <w:r>
        <w:t xml:space="preserve">Phase 1: Base Architecture and Framework Positioning</w:t>
      </w:r>
    </w:p>
    <w:p>
      <w:pPr>
        <w:pStyle w:val="FirstParagraph"/>
      </w:pPr>
      <w:r>
        <w:t xml:space="preserve">The build began with a Vite + React + TypeScript application configured for a lightweight single-page delivery model. The initial objective was to create a stable site shell capable of presenting the framework as a structured, institutionally legible system rather than as a generic marketing site.</w:t>
      </w:r>
    </w:p>
    <w:p>
      <w:pPr>
        <w:pStyle w:val="BodyText"/>
      </w:pPr>
      <w:r>
        <w:t xml:space="preserve">Core work completed in this phase included the site shell, global navigation, homepage section architecture, Vercel deployment configuration, and the split between static public assets and server-side API routes. This mattered because later content and QA work depended on having a route model, a deployment model, and a clear distinction between client-rendered content and server-backed interaction.</w:t>
      </w:r>
    </w:p>
    <w:p>
      <w:pPr>
        <w:pStyle w:val="BodyText"/>
      </w:pPr>
      <w:r>
        <w:t xml:space="preserve">The outcome was a functioning public platform foundation. The primary risk addressed here was architectural drift: if the platform had been allowed to accrete as disconnected pages and ad hoc components, the later curriculum-system work would have become much harder to sustain.</w:t>
      </w:r>
    </w:p>
    <w:bookmarkEnd w:id="12"/>
    <w:bookmarkStart w:id="13" w:name="phase-2-hero-and-brand-alignment"/>
    <w:p>
      <w:pPr>
        <w:pStyle w:val="Heading3"/>
      </w:pPr>
      <w:r>
        <w:t xml:space="preserve">Phase 2: Hero and Brand Alignment</w:t>
      </w:r>
    </w:p>
    <w:p>
      <w:pPr>
        <w:pStyle w:val="FirstParagraph"/>
      </w:pPr>
      <w:r>
        <w:t xml:space="preserve">The hero established the first public statement of what Jurassic English™ is: literature-centred English education tied to critical thinking and moral reasoning. This phase also began the work of aligning imagery, typography, and the brand promise with the academic seriousness of the programme.</w:t>
      </w:r>
    </w:p>
    <w:p>
      <w:pPr>
        <w:pStyle w:val="BodyText"/>
      </w:pPr>
      <w:r>
        <w:t xml:space="preserve">The work mattered because the platform needed to signal immediately that it was not conventional tutoring, casual ESL marketing, or a generic school website. The outcome was a clearer top-of-funnel identity that could anchor the later framework, series, and stage content. The risk addressed was perception mismatch: a serious academic system cannot afford a vague or generic first impression.</w:t>
      </w:r>
    </w:p>
    <w:bookmarkEnd w:id="13"/>
    <w:bookmarkStart w:id="14" w:name="X3a9be947c03fddb76dc8b2b1d906bb59f253caa"/>
    <w:p>
      <w:pPr>
        <w:pStyle w:val="Heading3"/>
      </w:pPr>
      <w:r>
        <w:t xml:space="preserve">Phase 3: About / Institutional Positioning Redesign</w:t>
      </w:r>
    </w:p>
    <w:p>
      <w:pPr>
        <w:pStyle w:val="FirstParagraph"/>
      </w:pPr>
      <w:r>
        <w:t xml:space="preserve">The original About section was more philosophy-led and metaphor-led than an institutional audience required. It was therefore rewritten and redesigned into a clearer “What is Jurassic English™?” positioning block grounded in the Services Program Detail Pack and the wider programme language. The section retained brand identity, including a controlled use of the fossil-record metaphor, but reduced abstraction and increased programme clarity, standards awareness, and buyer-fit cues.</w:t>
      </w:r>
    </w:p>
    <w:p>
      <w:pPr>
        <w:pStyle w:val="BodyText"/>
      </w:pPr>
      <w:r>
        <w:t xml:space="preserve">This mattered because institutional stakeholders need more than inspiration. They need signals of implementation seriousness, standards awareness, and governance readiness. The outcome was an About section that functioned as institutional positioning rather than as a soft brand manifesto. The primary risk addressed was under-communication of credibility.</w:t>
      </w:r>
    </w:p>
    <w:bookmarkEnd w:id="14"/>
    <w:bookmarkStart w:id="15" w:name="phase-4-thinking-cycle-system-buildout"/>
    <w:p>
      <w:pPr>
        <w:pStyle w:val="Heading3"/>
      </w:pPr>
      <w:r>
        <w:t xml:space="preserve">Phase 4: Thinking Cycle System Buildout</w:t>
      </w:r>
    </w:p>
    <w:p>
      <w:pPr>
        <w:pStyle w:val="FirstParagraph"/>
      </w:pPr>
      <w:r>
        <w:t xml:space="preserve">The Jurassic Thinking Cycle™ was first aligned at the homepage-summary level and then expanded into a full stage-detail system. The four stages — Analyze, Evaluate, Justify, and Reflect — were mapped from the approved student and teacher manuals and converted into a shared structured source model. Dedicated stage-detail views were then built, followed by manual download access and a cross-stage comparison view.</w:t>
      </w:r>
    </w:p>
    <w:p>
      <w:pPr>
        <w:pStyle w:val="BodyText"/>
      </w:pPr>
      <w:r>
        <w:t xml:space="preserve">This phase mattered because the Thinking Cycle is central to Jurassic English™ as a teaching system. Without stage-level clarity, the public platform could describe the framework but not explain how lessons actually work. The outcome was a multi-layered stage system: summary-level on the homepage, detailed stage pages, student and teacher manual downloads, and a comparison experience for adult decision-makers. The primary risks addressed were curriculum drift and overreliance on prose explanation.</w:t>
      </w:r>
    </w:p>
    <w:bookmarkEnd w:id="15"/>
    <w:bookmarkStart w:id="16" w:name="phase-5-series-system-buildout"/>
    <w:p>
      <w:pPr>
        <w:pStyle w:val="Heading3"/>
      </w:pPr>
      <w:r>
        <w:t xml:space="preserve">Phase 5: Series System Buildout</w:t>
      </w:r>
    </w:p>
    <w:p>
      <w:pPr>
        <w:pStyle w:val="FirstParagraph"/>
      </w:pPr>
      <w:r>
        <w:t xml:space="preserve">The five Jurassic English Series levels were already represented in the structured content model, but the platform needed a clearer way to present them as an integrated progression. A dedicated cross-level comparison experience was built, with one card per level, alongside existing level-detail pages and syllabus downloads. The compare architecture deliberately used mobile-manageable cards instead of a dense table.</w:t>
      </w:r>
    </w:p>
    <w:p>
      <w:pPr>
        <w:pStyle w:val="BodyText"/>
      </w:pPr>
      <w:r>
        <w:t xml:space="preserve">This phase mattered because the series is the main curricular spine of the platform. Institutional decision-makers need to compare age bands, CEFR ranges, lesson structure, text complexity, and progression logic quickly. The outcome was a coherent five-level system with summary cards, detailed level pages, syllabus downloads, and a comparison route. The main risk addressed was overcrowding the homepage while still providing enough evaluative depth.</w:t>
      </w:r>
    </w:p>
    <w:bookmarkEnd w:id="16"/>
    <w:bookmarkStart w:id="17" w:name="phase-6-legal-and-footer-integration"/>
    <w:p>
      <w:pPr>
        <w:pStyle w:val="Heading3"/>
      </w:pPr>
      <w:r>
        <w:t xml:space="preserve">Phase 6: Legal and Footer Integration</w:t>
      </w:r>
    </w:p>
    <w:p>
      <w:pPr>
        <w:pStyle w:val="FirstParagraph"/>
      </w:pPr>
      <w:r>
        <w:t xml:space="preserve">Legal integration moved from placeholder presence to structured substantive content. The project introduced typed legal content models and route-based legal pages for Terms, Privacy, Cookies, Accessibility, and Disclaimer. The footer was also developed into a real navigational and institutional utility layer, carrying explore links, pathway links, resource links, legal links, and contact channels.</w:t>
      </w:r>
    </w:p>
    <w:p>
      <w:pPr>
        <w:pStyle w:val="BodyText"/>
      </w:pPr>
      <w:r>
        <w:t xml:space="preserve">This mattered because institutional trust is damaged quickly when a site reaches production with obvious placeholder policies or broken footer navigation. The outcome was a more mature launch surface with policy visibility, legal routing, and a clearer footer information architecture. Risks addressed included compliance optics, stakeholder trust loss, and broken navigation.</w:t>
      </w:r>
    </w:p>
    <w:bookmarkEnd w:id="17"/>
    <w:bookmarkStart w:id="18" w:name="X4831862205f4fd96f668323a8e2c7524debacda"/>
    <w:p>
      <w:pPr>
        <w:pStyle w:val="Heading3"/>
      </w:pPr>
      <w:r>
        <w:t xml:space="preserve">Phase 7: Structured Inquiry and CTA Pathways</w:t>
      </w:r>
    </w:p>
    <w:p>
      <w:pPr>
        <w:pStyle w:val="FirstParagraph"/>
      </w:pPr>
      <w:r>
        <w:t xml:space="preserve">The</w:t>
      </w:r>
      <w:r>
        <w:t xml:space="preserve"> </w:t>
      </w:r>
      <w:r>
        <w:rPr>
          <w:rStyle w:val="VerbatimChar"/>
        </w:rPr>
        <w:t xml:space="preserve">Get Started</w:t>
      </w:r>
      <w:r>
        <w:t xml:space="preserve"> </w:t>
      </w:r>
      <w:r>
        <w:t xml:space="preserve">portal evolved into a structured institutional intake system rather than a lightweight contact form. It gained a defined payload schema, validation rules, anti-spam controls, structured interest routing, and production email notification handling through server-side infrastructure.</w:t>
      </w:r>
    </w:p>
    <w:p>
      <w:pPr>
        <w:pStyle w:val="BodyText"/>
      </w:pPr>
      <w:r>
        <w:t xml:space="preserve">This mattered because the site’s commercial and institutional value depends partly on whether interest is translated into operationally useful inquiry. The outcome was a submission flow capable of distinguishing pathways such as teacher training, school licensing, curriculum review, consulting, and partnership. The key risks addressed were vague lead capture, inconsistent inquiry quality, and form integrity failures.</w:t>
      </w:r>
    </w:p>
    <w:bookmarkEnd w:id="18"/>
    <w:bookmarkStart w:id="19" w:name="X5c32d15903872808c75439c54a8cc5669e9b8a7"/>
    <w:p>
      <w:pPr>
        <w:pStyle w:val="Heading3"/>
      </w:pPr>
      <w:r>
        <w:t xml:space="preserve">Phase 8: Domain, Routing, and Production Identity</w:t>
      </w:r>
    </w:p>
    <w:p>
      <w:pPr>
        <w:pStyle w:val="FirstParagraph"/>
      </w:pPr>
      <w:r>
        <w:t xml:space="preserve">The project stabilized production identity around the apex domain</w:t>
      </w:r>
      <w:r>
        <w:t xml:space="preserve"> </w:t>
      </w:r>
      <w:r>
        <w:rPr>
          <w:rStyle w:val="VerbatimChar"/>
        </w:rPr>
        <w:t xml:space="preserve">jurassicenglish.com</w:t>
      </w:r>
      <w:r>
        <w:t xml:space="preserve">, with Vercel redirects from</w:t>
      </w:r>
      <w:r>
        <w:t xml:space="preserve"> </w:t>
      </w:r>
      <w:r>
        <w:rPr>
          <w:rStyle w:val="VerbatimChar"/>
        </w:rPr>
        <w:t xml:space="preserve">www</w:t>
      </w:r>
      <w:r>
        <w:t xml:space="preserve">, SPA rewrites for non-API paths, and explicit verification of</w:t>
      </w:r>
      <w:r>
        <w:t xml:space="preserve"> </w:t>
      </w:r>
      <w:r>
        <w:rPr>
          <w:rStyle w:val="VerbatimChar"/>
        </w:rPr>
        <w:t xml:space="preserve">robots.txt</w:t>
      </w:r>
      <w:r>
        <w:t xml:space="preserve">,</w:t>
      </w:r>
      <w:r>
        <w:t xml:space="preserve"> </w:t>
      </w:r>
      <w:r>
        <w:rPr>
          <w:rStyle w:val="VerbatimChar"/>
        </w:rPr>
        <w:t xml:space="preserve">sitemap.xml</w:t>
      </w:r>
      <w:r>
        <w:t xml:space="preserve">, icons, canonical tags, and route parity. The site’s route model combined a single-page application shell with route-like detail and compare experiences backed by client-side path handling.</w:t>
      </w:r>
    </w:p>
    <w:p>
      <w:pPr>
        <w:pStyle w:val="BodyText"/>
      </w:pPr>
      <w:r>
        <w:t xml:space="preserve">This mattered because route integrity, canonical identity, and predictable host behavior are necessary for trust, discoverability, and release confidence. The outcome was a platform that could sustain homepage sections, compare routes, detail routes, legal routes, and public downloads on a single deployment surface. Risks addressed included blank-shell route failures, broken redirects, and deployment inconsistency.</w:t>
      </w:r>
    </w:p>
    <w:bookmarkEnd w:id="19"/>
    <w:bookmarkStart w:id="20" w:name="phase-9-accessibility-remediation"/>
    <w:p>
      <w:pPr>
        <w:pStyle w:val="Heading3"/>
      </w:pPr>
      <w:r>
        <w:t xml:space="preserve">Phase 9: Accessibility Remediation</w:t>
      </w:r>
    </w:p>
    <w:p>
      <w:pPr>
        <w:pStyle w:val="FirstParagraph"/>
      </w:pPr>
      <w:r>
        <w:t xml:space="preserve">Accessibility work became one of the defining maturation loops of the project. Production and local audits identified problems in form semantics, label binding, invalid-state relationships, live status messaging, focus visibility, landmark consistency, generic titles, and non-native interactive controls. Those issues were corrected in focused remediation passes.</w:t>
      </w:r>
    </w:p>
    <w:p>
      <w:pPr>
        <w:pStyle w:val="BodyText"/>
      </w:pPr>
      <w:r>
        <w:t xml:space="preserve">Examples of material fixes included binding form labels to controls, adding</w:t>
      </w:r>
      <w:r>
        <w:t xml:space="preserve"> </w:t>
      </w:r>
      <w:r>
        <w:rPr>
          <w:rStyle w:val="VerbatimChar"/>
        </w:rPr>
        <w:t xml:space="preserve">aria-invalid</w:t>
      </w:r>
      <w:r>
        <w:t xml:space="preserve"> </w:t>
      </w:r>
      <w:r>
        <w:t xml:space="preserve">and</w:t>
      </w:r>
      <w:r>
        <w:t xml:space="preserve"> </w:t>
      </w:r>
      <w:r>
        <w:rPr>
          <w:rStyle w:val="VerbatimChar"/>
        </w:rPr>
        <w:t xml:space="preserve">aria-describedby</w:t>
      </w:r>
      <w:r>
        <w:t xml:space="preserve">, exposing polite live-region status updates, converting summary cards to native buttons, strengthening footer readability, adding a visible focus treatment to the brand/home control, introducing route-specific document titles, and ensuring homepage and legal views exposed proper</w:t>
      </w:r>
      <w:r>
        <w:t xml:space="preserve"> </w:t>
      </w:r>
      <w:r>
        <w:rPr>
          <w:rStyle w:val="VerbatimChar"/>
        </w:rPr>
        <w:t xml:space="preserve">main</w:t>
      </w:r>
      <w:r>
        <w:t xml:space="preserve"> </w:t>
      </w:r>
      <w:r>
        <w:t xml:space="preserve">landmarks.</w:t>
      </w:r>
    </w:p>
    <w:p>
      <w:pPr>
        <w:pStyle w:val="BodyText"/>
      </w:pPr>
      <w:r>
        <w:t xml:space="preserve">This phase mattered because a site can be functional and still not be professionally releasable. The outcome was a much stronger accessibility baseline. The risk addressed was not only compliance but credibility: a platform that claims institutional seriousness must also behave responsibly for keyboard users and assistive technology.</w:t>
      </w:r>
    </w:p>
    <w:bookmarkEnd w:id="20"/>
    <w:bookmarkStart w:id="21" w:name="X63ba09e8f0b5b5402307ab6c46a4a1a8116147c"/>
    <w:p>
      <w:pPr>
        <w:pStyle w:val="Heading3"/>
      </w:pPr>
      <w:r>
        <w:t xml:space="preserve">Phase 10: Creative Studio Production Decision</w:t>
      </w:r>
    </w:p>
    <w:p>
      <w:pPr>
        <w:pStyle w:val="FirstParagraph"/>
      </w:pPr>
      <w:r>
        <w:t xml:space="preserve">The site included a Creative Studio concept backed by Gemini image generation. Production verification showed that the required Gemini environment variable was not configured in Vercel, and the live endpoint returned</w:t>
      </w:r>
      <w:r>
        <w:t xml:space="preserve"> </w:t>
      </w:r>
      <w:r>
        <w:rPr>
          <w:rStyle w:val="VerbatimChar"/>
        </w:rPr>
        <w:t xml:space="preserve">503</w:t>
      </w:r>
      <w:r>
        <w:t xml:space="preserve">. Rather than leave a broken public-facing tool, the feature was intentionally put into an unavailable state: explanatory message visible, textarea disabled, action disabled, and button labeled</w:t>
      </w:r>
      <w:r>
        <w:t xml:space="preserve"> </w:t>
      </w:r>
      <w:r>
        <w:rPr>
          <w:rStyle w:val="VerbatimChar"/>
        </w:rPr>
        <w:t xml:space="preserve">Studio Coming Soon</w:t>
      </w:r>
      <w:r>
        <w:t xml:space="preserve">.</w:t>
      </w:r>
    </w:p>
    <w:p>
      <w:pPr>
        <w:pStyle w:val="BodyText"/>
      </w:pPr>
      <w:r>
        <w:t xml:space="preserve">This mattered because graceful product integrity is preferable to exposing broken live features. The outcome was a controlled unavailable state that preserved the section in the platform while avoiding user confusion or false expectations. The risk addressed was public trust erosion through visible failure.</w:t>
      </w:r>
    </w:p>
    <w:bookmarkEnd w:id="21"/>
    <w:bookmarkStart w:id="22" w:name="Xaa469c9610b39604aae0c470aafe0b5f683f6e3"/>
    <w:p>
      <w:pPr>
        <w:pStyle w:val="Heading3"/>
      </w:pPr>
      <w:r>
        <w:t xml:space="preserve">Phase 11: Technical Audit and Release Closeout</w:t>
      </w:r>
    </w:p>
    <w:p>
      <w:pPr>
        <w:pStyle w:val="FirstParagraph"/>
      </w:pPr>
      <w:r>
        <w:t xml:space="preserve">The later build cycle was governed by repeated audits: functional route audits, accessibility audits, technical audits, metadata verification, asset verification, redirect checks, and live browser-based regression checks. These loops confirmed issues such as broken footer anchors, subpage-to-homepage anchor failures, generic titles, and missing focus indicators, and then validated their correction in production.</w:t>
      </w:r>
    </w:p>
    <w:p>
      <w:pPr>
        <w:pStyle w:val="BodyText"/>
      </w:pPr>
      <w:r>
        <w:t xml:space="preserve">This phase mattered because production readiness is not the same as “it works on my machine.” The outcome was a site that had been examined from multiple angles: navigation, content integrity, assets, legal structure, accessibility, and deployment behavior. The risk addressed was silent regression during the final approach to release.</w:t>
      </w:r>
    </w:p>
    <w:bookmarkEnd w:id="22"/>
    <w:bookmarkStart w:id="23" w:name="Xc926207c764c5604bb5a9b64d540976d152db93"/>
    <w:p>
      <w:pPr>
        <w:pStyle w:val="Heading3"/>
      </w:pPr>
      <w:r>
        <w:t xml:space="preserve">Phase 12: Post-Launch Academic Governance Sprint</w:t>
      </w:r>
    </w:p>
    <w:p>
      <w:pPr>
        <w:pStyle w:val="FirstParagraph"/>
      </w:pPr>
      <w:r>
        <w:t xml:space="preserve">Once the public platform reached a stable release state, adjacent documentation work began on the broader curriculum system. B1 foundational architecture documents were created or refreshed for CEFR mapping, scope and sequence, curriculum reference indexing, and progression logic. B2 governance documents then formalized discrepancy logging, source-of-truth rules, and controlled terminology.</w:t>
      </w:r>
    </w:p>
    <w:p>
      <w:pPr>
        <w:pStyle w:val="BodyText"/>
      </w:pPr>
      <w:r>
        <w:t xml:space="preserve">This work is adjacent to the website rather than identical with it, but strategically it matters because the website depends on a stable academic system behind it. The outcome is that Jurassic English™ now has not only a live public platform but also the beginnings of an internal governance paper trail.</w:t>
      </w:r>
    </w:p>
    <w:bookmarkEnd w:id="23"/>
    <w:bookmarkEnd w:id="24"/>
    <w:bookmarkStart w:id="25" w:name="technical-architecture"/>
    <w:p>
      <w:pPr>
        <w:pStyle w:val="Heading2"/>
      </w:pPr>
      <w:r>
        <w:t xml:space="preserve">Technical Architecture</w:t>
      </w:r>
    </w:p>
    <w:p>
      <w:pPr>
        <w:pStyle w:val="FirstParagraph"/>
      </w:pPr>
      <w:r>
        <w:t xml:space="preserve">The site is built with React 19, TypeScript, Vite, Tailwind CSS v4, Motion, and a small Express runtime for local server-backed development. On Vercel, the frontend is deployed as a Vite static output, while public APIs are handled through serverless functions under</w:t>
      </w:r>
      <w:r>
        <w:t xml:space="preserve"> </w:t>
      </w:r>
      <w:r>
        <w:rPr>
          <w:rStyle w:val="VerbatimChar"/>
        </w:rPr>
        <w:t xml:space="preserve">api/</w:t>
      </w:r>
      <w:r>
        <w:t xml:space="preserve">.</w:t>
      </w:r>
    </w:p>
    <w:p>
      <w:pPr>
        <w:pStyle w:val="BodyText"/>
      </w:pPr>
      <w:r>
        <w:t xml:space="preserve">The frontend uses a lightweight route-like SPA architecture rather than a heavyweight routing framework.</w:t>
      </w:r>
      <w:r>
        <w:t xml:space="preserve"> </w:t>
      </w:r>
      <w:r>
        <w:rPr>
          <w:rStyle w:val="VerbatimChar"/>
        </w:rPr>
        <w:t xml:space="preserve">src/App.tsx</w:t>
      </w:r>
      <w:r>
        <w:t xml:space="preserve"> </w:t>
      </w:r>
      <w:r>
        <w:t xml:space="preserve">examines</w:t>
      </w:r>
      <w:r>
        <w:t xml:space="preserve"> </w:t>
      </w:r>
      <w:r>
        <w:rPr>
          <w:rStyle w:val="VerbatimChar"/>
        </w:rPr>
        <w:t xml:space="preserve">window.location.pathname</w:t>
      </w:r>
      <w:r>
        <w:t xml:space="preserve">,</w:t>
      </w:r>
      <w:r>
        <w:t xml:space="preserve"> </w:t>
      </w:r>
      <w:r>
        <w:rPr>
          <w:rStyle w:val="VerbatimChar"/>
        </w:rPr>
        <w:t xml:space="preserve">search</w:t>
      </w:r>
      <w:r>
        <w:t xml:space="preserve">, and</w:t>
      </w:r>
      <w:r>
        <w:t xml:space="preserve"> </w:t>
      </w:r>
      <w:r>
        <w:rPr>
          <w:rStyle w:val="VerbatimChar"/>
        </w:rPr>
        <w:t xml:space="preserve">hash</w:t>
      </w:r>
      <w:r>
        <w:t xml:space="preserve">, derives the current route, and conditionally renders either the homepage sections or a dedicated experience component such as</w:t>
      </w:r>
      <w:r>
        <w:t xml:space="preserve"> </w:t>
      </w:r>
      <w:r>
        <w:rPr>
          <w:rStyle w:val="VerbatimChar"/>
        </w:rPr>
        <w:t xml:space="preserve">FrameworkExperience</w:t>
      </w:r>
      <w:r>
        <w:t xml:space="preserve">,</w:t>
      </w:r>
      <w:r>
        <w:t xml:space="preserve"> </w:t>
      </w:r>
      <w:r>
        <w:rPr>
          <w:rStyle w:val="VerbatimChar"/>
        </w:rPr>
        <w:t xml:space="preserve">GetStartedPortal</w:t>
      </w:r>
      <w:r>
        <w:t xml:space="preserve">,</w:t>
      </w:r>
      <w:r>
        <w:t xml:space="preserve"> </w:t>
      </w:r>
      <w:r>
        <w:rPr>
          <w:rStyle w:val="VerbatimChar"/>
        </w:rPr>
        <w:t xml:space="preserve">SeriesExperience</w:t>
      </w:r>
      <w:r>
        <w:t xml:space="preserve">,</w:t>
      </w:r>
      <w:r>
        <w:t xml:space="preserve"> </w:t>
      </w:r>
      <w:r>
        <w:rPr>
          <w:rStyle w:val="VerbatimChar"/>
        </w:rPr>
        <w:t xml:space="preserve">ThinkingCycleExperience</w:t>
      </w:r>
      <w:r>
        <w:t xml:space="preserve">, or</w:t>
      </w:r>
      <w:r>
        <w:t xml:space="preserve"> </w:t>
      </w:r>
      <w:r>
        <w:rPr>
          <w:rStyle w:val="VerbatimChar"/>
        </w:rPr>
        <w:t xml:space="preserve">LegalPage</w:t>
      </w:r>
      <w:r>
        <w:t xml:space="preserve">. This approach made it possible to keep the delivery model simple while still supporting compare routes, detail routes, and homepage anchor navigation.</w:t>
      </w:r>
    </w:p>
    <w:p>
      <w:pPr>
        <w:pStyle w:val="BodyText"/>
      </w:pPr>
      <w:r>
        <w:t xml:space="preserve">The content model approach is explicit. Series data lives in</w:t>
      </w:r>
      <w:r>
        <w:t xml:space="preserve"> </w:t>
      </w:r>
      <w:r>
        <w:rPr>
          <w:rStyle w:val="VerbatimChar"/>
        </w:rPr>
        <w:t xml:space="preserve">src/lib/seriesContent.ts</w:t>
      </w:r>
      <w:r>
        <w:t xml:space="preserve">; Thinking Cycle data lives in</w:t>
      </w:r>
      <w:r>
        <w:t xml:space="preserve"> </w:t>
      </w:r>
      <w:r>
        <w:rPr>
          <w:rStyle w:val="VerbatimChar"/>
        </w:rPr>
        <w:t xml:space="preserve">src/lib/thinkingCycleContent.ts</w:t>
      </w:r>
      <w:r>
        <w:t xml:space="preserve">; legal content lives in</w:t>
      </w:r>
      <w:r>
        <w:t xml:space="preserve"> </w:t>
      </w:r>
      <w:r>
        <w:rPr>
          <w:rStyle w:val="VerbatimChar"/>
        </w:rPr>
        <w:t xml:space="preserve">src/lib/legalContent.ts</w:t>
      </w:r>
      <w:r>
        <w:t xml:space="preserve">. These files act as structured synthesis layers between source documents and UI components. That pattern matters because it creates reusable data for summary cards, compare views, detail views, downloads, and public labels without forcing those components to embed raw source language directly.</w:t>
      </w:r>
    </w:p>
    <w:p>
      <w:pPr>
        <w:pStyle w:val="BodyText"/>
      </w:pPr>
      <w:r>
        <w:t xml:space="preserve">Static public assets are delivered through</w:t>
      </w:r>
      <w:r>
        <w:t xml:space="preserve"> </w:t>
      </w:r>
      <w:r>
        <w:rPr>
          <w:rStyle w:val="VerbatimChar"/>
        </w:rPr>
        <w:t xml:space="preserve">public/</w:t>
      </w:r>
      <w:r>
        <w:t xml:space="preserve">. This includes downloadable syllabi, Thinking Cycle manuals, images,</w:t>
      </w:r>
      <w:r>
        <w:t xml:space="preserve"> </w:t>
      </w:r>
      <w:r>
        <w:rPr>
          <w:rStyle w:val="VerbatimChar"/>
        </w:rPr>
        <w:t xml:space="preserve">robots.txt</w:t>
      </w:r>
      <w:r>
        <w:t xml:space="preserve">,</w:t>
      </w:r>
      <w:r>
        <w:t xml:space="preserve"> </w:t>
      </w:r>
      <w:r>
        <w:rPr>
          <w:rStyle w:val="VerbatimChar"/>
        </w:rPr>
        <w:t xml:space="preserve">sitemap.xml</w:t>
      </w:r>
      <w:r>
        <w:t xml:space="preserve">, favicon, and touch icons. The delivery model is intentionally simple: files placed under</w:t>
      </w:r>
      <w:r>
        <w:t xml:space="preserve"> </w:t>
      </w:r>
      <w:r>
        <w:rPr>
          <w:rStyle w:val="VerbatimChar"/>
        </w:rPr>
        <w:t xml:space="preserve">public/</w:t>
      </w:r>
      <w:r>
        <w:t xml:space="preserve"> </w:t>
      </w:r>
      <w:r>
        <w:t xml:space="preserve">are emitted into the production build and can be linked directly through deterministic URLs. That is how syllabus downloads and manual downloads were made deploy-safe.</w:t>
      </w:r>
    </w:p>
    <w:p>
      <w:pPr>
        <w:pStyle w:val="BodyText"/>
      </w:pPr>
      <w:r>
        <w:t xml:space="preserve">The deployment model is Vercel-based.</w:t>
      </w:r>
      <w:r>
        <w:t xml:space="preserve"> </w:t>
      </w:r>
      <w:r>
        <w:rPr>
          <w:rStyle w:val="VerbatimChar"/>
        </w:rPr>
        <w:t xml:space="preserve">vercel.json</w:t>
      </w:r>
      <w:r>
        <w:t xml:space="preserve"> </w:t>
      </w:r>
      <w:r>
        <w:t xml:space="preserve">defines the build command, output directory,</w:t>
      </w:r>
      <w:r>
        <w:t xml:space="preserve"> </w:t>
      </w:r>
      <w:r>
        <w:rPr>
          <w:rStyle w:val="VerbatimChar"/>
        </w:rPr>
        <w:t xml:space="preserve">www</w:t>
      </w:r>
      <w:r>
        <w:t xml:space="preserve"> </w:t>
      </w:r>
      <w:r>
        <w:t xml:space="preserve">to apex redirect, SPA rewrites, and immutable cache headers for</w:t>
      </w:r>
      <w:r>
        <w:t xml:space="preserve"> </w:t>
      </w:r>
      <w:r>
        <w:rPr>
          <w:rStyle w:val="VerbatimChar"/>
        </w:rPr>
        <w:t xml:space="preserve">/assets/*</w:t>
      </w:r>
      <w:r>
        <w:t xml:space="preserve">. This separates public identity concerns from application logic while allowing route-like paths such as</w:t>
      </w:r>
      <w:r>
        <w:t xml:space="preserve"> </w:t>
      </w:r>
      <w:r>
        <w:rPr>
          <w:rStyle w:val="VerbatimChar"/>
        </w:rPr>
        <w:t xml:space="preserve">/framework</w:t>
      </w:r>
      <w:r>
        <w:t xml:space="preserve">,</w:t>
      </w:r>
      <w:r>
        <w:t xml:space="preserve"> </w:t>
      </w:r>
      <w:r>
        <w:rPr>
          <w:rStyle w:val="VerbatimChar"/>
        </w:rPr>
        <w:t xml:space="preserve">/series/compare</w:t>
      </w:r>
      <w:r>
        <w:t xml:space="preserve">, or</w:t>
      </w:r>
      <w:r>
        <w:t xml:space="preserve"> </w:t>
      </w:r>
      <w:r>
        <w:rPr>
          <w:rStyle w:val="VerbatimChar"/>
        </w:rPr>
        <w:t xml:space="preserve">/legal/privacy</w:t>
      </w:r>
      <w:r>
        <w:t xml:space="preserve"> </w:t>
      </w:r>
      <w:r>
        <w:t xml:space="preserve">to resolve cleanly.</w:t>
      </w:r>
    </w:p>
    <w:p>
      <w:pPr>
        <w:pStyle w:val="BodyText"/>
      </w:pPr>
      <w:r>
        <w:t xml:space="preserve">Two implementation patterns were especially important:</w:t>
      </w:r>
    </w:p>
    <w:p>
      <w:pPr>
        <w:pStyle w:val="Compact"/>
        <w:numPr>
          <w:ilvl w:val="0"/>
          <w:numId w:val="1001"/>
        </w:numPr>
      </w:pPr>
      <w:r>
        <w:t xml:space="preserve">code splitting through lazy loading of heavier subpages such as framework, legal, and get-started views</w:t>
      </w:r>
    </w:p>
    <w:p>
      <w:pPr>
        <w:pStyle w:val="Compact"/>
        <w:numPr>
          <w:ilvl w:val="0"/>
          <w:numId w:val="1001"/>
        </w:numPr>
      </w:pPr>
      <w:r>
        <w:t xml:space="preserve">route normalization and hash-aware navigation in</w:t>
      </w:r>
      <w:r>
        <w:t xml:space="preserve"> </w:t>
      </w:r>
      <w:r>
        <w:rPr>
          <w:rStyle w:val="VerbatimChar"/>
        </w:rPr>
        <w:t xml:space="preserve">App.tsx</w:t>
      </w:r>
      <w:r>
        <w:t xml:space="preserve">, which allowed homepage anchors to work both from the homepage and from subpages</w:t>
      </w:r>
    </w:p>
    <w:bookmarkEnd w:id="25"/>
    <w:bookmarkStart w:id="26" w:name="content-system-architecture"/>
    <w:p>
      <w:pPr>
        <w:pStyle w:val="Heading2"/>
      </w:pPr>
      <w:r>
        <w:t xml:space="preserve">Content System Architecture</w:t>
      </w:r>
    </w:p>
    <w:p>
      <w:pPr>
        <w:pStyle w:val="FirstParagraph"/>
      </w:pPr>
      <w:r>
        <w:t xml:space="preserve">The content system is structured around two primary curriculum axes: the five Jurassic English Series levels and the four Jurassic Thinking Cycle stages.</w:t>
      </w:r>
    </w:p>
    <w:p>
      <w:pPr>
        <w:pStyle w:val="BodyText"/>
      </w:pPr>
      <w:r>
        <w:t xml:space="preserve">The series model contains fields such as title, level name, age band, CEFR range, lessons per year, core texts, CEFR progression, cognitive focus, text complexity, competencies, assessment snapshot, and progression note. That structured model supports homepage summary cards, level-detail pages, compare cards, syllabus download links, and public-facing progression language.</w:t>
      </w:r>
    </w:p>
    <w:p>
      <w:pPr>
        <w:pStyle w:val="BodyText"/>
      </w:pPr>
      <w:r>
        <w:t xml:space="preserve">The Thinking Cycle model contains stage identity, manuals, descriptor line, cognitive operation, Bloom level, primary target, lesson slot, student expectations, prompt bank summaries, language-bank summaries, practice prompts by level band, assessment snapshots, teacher action, primary activity, ecological extension, and cross-stage connection. This allows one source model to drive summary cards, detail pages, compare views, and manual download actions.</w:t>
      </w:r>
    </w:p>
    <w:p>
      <w:pPr>
        <w:pStyle w:val="BodyText"/>
      </w:pPr>
      <w:r>
        <w:t xml:space="preserve">Compare pages were deliberately built as dedicated route-like experiences rather than homepage expansions. This preserved homepage clarity while giving adult decision-makers comparison-oriented views for both levels and stages. Detail pages then provide depth when needed, but the homepage remains summary-level.</w:t>
      </w:r>
    </w:p>
    <w:p>
      <w:pPr>
        <w:pStyle w:val="BodyText"/>
      </w:pPr>
      <w:r>
        <w:t xml:space="preserve">Legal content is modeled structurally rather than as static HTML.</w:t>
      </w:r>
      <w:r>
        <w:t xml:space="preserve"> </w:t>
      </w:r>
      <w:r>
        <w:rPr>
          <w:rStyle w:val="VerbatimChar"/>
        </w:rPr>
        <w:t xml:space="preserve">src/lib/legalContent.ts</w:t>
      </w:r>
      <w:r>
        <w:t xml:space="preserve"> </w:t>
      </w:r>
      <w:r>
        <w:t xml:space="preserve">defines legal document types, sections, blocks, tables, and contact metadata. That made it possible to publish multiple policy routes using one rendering pattern while still preserving document structure.</w:t>
      </w:r>
    </w:p>
    <w:p>
      <w:pPr>
        <w:pStyle w:val="BodyText"/>
      </w:pPr>
      <w:r>
        <w:t xml:space="preserve">The website content is not the raw source of truth itself. The relationship is layered:</w:t>
      </w:r>
    </w:p>
    <w:p>
      <w:pPr>
        <w:pStyle w:val="Compact"/>
        <w:numPr>
          <w:ilvl w:val="0"/>
          <w:numId w:val="1002"/>
        </w:numPr>
      </w:pPr>
      <w:r>
        <w:t xml:space="preserve">source documents define the academic content</w:t>
      </w:r>
    </w:p>
    <w:p>
      <w:pPr>
        <w:pStyle w:val="Compact"/>
        <w:numPr>
          <w:ilvl w:val="0"/>
          <w:numId w:val="1002"/>
        </w:numPr>
      </w:pPr>
      <w:r>
        <w:t xml:space="preserve">structured TypeScript models synthesize that content for the web</w:t>
      </w:r>
    </w:p>
    <w:p>
      <w:pPr>
        <w:pStyle w:val="Compact"/>
        <w:numPr>
          <w:ilvl w:val="0"/>
          <w:numId w:val="1002"/>
        </w:numPr>
      </w:pPr>
      <w:r>
        <w:t xml:space="preserve">UI components render those models into the public interface</w:t>
      </w:r>
    </w:p>
    <w:p>
      <w:pPr>
        <w:pStyle w:val="FirstParagraph"/>
      </w:pPr>
      <w:r>
        <w:t xml:space="preserve">That separation is important because it allows the public platform to be maintained as a coherent system instead of a set of manually duplicated document excerpts.</w:t>
      </w:r>
    </w:p>
    <w:bookmarkEnd w:id="26"/>
    <w:bookmarkStart w:id="27" w:name="accessibility-and-ux-engineering"/>
    <w:p>
      <w:pPr>
        <w:pStyle w:val="Heading2"/>
      </w:pPr>
      <w:r>
        <w:t xml:space="preserve">Accessibility and UX Engineering</w:t>
      </w:r>
    </w:p>
    <w:p>
      <w:pPr>
        <w:pStyle w:val="FirstParagraph"/>
      </w:pPr>
      <w:r>
        <w:t xml:space="preserve">Accessibility and UX quality improved through audits and remediation rather than through a single one-time pass. Early issues included broken anchor behavior, incorrect footer targets, placeholder legal content, weak form semantics, generic titles, inconsistent landmarks, and fragile interaction semantics.</w:t>
      </w:r>
    </w:p>
    <w:p>
      <w:pPr>
        <w:pStyle w:val="BodyText"/>
      </w:pPr>
      <w:r>
        <w:t xml:space="preserve">The remediation strategy was incremental and evidence-led. The</w:t>
      </w:r>
      <w:r>
        <w:t xml:space="preserve"> </w:t>
      </w:r>
      <w:r>
        <w:rPr>
          <w:rStyle w:val="VerbatimChar"/>
        </w:rPr>
        <w:t xml:space="preserve">Get Started</w:t>
      </w:r>
      <w:r>
        <w:t xml:space="preserve"> </w:t>
      </w:r>
      <w:r>
        <w:t xml:space="preserve">portal was strengthened first because it combined user value with the greatest accessibility risk. Labels were explicitly bound to controls; invalid fields gained</w:t>
      </w:r>
      <w:r>
        <w:t xml:space="preserve"> </w:t>
      </w:r>
      <w:r>
        <w:rPr>
          <w:rStyle w:val="VerbatimChar"/>
        </w:rPr>
        <w:t xml:space="preserve">aria-invalid</w:t>
      </w:r>
      <w:r>
        <w:t xml:space="preserve">; error relationships were wired through</w:t>
      </w:r>
      <w:r>
        <w:t xml:space="preserve"> </w:t>
      </w:r>
      <w:r>
        <w:rPr>
          <w:rStyle w:val="VerbatimChar"/>
        </w:rPr>
        <w:t xml:space="preserve">aria-describedby</w:t>
      </w:r>
      <w:r>
        <w:t xml:space="preserve">; and submission feedback was exposed through live-region status messaging. Query-parameter-based interest selection was also made functional, which closed a content-integrity gap between pathway links and form behavior.</w:t>
      </w:r>
    </w:p>
    <w:p>
      <w:pPr>
        <w:pStyle w:val="BodyText"/>
      </w:pPr>
      <w:r>
        <w:t xml:space="preserve">Keyboard and focus work then moved into the global shell. Homepage summary cards were converted from</w:t>
      </w:r>
      <w:r>
        <w:t xml:space="preserve"> </w:t>
      </w:r>
      <w:r>
        <w:rPr>
          <w:rStyle w:val="VerbatimChar"/>
        </w:rPr>
        <w:t xml:space="preserve">div role="button"</w:t>
      </w:r>
      <w:r>
        <w:t xml:space="preserve"> </w:t>
      </w:r>
      <w:r>
        <w:t xml:space="preserve">patterns to native buttons. Footer readability was increased through text-size and contrast adjustments. The brand/home control gained an explicit visible focus ring. Homepage and legal views were given consistent</w:t>
      </w:r>
      <w:r>
        <w:t xml:space="preserve"> </w:t>
      </w:r>
      <w:r>
        <w:rPr>
          <w:rStyle w:val="VerbatimChar"/>
        </w:rPr>
        <w:t xml:space="preserve">main</w:t>
      </w:r>
      <w:r>
        <w:t xml:space="preserve"> </w:t>
      </w:r>
      <w:r>
        <w:t xml:space="preserve">landmarks, and route-specific document titles replaced the earlier generic single-title pattern.</w:t>
      </w:r>
    </w:p>
    <w:p>
      <w:pPr>
        <w:pStyle w:val="BodyText"/>
      </w:pPr>
      <w:r>
        <w:t xml:space="preserve">UX coherence work followed the same principle: fix what damages trust, not only what is technically incorrect. The Creative Studio decision is the best example. Rather than leave a visually active but broken AI feature in production, the team made the unavailable state explicit and controlled. That is a UX decision as much as a technical one. It tells users what is happening instead of letting them infer failure.</w:t>
      </w:r>
    </w:p>
    <w:p>
      <w:pPr>
        <w:pStyle w:val="BodyText"/>
      </w:pPr>
      <w:r>
        <w:t xml:space="preserve">The result is not that the site became perfect. It is that the site moved into a much stronger professional baseline: better keyboard behavior, clearer page identity, cleaner semantics, more reliable status messaging, and fewer misleading affordances.</w:t>
      </w:r>
    </w:p>
    <w:bookmarkEnd w:id="27"/>
    <w:bookmarkStart w:id="28" w:name="Xb5465a03866ffc4384348a60035b98f28d7ee62"/>
    <w:p>
      <w:pPr>
        <w:pStyle w:val="Heading2"/>
      </w:pPr>
      <w:r>
        <w:t xml:space="preserve">Legal, Governance, and Institutional Readiness</w:t>
      </w:r>
    </w:p>
    <w:p>
      <w:pPr>
        <w:pStyle w:val="FirstParagraph"/>
      </w:pPr>
      <w:r>
        <w:t xml:space="preserve">Legal readiness became part of launch readiness rather than a postscript. The project replaced public-facing placeholder policy content with substantive structured legal pages for Terms, Privacy, Cookies, Accessibility, and Disclaimer. The footer was aligned to those routes and to institutional contact flows.</w:t>
      </w:r>
    </w:p>
    <w:p>
      <w:pPr>
        <w:pStyle w:val="BodyText"/>
      </w:pPr>
      <w:r>
        <w:t xml:space="preserve">This mattered for several reasons. First, legal visibility affects stakeholder trust, especially for institutional or cross-border use. Second, compliance signals matter in procurement and partnership conversations even before full due diligence begins. Third, once the site became the public face of a wider educational system, it needed a clearer statement of terms, privacy treatment, cookies, and disclaimer language.</w:t>
      </w:r>
    </w:p>
    <w:p>
      <w:pPr>
        <w:pStyle w:val="BodyText"/>
      </w:pPr>
      <w:r>
        <w:t xml:space="preserve">The governance implications go further. The website forced source-of-truth questions into the open. Once level bands, CEFR ranges, progression thresholds, stage descriptors, and legal statements become public, inconsistencies become more costly. That is why the later B1 and B2 documentation work matters: the platform now exposes not only curriculum content but also the need for governance discipline behind it.</w:t>
      </w:r>
    </w:p>
    <w:bookmarkEnd w:id="28"/>
    <w:bookmarkStart w:id="29" w:name="performance-and-discoverability"/>
    <w:p>
      <w:pPr>
        <w:pStyle w:val="Heading2"/>
      </w:pPr>
      <w:r>
        <w:t xml:space="preserve">Performance and Discoverability</w:t>
      </w:r>
    </w:p>
    <w:p>
      <w:pPr>
        <w:pStyle w:val="FirstParagraph"/>
      </w:pPr>
      <w:r>
        <w:t xml:space="preserve">Performance and discoverability work was pragmatic and tied to release readiness rather than treated as a separate optimization project.</w:t>
      </w:r>
    </w:p>
    <w:p>
      <w:pPr>
        <w:pStyle w:val="BodyText"/>
      </w:pPr>
      <w:r>
        <w:t xml:space="preserve">Several concrete steps are evidenced in the codebase:</w:t>
      </w:r>
    </w:p>
    <w:p>
      <w:pPr>
        <w:pStyle w:val="Compact"/>
        <w:numPr>
          <w:ilvl w:val="0"/>
          <w:numId w:val="1003"/>
        </w:numPr>
      </w:pPr>
      <w:r>
        <w:t xml:space="preserve">the hero image is preloaded in</w:t>
      </w:r>
      <w:r>
        <w:t xml:space="preserve"> </w:t>
      </w:r>
      <w:r>
        <w:rPr>
          <w:rStyle w:val="VerbatimChar"/>
        </w:rPr>
        <w:t xml:space="preserve">index.html</w:t>
      </w:r>
      <w:r>
        <w:t xml:space="preserve"> </w:t>
      </w:r>
      <w:r>
        <w:t xml:space="preserve">using the WebP variant</w:t>
      </w:r>
    </w:p>
    <w:p>
      <w:pPr>
        <w:pStyle w:val="Compact"/>
        <w:numPr>
          <w:ilvl w:val="0"/>
          <w:numId w:val="1003"/>
        </w:numPr>
      </w:pPr>
      <w:r>
        <w:t xml:space="preserve">fonts are loaded through</w:t>
      </w:r>
      <w:r>
        <w:t xml:space="preserve"> </w:t>
      </w:r>
      <w:r>
        <w:rPr>
          <w:rStyle w:val="VerbatimChar"/>
        </w:rPr>
        <w:t xml:space="preserve">&lt;link&gt;</w:t>
      </w:r>
      <w:r>
        <w:t xml:space="preserve"> </w:t>
      </w:r>
      <w:r>
        <w:t xml:space="preserve">tags in</w:t>
      </w:r>
      <w:r>
        <w:t xml:space="preserve"> </w:t>
      </w:r>
      <w:r>
        <w:rPr>
          <w:rStyle w:val="VerbatimChar"/>
        </w:rPr>
        <w:t xml:space="preserve">index.html</w:t>
      </w:r>
      <w:r>
        <w:t xml:space="preserve"> </w:t>
      </w:r>
      <w:r>
        <w:t xml:space="preserve">with preconnects, reducing the need for render-blocking CSS imports</w:t>
      </w:r>
    </w:p>
    <w:p>
      <w:pPr>
        <w:pStyle w:val="Compact"/>
        <w:numPr>
          <w:ilvl w:val="0"/>
          <w:numId w:val="1003"/>
        </w:numPr>
      </w:pPr>
      <w:r>
        <w:t xml:space="preserve">heavier subpages are lazy-loaded through</w:t>
      </w:r>
      <w:r>
        <w:t xml:space="preserve"> </w:t>
      </w:r>
      <w:r>
        <w:rPr>
          <w:rStyle w:val="VerbatimChar"/>
        </w:rPr>
        <w:t xml:space="preserve">React.lazy</w:t>
      </w:r>
    </w:p>
    <w:p>
      <w:pPr>
        <w:pStyle w:val="Compact"/>
        <w:numPr>
          <w:ilvl w:val="0"/>
          <w:numId w:val="1003"/>
        </w:numPr>
      </w:pPr>
      <w:r>
        <w:t xml:space="preserve">Vercel applies immutable cache headers for hashed asset files under</w:t>
      </w:r>
      <w:r>
        <w:t xml:space="preserve"> </w:t>
      </w:r>
      <w:r>
        <w:rPr>
          <w:rStyle w:val="VerbatimChar"/>
        </w:rPr>
        <w:t xml:space="preserve">/assets/*</w:t>
      </w:r>
    </w:p>
    <w:p>
      <w:pPr>
        <w:pStyle w:val="Compact"/>
        <w:numPr>
          <w:ilvl w:val="0"/>
          <w:numId w:val="1003"/>
        </w:numPr>
      </w:pPr>
      <w:r>
        <w:rPr>
          <w:rStyle w:val="VerbatimChar"/>
        </w:rPr>
        <w:t xml:space="preserve">robots.txt</w:t>
      </w:r>
      <w:r>
        <w:t xml:space="preserve"> </w:t>
      </w:r>
      <w:r>
        <w:t xml:space="preserve">and</w:t>
      </w:r>
      <w:r>
        <w:t xml:space="preserve"> </w:t>
      </w:r>
      <w:r>
        <w:rPr>
          <w:rStyle w:val="VerbatimChar"/>
        </w:rPr>
        <w:t xml:space="preserve">sitemap.xml</w:t>
      </w:r>
      <w:r>
        <w:t xml:space="preserve"> </w:t>
      </w:r>
      <w:r>
        <w:t xml:space="preserve">are present as public assets</w:t>
      </w:r>
    </w:p>
    <w:p>
      <w:pPr>
        <w:pStyle w:val="Compact"/>
        <w:numPr>
          <w:ilvl w:val="0"/>
          <w:numId w:val="1003"/>
        </w:numPr>
      </w:pPr>
      <w:r>
        <w:t xml:space="preserve">route-specific</w:t>
      </w:r>
      <w:r>
        <w:t xml:space="preserve"> </w:t>
      </w:r>
      <w:r>
        <w:rPr>
          <w:rStyle w:val="VerbatimChar"/>
        </w:rPr>
        <w:t xml:space="preserve">document.title</w:t>
      </w:r>
      <w:r>
        <w:t xml:space="preserve"> </w:t>
      </w:r>
      <w:r>
        <w:t xml:space="preserve">handling is now implemented in</w:t>
      </w:r>
      <w:r>
        <w:t xml:space="preserve"> </w:t>
      </w:r>
      <w:r>
        <w:rPr>
          <w:rStyle w:val="VerbatimChar"/>
        </w:rPr>
        <w:t xml:space="preserve">App.tsx</w:t>
      </w:r>
    </w:p>
    <w:p>
      <w:pPr>
        <w:pStyle w:val="FirstParagraph"/>
      </w:pPr>
      <w:r>
        <w:t xml:space="preserve">Discoverability remains partly global rather than fully route-specific. Canonical, Open Graph, and Twitter metadata are still site-level rather than route-specific, although page titles now vary by route. That distinction matters: discoverability improved, but not every SEO refinement is complete.</w:t>
      </w:r>
    </w:p>
    <w:p>
      <w:pPr>
        <w:pStyle w:val="BodyText"/>
      </w:pPr>
      <w:r>
        <w:t xml:space="preserve">The practical reason this work mattered is simple. A site intended for institutional trust cannot ignore page identity, asset caching, robots/sitemap coverage, or production loading behavior. These are not vanity optimizations; they are part of production credibility.</w:t>
      </w:r>
    </w:p>
    <w:bookmarkEnd w:id="29"/>
    <w:bookmarkStart w:id="30" w:name="deployment-and-production-operations"/>
    <w:p>
      <w:pPr>
        <w:pStyle w:val="Heading2"/>
      </w:pPr>
      <w:r>
        <w:t xml:space="preserve">Deployment and Production Operations</w:t>
      </w:r>
    </w:p>
    <w:p>
      <w:pPr>
        <w:pStyle w:val="FirstParagraph"/>
      </w:pPr>
      <w:r>
        <w:t xml:space="preserve">Production operations centered on Vercel, custom-domain coordination, and repeated live verification. The apex domain</w:t>
      </w:r>
      <w:r>
        <w:t xml:space="preserve"> </w:t>
      </w:r>
      <w:r>
        <w:rPr>
          <w:rStyle w:val="VerbatimChar"/>
        </w:rPr>
        <w:t xml:space="preserve">jurassicenglish.com</w:t>
      </w:r>
      <w:r>
        <w:t xml:space="preserve"> </w:t>
      </w:r>
      <w:r>
        <w:t xml:space="preserve">became the canonical identity, with</w:t>
      </w:r>
      <w:r>
        <w:t xml:space="preserve"> </w:t>
      </w:r>
      <w:r>
        <w:rPr>
          <w:rStyle w:val="VerbatimChar"/>
        </w:rPr>
        <w:t xml:space="preserve">www</w:t>
      </w:r>
      <w:r>
        <w:t xml:space="preserve"> </w:t>
      </w:r>
      <w:r>
        <w:t xml:space="preserve">redirected permanently to the apex domain. The fallback Vercel host remained useful as a secondary verification surface.</w:t>
      </w:r>
    </w:p>
    <w:p>
      <w:pPr>
        <w:pStyle w:val="BodyText"/>
      </w:pPr>
      <w:r>
        <w:t xml:space="preserve">Deployments followed a disciplined loop:</w:t>
      </w:r>
    </w:p>
    <w:p>
      <w:pPr>
        <w:pStyle w:val="Compact"/>
        <w:numPr>
          <w:ilvl w:val="0"/>
          <w:numId w:val="1004"/>
        </w:numPr>
      </w:pPr>
      <w:r>
        <w:t xml:space="preserve">local build validation with</w:t>
      </w:r>
      <w:r>
        <w:t xml:space="preserve"> </w:t>
      </w:r>
      <w:r>
        <w:rPr>
          <w:rStyle w:val="VerbatimChar"/>
        </w:rPr>
        <w:t xml:space="preserve">npm run build</w:t>
      </w:r>
    </w:p>
    <w:p>
      <w:pPr>
        <w:pStyle w:val="Compact"/>
        <w:numPr>
          <w:ilvl w:val="0"/>
          <w:numId w:val="1004"/>
        </w:numPr>
      </w:pPr>
      <w:r>
        <w:t xml:space="preserve">production deployment through</w:t>
      </w:r>
      <w:r>
        <w:t xml:space="preserve"> </w:t>
      </w:r>
      <w:r>
        <w:rPr>
          <w:rStyle w:val="VerbatimChar"/>
        </w:rPr>
        <w:t xml:space="preserve">npx vercel --prod</w:t>
      </w:r>
    </w:p>
    <w:p>
      <w:pPr>
        <w:pStyle w:val="Compact"/>
        <w:numPr>
          <w:ilvl w:val="0"/>
          <w:numId w:val="1004"/>
        </w:numPr>
      </w:pPr>
      <w:r>
        <w:t xml:space="preserve">live route and asset verification on the apex domain</w:t>
      </w:r>
    </w:p>
    <w:p>
      <w:pPr>
        <w:pStyle w:val="Compact"/>
        <w:numPr>
          <w:ilvl w:val="0"/>
          <w:numId w:val="1004"/>
        </w:numPr>
      </w:pPr>
      <w:r>
        <w:t xml:space="preserve">targeted re-audits after each material remediation</w:t>
      </w:r>
    </w:p>
    <w:p>
      <w:pPr>
        <w:pStyle w:val="FirstParagraph"/>
      </w:pPr>
      <w:r>
        <w:t xml:space="preserve">DNS and redirect behavior were not assumed. They were checked explicitly, including earlier detection that</w:t>
      </w:r>
      <w:r>
        <w:t xml:space="preserve"> </w:t>
      </w:r>
      <w:r>
        <w:rPr>
          <w:rStyle w:val="VerbatimChar"/>
        </w:rPr>
        <w:t xml:space="preserve">www</w:t>
      </w:r>
      <w:r>
        <w:t xml:space="preserve"> </w:t>
      </w:r>
      <w:r>
        <w:t xml:space="preserve">had once been misaligned and later confirmation that it redirected properly to the apex domain. Production verification also included route loads, asset loads, public downloads, and API behavior checks.</w:t>
      </w:r>
    </w:p>
    <w:p>
      <w:pPr>
        <w:pStyle w:val="BodyText"/>
      </w:pPr>
      <w:r>
        <w:t xml:space="preserve">Regression prevention came from that live verification discipline. For example, when the navbar’s homepage-anchor behavior failed from subpages, the fix was not considered complete until browser checks confirmed that</w:t>
      </w:r>
      <w:r>
        <w:t xml:space="preserve"> </w:t>
      </w:r>
      <w:r>
        <w:rPr>
          <w:rStyle w:val="VerbatimChar"/>
        </w:rPr>
        <w:t xml:space="preserve">/#about</w:t>
      </w:r>
      <w:r>
        <w:t xml:space="preserve"> </w:t>
      </w:r>
      <w:r>
        <w:t xml:space="preserve">and related anchors actually scrolled correctly after returning home. Likewise, the final accessibility fixes were not treated as done until focus state, title changes, and landmark counts were confirmed.</w:t>
      </w:r>
    </w:p>
    <w:bookmarkEnd w:id="30"/>
    <w:bookmarkStart w:id="31" w:name="quality-assurance-and-audit-discipline"/>
    <w:p>
      <w:pPr>
        <w:pStyle w:val="Heading2"/>
      </w:pPr>
      <w:r>
        <w:t xml:space="preserve">Quality Assurance and Audit Discipline</w:t>
      </w:r>
    </w:p>
    <w:p>
      <w:pPr>
        <w:pStyle w:val="FirstParagraph"/>
      </w:pPr>
      <w:r>
        <w:t xml:space="preserve">One of the strongest features of the project is how it moved from “working” to “professionally releasable” through audit discipline. Functional audits validated routes, downloads, forms, redirects, and public endpoints. Accessibility audits reviewed keyboard behavior, labels, error semantics, titles, landmarks, and focus visibility. Technical audits checked metadata, sitemap, robots, icons, downloads, and host behavior.</w:t>
      </w:r>
    </w:p>
    <w:p>
      <w:pPr>
        <w:pStyle w:val="BodyText"/>
      </w:pPr>
      <w:r>
        <w:t xml:space="preserve">These audits were not passive reporting exercises. They triggered focused remediation passes:</w:t>
      </w:r>
    </w:p>
    <w:p>
      <w:pPr>
        <w:pStyle w:val="Compact"/>
        <w:numPr>
          <w:ilvl w:val="0"/>
          <w:numId w:val="1005"/>
        </w:numPr>
      </w:pPr>
      <w:r>
        <w:t xml:space="preserve">footer anchor mismatch was fixed after functional QA confirmed it</w:t>
      </w:r>
    </w:p>
    <w:p>
      <w:pPr>
        <w:pStyle w:val="Compact"/>
        <w:numPr>
          <w:ilvl w:val="0"/>
          <w:numId w:val="1005"/>
        </w:numPr>
      </w:pPr>
      <w:r>
        <w:t xml:space="preserve">subpage-to-homepage anchor scrolling was fixed after live navigation testing confirmed failure</w:t>
      </w:r>
    </w:p>
    <w:p>
      <w:pPr>
        <w:pStyle w:val="Compact"/>
        <w:numPr>
          <w:ilvl w:val="0"/>
          <w:numId w:val="1005"/>
        </w:numPr>
      </w:pPr>
      <w:r>
        <w:t xml:space="preserve">form accessibility defects were fixed after code and browser audits confirmed missing label and error relationships</w:t>
      </w:r>
    </w:p>
    <w:p>
      <w:pPr>
        <w:pStyle w:val="Compact"/>
        <w:numPr>
          <w:ilvl w:val="0"/>
          <w:numId w:val="1005"/>
        </w:numPr>
      </w:pPr>
      <w:r>
        <w:t xml:space="preserve">generic titles and missing</w:t>
      </w:r>
      <w:r>
        <w:t xml:space="preserve"> </w:t>
      </w:r>
      <w:r>
        <w:rPr>
          <w:rStyle w:val="VerbatimChar"/>
        </w:rPr>
        <w:t xml:space="preserve">main</w:t>
      </w:r>
      <w:r>
        <w:t xml:space="preserve"> </w:t>
      </w:r>
      <w:r>
        <w:t xml:space="preserve">landmarks were fixed after live semantic review confirmed them</w:t>
      </w:r>
    </w:p>
    <w:p>
      <w:pPr>
        <w:pStyle w:val="Compact"/>
        <w:numPr>
          <w:ilvl w:val="0"/>
          <w:numId w:val="1005"/>
        </w:numPr>
      </w:pPr>
      <w:r>
        <w:t xml:space="preserve">the Creative Studio feature was intentionally disabled for production after public endpoint verification showed it was not actually operable</w:t>
      </w:r>
    </w:p>
    <w:p>
      <w:pPr>
        <w:pStyle w:val="FirstParagraph"/>
      </w:pPr>
      <w:r>
        <w:t xml:space="preserve">This release-closeout logic matters because it defines a professional standard. A site becomes releasable not when it has a long feature list, but when the team can explain what was tested, what failed, what was fixed, what remains deferred, and why the remaining state is acceptable.</w:t>
      </w:r>
    </w:p>
    <w:bookmarkEnd w:id="31"/>
    <w:bookmarkStart w:id="32" w:name="key-challenges-and-resolutions"/>
    <w:p>
      <w:pPr>
        <w:pStyle w:val="Heading2"/>
      </w:pPr>
      <w:r>
        <w:t xml:space="preserve">Key Challenges and Resolutions</w:t>
      </w:r>
    </w:p>
    <w:p>
      <w:pPr>
        <w:pStyle w:val="FirstParagraph"/>
      </w:pPr>
      <w:r>
        <w:t xml:space="preserve">Several recurring tensions shaped the build cycle.</w:t>
      </w:r>
    </w:p>
    <w:p>
      <w:pPr>
        <w:pStyle w:val="BodyText"/>
      </w:pPr>
      <w:r>
        <w:t xml:space="preserve">The first was source-of-truth inconsistency. The website needed to communicate a curriculum system whose own source documents were not fully normalized in every field, especially around the Level 1 age band. The resolution was not to invent certainty. Instead, the platform and the later B1/B2 documentation work began to document those discrepancies explicitly.</w:t>
      </w:r>
    </w:p>
    <w:p>
      <w:pPr>
        <w:pStyle w:val="BodyText"/>
      </w:pPr>
      <w:r>
        <w:t xml:space="preserve">The second was homepage versus subpage navigation behavior. SPA-style routing made it easy to display route-like pages, but homepage anchor navigation from subpages initially failed. The resolution was a hash-aware navigation model in</w:t>
      </w:r>
      <w:r>
        <w:t xml:space="preserve"> </w:t>
      </w:r>
      <w:r>
        <w:rPr>
          <w:rStyle w:val="VerbatimChar"/>
        </w:rPr>
        <w:t xml:space="preserve">App.tsx</w:t>
      </w:r>
      <w:r>
        <w:t xml:space="preserve"> </w:t>
      </w:r>
      <w:r>
        <w:t xml:space="preserve">that normalized anchor targets, preserved hashes, and scrolled once the homepage was mounted.</w:t>
      </w:r>
    </w:p>
    <w:p>
      <w:pPr>
        <w:pStyle w:val="BodyText"/>
      </w:pPr>
      <w:r>
        <w:t xml:space="preserve">The third was legal maturity. Placeholder policies might have been tolerated in a prototype, but not in a credible public institutional release. The resolution was to build a structured legal content system and expose real public legal routes.</w:t>
      </w:r>
    </w:p>
    <w:p>
      <w:pPr>
        <w:pStyle w:val="BodyText"/>
      </w:pPr>
      <w:r>
        <w:t xml:space="preserve">The fourth was feature honesty. Creative Studio existed as a concept, but production configuration did not support it safely. The resolution was to prefer explicit unavailability over public failure. This was a trust-preserving product decision.</w:t>
      </w:r>
    </w:p>
    <w:p>
      <w:pPr>
        <w:pStyle w:val="BodyText"/>
      </w:pPr>
      <w:r>
        <w:t xml:space="preserve">The fifth was metadata and page identity consistency. Early on, the site behaved like a one-title SPA. That was acceptable for a prototype but not for release. Route-specific titles and landmark normalization addressed that issue, while route-specific OG/canonical metadata remains deferred.</w:t>
      </w:r>
    </w:p>
    <w:p>
      <w:pPr>
        <w:pStyle w:val="BodyText"/>
      </w:pPr>
      <w:r>
        <w:t xml:space="preserve">The sixth was the gap between academic-system maturity and website maturity. The website reached production before the entire curriculum governance layer was fully formalized. The resolution has been to treat website release not as the endpoint, but as the beginning of a broader documentation and governance programme.</w:t>
      </w:r>
    </w:p>
    <w:bookmarkEnd w:id="32"/>
    <w:bookmarkStart w:id="33" w:name="current-state"/>
    <w:p>
      <w:pPr>
        <w:pStyle w:val="Heading2"/>
      </w:pPr>
      <w:r>
        <w:t xml:space="preserve">Current State</w:t>
      </w:r>
    </w:p>
    <w:p>
      <w:pPr>
        <w:pStyle w:val="FirstParagraph"/>
      </w:pPr>
      <w:r>
        <w:t xml:space="preserve">As of the current documented production state, the following are complete and live:</w:t>
      </w:r>
    </w:p>
    <w:p>
      <w:pPr>
        <w:pStyle w:val="Compact"/>
        <w:numPr>
          <w:ilvl w:val="0"/>
          <w:numId w:val="1006"/>
        </w:numPr>
      </w:pPr>
      <w:r>
        <w:t xml:space="preserve">homepage and primary subpage architecture</w:t>
      </w:r>
    </w:p>
    <w:p>
      <w:pPr>
        <w:pStyle w:val="Compact"/>
        <w:numPr>
          <w:ilvl w:val="0"/>
          <w:numId w:val="1006"/>
        </w:numPr>
      </w:pPr>
      <w:r>
        <w:t xml:space="preserve">framework route</w:t>
      </w:r>
    </w:p>
    <w:p>
      <w:pPr>
        <w:pStyle w:val="Compact"/>
        <w:numPr>
          <w:ilvl w:val="0"/>
          <w:numId w:val="1006"/>
        </w:numPr>
      </w:pPr>
      <w:r>
        <w:t xml:space="preserve">structured</w:t>
      </w:r>
      <w:r>
        <w:t xml:space="preserve"> </w:t>
      </w:r>
      <w:r>
        <w:rPr>
          <w:rStyle w:val="VerbatimChar"/>
        </w:rPr>
        <w:t xml:space="preserve">Get Started</w:t>
      </w:r>
      <w:r>
        <w:t xml:space="preserve"> </w:t>
      </w:r>
      <w:r>
        <w:t xml:space="preserve">portal</w:t>
      </w:r>
    </w:p>
    <w:p>
      <w:pPr>
        <w:pStyle w:val="Compact"/>
        <w:numPr>
          <w:ilvl w:val="0"/>
          <w:numId w:val="1006"/>
        </w:numPr>
      </w:pPr>
      <w:r>
        <w:t xml:space="preserve">five series level-detail pages</w:t>
      </w:r>
    </w:p>
    <w:p>
      <w:pPr>
        <w:pStyle w:val="Compact"/>
        <w:numPr>
          <w:ilvl w:val="0"/>
          <w:numId w:val="1006"/>
        </w:numPr>
      </w:pPr>
      <w:r>
        <w:t xml:space="preserve">series comparison experience</w:t>
      </w:r>
    </w:p>
    <w:p>
      <w:pPr>
        <w:pStyle w:val="Compact"/>
        <w:numPr>
          <w:ilvl w:val="0"/>
          <w:numId w:val="1006"/>
        </w:numPr>
      </w:pPr>
      <w:r>
        <w:t xml:space="preserve">four Thinking Cycle stage-detail pages</w:t>
      </w:r>
    </w:p>
    <w:p>
      <w:pPr>
        <w:pStyle w:val="Compact"/>
        <w:numPr>
          <w:ilvl w:val="0"/>
          <w:numId w:val="1006"/>
        </w:numPr>
      </w:pPr>
      <w:r>
        <w:t xml:space="preserve">stage comparison experience</w:t>
      </w:r>
    </w:p>
    <w:p>
      <w:pPr>
        <w:pStyle w:val="Compact"/>
        <w:numPr>
          <w:ilvl w:val="0"/>
          <w:numId w:val="1006"/>
        </w:numPr>
      </w:pPr>
      <w:r>
        <w:t xml:space="preserve">syllabus downloads</w:t>
      </w:r>
    </w:p>
    <w:p>
      <w:pPr>
        <w:pStyle w:val="Compact"/>
        <w:numPr>
          <w:ilvl w:val="0"/>
          <w:numId w:val="1006"/>
        </w:numPr>
      </w:pPr>
      <w:r>
        <w:t xml:space="preserve">Thinking Cycle manual downloads</w:t>
      </w:r>
    </w:p>
    <w:p>
      <w:pPr>
        <w:pStyle w:val="Compact"/>
        <w:numPr>
          <w:ilvl w:val="0"/>
          <w:numId w:val="1006"/>
        </w:numPr>
      </w:pPr>
      <w:r>
        <w:t xml:space="preserve">structured legal pages</w:t>
      </w:r>
    </w:p>
    <w:p>
      <w:pPr>
        <w:pStyle w:val="Compact"/>
        <w:numPr>
          <w:ilvl w:val="0"/>
          <w:numId w:val="1006"/>
        </w:numPr>
      </w:pPr>
      <w:r>
        <w:t xml:space="preserve">footer/legal/contact architecture</w:t>
      </w:r>
    </w:p>
    <w:p>
      <w:pPr>
        <w:pStyle w:val="Compact"/>
        <w:numPr>
          <w:ilvl w:val="0"/>
          <w:numId w:val="1006"/>
        </w:numPr>
      </w:pPr>
      <w:r>
        <w:t xml:space="preserve">apex-domain production deployment on</w:t>
      </w:r>
      <w:r>
        <w:t xml:space="preserve"> </w:t>
      </w:r>
      <w:r>
        <w:rPr>
          <w:rStyle w:val="VerbatimChar"/>
        </w:rPr>
        <w:t xml:space="preserve">jurassicenglish.com</w:t>
      </w:r>
    </w:p>
    <w:p>
      <w:pPr>
        <w:pStyle w:val="Compact"/>
        <w:numPr>
          <w:ilvl w:val="0"/>
          <w:numId w:val="1006"/>
        </w:numPr>
      </w:pPr>
      <w:r>
        <w:t xml:space="preserve">accessibility remediations for key production issues</w:t>
      </w:r>
    </w:p>
    <w:p>
      <w:pPr>
        <w:pStyle w:val="FirstParagraph"/>
      </w:pPr>
      <w:r>
        <w:t xml:space="preserve">The site is production-ready for its present scope. It is functioning as a public institutional platform for Jurassic English™.</w:t>
      </w:r>
    </w:p>
    <w:p>
      <w:pPr>
        <w:pStyle w:val="BodyText"/>
      </w:pPr>
      <w:r>
        <w:t xml:space="preserve">The following items remain intentionally deferred or intentionally unavailable:</w:t>
      </w:r>
    </w:p>
    <w:p>
      <w:pPr>
        <w:pStyle w:val="Compact"/>
        <w:numPr>
          <w:ilvl w:val="0"/>
          <w:numId w:val="1007"/>
        </w:numPr>
      </w:pPr>
      <w:r>
        <w:t xml:space="preserve">Creative Studio is intentionally unavailable in production until the server-side Gemini configuration is intentionally enabled and verified</w:t>
      </w:r>
    </w:p>
    <w:p>
      <w:pPr>
        <w:pStyle w:val="Compact"/>
        <w:numPr>
          <w:ilvl w:val="0"/>
          <w:numId w:val="1007"/>
        </w:numPr>
      </w:pPr>
      <w:r>
        <w:t xml:space="preserve">canonical, Open Graph, and Twitter metadata are still global rather than route-specific</w:t>
      </w:r>
    </w:p>
    <w:p>
      <w:pPr>
        <w:pStyle w:val="Compact"/>
        <w:numPr>
          <w:ilvl w:val="0"/>
          <w:numId w:val="1007"/>
        </w:numPr>
      </w:pPr>
      <w:r>
        <w:t xml:space="preserve">the broader academic governance layer is in progress through B1 and B2 documentation work, not yet complete as a full governance handbook</w:t>
      </w:r>
    </w:p>
    <w:p>
      <w:pPr>
        <w:pStyle w:val="FirstParagraph"/>
      </w:pPr>
      <w:r>
        <w:t xml:space="preserve">The broader strategic roadmap still extends beyond the website. That includes curriculum standardization, governance resolution, CPD / observation / assessment architecture, institutional packaging, and other programme infrastructure that the website can support but does not itself constitute.</w:t>
      </w:r>
    </w:p>
    <w:bookmarkEnd w:id="33"/>
    <w:bookmarkStart w:id="38" w:name="strategic-next-steps"/>
    <w:p>
      <w:pPr>
        <w:pStyle w:val="Heading2"/>
      </w:pPr>
      <w:r>
        <w:t xml:space="preserve">Strategic Next Steps</w:t>
      </w:r>
    </w:p>
    <w:bookmarkStart w:id="34" w:name="website-post-launch-optimization"/>
    <w:p>
      <w:pPr>
        <w:pStyle w:val="Heading3"/>
      </w:pPr>
      <w:r>
        <w:t xml:space="preserve">Website post-launch optimization</w:t>
      </w:r>
    </w:p>
    <w:p>
      <w:pPr>
        <w:pStyle w:val="FirstParagraph"/>
      </w:pPr>
      <w:r>
        <w:t xml:space="preserve">The next most obvious website optimizations are route-specific social metadata, continued bundle-size tuning, and eventual reactivation of Creative Studio if and only if server-side configuration and release readiness are intentionally approved.</w:t>
      </w:r>
    </w:p>
    <w:bookmarkEnd w:id="34"/>
    <w:bookmarkStart w:id="35" w:name="X641a39c3b10f5e425dfa73e5149a58886597577"/>
    <w:p>
      <w:pPr>
        <w:pStyle w:val="Heading3"/>
      </w:pPr>
      <w:r>
        <w:t xml:space="preserve">Broader academic and programme infrastructure</w:t>
      </w:r>
    </w:p>
    <w:p>
      <w:pPr>
        <w:pStyle w:val="FirstParagraph"/>
      </w:pPr>
      <w:r>
        <w:t xml:space="preserve">The current B1 and B2 documents should be extended into a fuller academic governance pack. This should include decision resolution for discrepancies, controlled terminology enforcement, and stronger change-control routines across syllabi, manuals, structured source models, and public-facing materials.</w:t>
      </w:r>
    </w:p>
    <w:bookmarkEnd w:id="35"/>
    <w:bookmarkStart w:id="36" w:name="X958b318042bce14ea771f2c20b79c16fc3f6dee"/>
    <w:p>
      <w:pPr>
        <w:pStyle w:val="Heading3"/>
      </w:pPr>
      <w:r>
        <w:t xml:space="preserve">Governance and curriculum standardization</w:t>
      </w:r>
    </w:p>
    <w:p>
      <w:pPr>
        <w:pStyle w:val="FirstParagraph"/>
      </w:pPr>
      <w:r>
        <w:t xml:space="preserve">The most immediate governance task is formal resolution of the Level 1 age-band discrepancy and approval of one official institutional crosswalk between the CEFR reference-document naming and the five-series programme naming. Without that, future public and institutional materials risk divergence.</w:t>
      </w:r>
    </w:p>
    <w:bookmarkEnd w:id="36"/>
    <w:bookmarkStart w:id="37" w:name="X71d4ddeccaf61ec1f636fcae67f81b605c7a143"/>
    <w:p>
      <w:pPr>
        <w:pStyle w:val="Heading3"/>
      </w:pPr>
      <w:r>
        <w:t xml:space="preserve">CPD, observation, assessment, and institutional package work</w:t>
      </w:r>
    </w:p>
    <w:p>
      <w:pPr>
        <w:pStyle w:val="FirstParagraph"/>
      </w:pPr>
      <w:r>
        <w:t xml:space="preserve">The public platform now creates a strong front door, but deeper institutional adoption will require more formalized internal packages: observation instruments, moderation packs, professional development materials, portfolio standards, and institutional implementation documentation. Some of that architecture already exists in source materials, but it is not yet packaged as a unified institutional operations suite.</w:t>
      </w:r>
    </w:p>
    <w:bookmarkEnd w:id="37"/>
    <w:bookmarkEnd w:id="38"/>
    <w:bookmarkStart w:id="39" w:name="conclusion"/>
    <w:p>
      <w:pPr>
        <w:pStyle w:val="Heading2"/>
      </w:pPr>
      <w:r>
        <w:t xml:space="preserve">Conclusion</w:t>
      </w:r>
    </w:p>
    <w:p>
      <w:pPr>
        <w:pStyle w:val="FirstParagraph"/>
      </w:pPr>
      <w:r>
        <w:t xml:space="preserve">The Jurassic English™ build cycle achieved more than the launch of a website. It created a public institutional platform for a complex curriculum system, established a structured content architecture, integrated legal and download surfaces, built route-based detail and comparison experiences, corrected accessibility and navigation defects through disciplined audits, and deployed the result into a stable production identity.</w:t>
      </w:r>
    </w:p>
    <w:p>
      <w:pPr>
        <w:pStyle w:val="BodyText"/>
      </w:pPr>
      <w:r>
        <w:t xml:space="preserve">Just as importantly, the project made visible what had to happen next. By turning the curriculum into a live public system, it exposed where governance, naming, and source alignment still require institutional decisions. That is a strength, not a weakness. It means the platform is no longer hypothetical. It is now a working strategic asset that can support trust, enquiry, partner evaluation, and future programme standardization.</w:t>
      </w:r>
    </w:p>
    <w:p>
      <w:pPr>
        <w:pStyle w:val="BodyText"/>
      </w:pPr>
      <w:r>
        <w:t xml:space="preserve">In that sense, the build cycle’s most important outcome is not only that Jurassic English™ is live. It is that the project now has a credible public layer, a documented technical delivery model, and the beginnings of the governance discipline required for long-term scale.</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2026-03-25T02:42:23Z</dcterms:created>
  <dcterms:modified xsi:type="dcterms:W3CDTF">2026-03-25T02:42:23Z</dcterms:modified>
</cp:coreProperties>
</file>

<file path=docProps/custom.xml><?xml version="1.0" encoding="utf-8"?>
<Properties xmlns="http://schemas.openxmlformats.org/officeDocument/2006/custom-properties" xmlns:vt="http://schemas.openxmlformats.org/officeDocument/2006/docPropsVTypes"/>
</file>