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80" w:line="283" w:lineRule="auto"/>
        <w:jc w:val="center"/>
      </w:pPr>
      <w:r>
        <w:rPr>
          <w:rFonts w:ascii="Arial" w:hAnsi="Arial" w:eastAsia="IPAGothic"/>
          <w:b/>
          <w:color w:val="255FB5"/>
          <w:sz w:val="26"/>
        </w:rPr>
        <w:t>営業ツール × Claude 連携マニュアル</w:t>
      </w:r>
    </w:p>
    <w:p>
      <w:pPr>
        <w:spacing w:after="120" w:line="283" w:lineRule="auto"/>
        <w:jc w:val="center"/>
      </w:pPr>
      <w:r>
        <w:rPr>
          <w:rFonts w:ascii="Arial" w:hAnsi="Arial" w:eastAsia="IPAGothic"/>
          <w:b/>
          <w:color w:val="2D3748"/>
          <w:sz w:val="44"/>
        </w:rPr>
        <w:t>HubSpot Sales Hub</w:t>
      </w:r>
    </w:p>
    <w:p>
      <w:pPr>
        <w:spacing w:after="360" w:line="283" w:lineRule="auto"/>
        <w:jc w:val="center"/>
      </w:pPr>
      <w:r>
        <w:rPr>
          <w:rFonts w:ascii="Arial" w:hAnsi="Arial" w:eastAsia="IPAGothic"/>
          <w:b w:val="0"/>
          <w:color w:val="6C757D"/>
          <w:sz w:val="25"/>
        </w:rPr>
        <w:t>公式リモートMCPで、CRMデータを自然言語で操作</w:t>
      </w:r>
    </w:p>
    <w:p>
      <w:pPr>
        <w:spacing w:after="360" w:line="283" w:lineRule="auto"/>
        <w:jc w:val="center"/>
      </w:pPr>
      <w:r>
        <w:rPr>
          <w:rFonts w:ascii="Arial" w:hAnsi="Arial" w:eastAsia="IPAGothic"/>
          <w:b/>
          <w:color w:val="255FB5"/>
          <w:sz w:val="22"/>
        </w:rPr>
        <w:t>提供元: HubSpot</w:t>
      </w:r>
    </w:p>
    <w:p>
      <w:pPr>
        <w:spacing w:before="80"/>
        <w:shd w:val="clear" w:fill="FFF7ED"/>
        <w:pBdr>
          <w:top w:val="dashed" w:sz="8" w:space="8" w:color="D97706"/>
          <w:left w:val="dashed" w:sz="8" w:space="8" w:color="D97706"/>
          <w:bottom w:val="dashed" w:sz="8" w:space="8" w:color="D97706"/>
          <w:right w:val="dashed" w:sz="8" w:space="8" w:color="D97706"/>
        </w:pBdr>
      </w:pPr>
      <w:r>
        <w:rPr>
          <w:rFonts w:ascii="Arial" w:hAnsi="Arial" w:eastAsia="IPAGothic"/>
          <w:b/>
          <w:color w:val="B45309"/>
          <w:sz w:val="21"/>
        </w:rPr>
        <w:t>本マニュアルについて(必ずお読みください)</w:t>
      </w:r>
    </w:p>
    <w:p>
      <w:pPr>
        <w:shd w:val="clear" w:fill="FFF7ED"/>
        <w:pBdr>
          <w:top w:val="dashed" w:sz="8" w:space="8" w:color="D97706"/>
          <w:left w:val="dashed" w:sz="8" w:space="8" w:color="D97706"/>
          <w:bottom w:val="dashed" w:sz="8" w:space="8" w:color="D97706"/>
          <w:right w:val="dashed" w:sz="8" w:space="8" w:color="D97706"/>
        </w:pBdr>
        <w:spacing w:after="200"/>
      </w:pPr>
      <w:r>
        <w:rPr>
          <w:rFonts w:ascii="Arial" w:hAnsi="Arial" w:eastAsia="IPAGothic"/>
          <w:b w:val="0"/>
          <w:sz w:val="20"/>
        </w:rPr>
        <w:t>本マニュアルの画面図は、ネットワーク制限およびログイン要件のため実画面を取得できないことから、操作手順を再現した「イラスト(モックアップ)」です。各図には「実スクリーンショット差込欄」を設けています。運用時は実環境で同じ操作を行い、該当箇所のスクリーンショットを差し込んでください。なお、各サービスのMCP対応状況・API仕様・画面構成・料金プランは変更される場合があります。導入前に必ず各社の公式ドキュメントで最新情報をご確認ください。</w:t>
      </w:r>
    </w:p>
    <w:p>
      <w:pPr>
        <w:spacing w:after="80" w:line="283" w:lineRule="auto"/>
        <w:jc w:val="center"/>
      </w:pPr>
      <w:r>
        <w:rPr>
          <w:rFonts w:ascii="Arial" w:hAnsi="Arial" w:eastAsia="IPAGothic"/>
          <w:b w:val="0"/>
          <w:color w:val="6C757D"/>
          <w:sz w:val="19"/>
        </w:rPr>
        <w:t>作成日: 2026年6月28日 / 基準記事: HubSpot『国内の主要SFAツール10選』</w:t>
      </w:r>
    </w:p>
    <w:p>
      <w:r>
        <w:br w:type="page"/>
      </w:r>
    </w:p>
    <w:p>
      <w:pPr>
        <w:spacing w:before="80"/>
        <w:shd w:val="clear" w:fill="F8FAFC"/>
        <w:pBdr>
          <w:top w:val="dashed" w:sz="8" w:space="8" w:color="CED4DA"/>
          <w:left w:val="dashed" w:sz="8" w:space="8" w:color="CED4DA"/>
          <w:bottom w:val="dashed" w:sz="8" w:space="8" w:color="CED4DA"/>
          <w:right w:val="dashed" w:sz="8" w:space="8" w:color="CED4DA"/>
        </w:pBdr>
      </w:pPr>
      <w:r>
        <w:rPr>
          <w:rFonts w:ascii="Arial" w:hAnsi="Arial" w:eastAsia="IPAGothic"/>
          <w:b/>
          <w:color w:val="2D3748"/>
          <w:sz w:val="21"/>
        </w:rPr>
        <w:t>図の見方</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赤い枠 … 操作する対象(クリック/入力する箇所)を示します。</w:t>
      </w:r>
    </w:p>
    <w:p>
      <w:pPr>
        <w:shd w:val="clear" w:fill="F8FAFC"/>
        <w:pBdr>
          <w:top w:val="dashed" w:sz="8" w:space="8" w:color="CED4DA"/>
          <w:left w:val="dashed" w:sz="8" w:space="8" w:color="CED4DA"/>
          <w:bottom w:val="dashed" w:sz="8" w:space="8" w:color="CED4DA"/>
          <w:right w:val="dashed" w:sz="8" w:space="8" w:color="CED4DA"/>
        </w:pBdr>
        <w:spacing w:after="40"/>
      </w:pPr>
      <w:r>
        <w:rPr>
          <w:rFonts w:ascii="Arial" w:hAnsi="Arial" w:eastAsia="IPAGothic"/>
          <w:b w:val="0"/>
          <w:sz w:val="20"/>
        </w:rPr>
        <w:t>番号バッジ ①②③ … 操作の順序と、右側の注釈に対応します。</w:t>
      </w:r>
    </w:p>
    <w:p>
      <w:pPr>
        <w:shd w:val="clear" w:fill="F8FAFC"/>
        <w:pBdr>
          <w:top w:val="dashed" w:sz="8" w:space="8" w:color="CED4DA"/>
          <w:left w:val="dashed" w:sz="8" w:space="8" w:color="CED4DA"/>
          <w:bottom w:val="dashed" w:sz="8" w:space="8" w:color="CED4DA"/>
          <w:right w:val="dashed" w:sz="8" w:space="8" w:color="CED4DA"/>
        </w:pBdr>
        <w:spacing w:after="200"/>
      </w:pPr>
      <w:r>
        <w:rPr>
          <w:rFonts w:ascii="Arial" w:hAnsi="Arial" w:eastAsia="IPAGothic"/>
          <w:b w:val="0"/>
          <w:sz w:val="20"/>
        </w:rPr>
        <w:t>オレンジの破線枠『実スクリーンショット差込欄』… 実環境で撮影した画面を貼り付ける場所です。</w:t>
      </w:r>
    </w:p>
    <w:p>
      <w:pPr>
        <w:spacing w:before="280" w:after="160"/>
        <w:pBdr>
          <w:bottom w:val="single" w:sz="10" w:space="4" w:color="255FB5"/>
        </w:pBdr>
      </w:pPr>
      <w:r>
        <w:rPr>
          <w:rFonts w:ascii="Arial" w:hAnsi="Arial" w:eastAsia="IPAGothic"/>
          <w:b/>
          <w:color w:val="2D3748"/>
          <w:sz w:val="31"/>
        </w:rPr>
        <w:t>1. 本サービスと Claude 連携の概要</w:t>
      </w:r>
    </w:p>
    <w:p>
      <w:pPr>
        <w:spacing w:after="120" w:line="283" w:lineRule="auto"/>
      </w:pPr>
      <w:r>
        <w:rPr>
          <w:rFonts w:ascii="Arial" w:hAnsi="Arial" w:eastAsia="IPAGothic"/>
          <w:b w:val="0"/>
          <w:sz w:val="21"/>
        </w:rPr>
        <w:t>HubSpot Sales Hub は、コンタクト・会社・取引(ディール)・タスクなどを一元管理するSFA/CRMです。HubSpot は公式のリモートMCPサーバーを提供しており、Claude のコネクタとして登録するだけで、CRMデータの検索・作成・更新やレポート集計を自然言語で実行できます。無料プランでも多くのデータを扱えるため、スモールスタートに向いています。</w:t>
      </w:r>
    </w:p>
    <w:p>
      <w:pPr>
        <w:spacing w:before="280" w:after="160"/>
        <w:pBdr>
          <w:bottom w:val="single" w:sz="10" w:space="4" w:color="255FB5"/>
        </w:pBdr>
      </w:pPr>
      <w:r>
        <w:rPr>
          <w:rFonts w:ascii="Arial" w:hAnsi="Arial" w:eastAsia="IPAGothic"/>
          <w:b/>
          <w:color w:val="2D3748"/>
          <w:sz w:val="31"/>
        </w:rPr>
        <w:t>2. 連携方式と構成</w:t>
      </w:r>
    </w:p>
    <w:p>
      <w:pPr>
        <w:spacing w:after="120" w:line="283" w:lineRule="auto"/>
      </w:pPr>
      <w:r>
        <w:rPr>
          <w:rFonts w:ascii="Arial" w:hAnsi="Arial" w:eastAsia="IPAGothic"/>
          <w:b w:val="0"/>
          <w:sz w:val="21"/>
        </w:rPr>
        <w:t>推奨は公式リモートMCPサーバーの利用です。HubSpotアカウントで認証(OAuth)し、Claude側のコネクタにMCPのURLを登録します。ノーコードで広範に連携したい場合は Zapier MCP、SQL的な高度な参照には CData も選択肢です。</w:t>
      </w:r>
    </w:p>
    <w:p>
      <w:pPr>
        <w:jc w:val="center"/>
      </w:pPr>
      <w:r>
        <w:drawing>
          <wp:inline xmlns:a="http://schemas.openxmlformats.org/drawingml/2006/main" xmlns:pic="http://schemas.openxmlformats.org/drawingml/2006/picture">
            <wp:extent cx="5903999" cy="2301559"/>
            <wp:docPr id="1" name="Picture 1"/>
            <wp:cNvGraphicFramePr>
              <a:graphicFrameLocks noChangeAspect="1"/>
            </wp:cNvGraphicFramePr>
            <a:graphic>
              <a:graphicData uri="http://schemas.openxmlformats.org/drawingml/2006/picture">
                <pic:pic>
                  <pic:nvPicPr>
                    <pic:cNvPr id="0" name="01_HubSpot_Sales_Hub_arch.png"/>
                    <pic:cNvPicPr/>
                  </pic:nvPicPr>
                  <pic:blipFill>
                    <a:blip r:embed="rId9"/>
                    <a:stretch>
                      <a:fillRect/>
                    </a:stretch>
                  </pic:blipFill>
                  <pic:spPr>
                    <a:xfrm>
                      <a:off x="0" y="0"/>
                      <a:ext cx="5903999" cy="2301559"/>
                    </a:xfrm>
                    <a:prstGeom prst="rect"/>
                  </pic:spPr>
                </pic:pic>
              </a:graphicData>
            </a:graphic>
          </wp:inline>
        </w:drawing>
      </w:r>
    </w:p>
    <w:p>
      <w:pPr>
        <w:spacing w:after="200"/>
        <w:jc w:val="center"/>
      </w:pPr>
      <w:r>
        <w:rPr>
          <w:rFonts w:ascii="Arial" w:hAnsi="Arial" w:eastAsia="IPAGothic"/>
          <w:b w:val="0"/>
          <w:color w:val="6C757D"/>
          <w:sz w:val="18"/>
        </w:rPr>
        <w:t>図1: HubSpot Sales Hub と Claude の連携構成図</w:t>
      </w:r>
    </w:p>
    <w:p>
      <w:pPr>
        <w:jc w:val="center"/>
      </w:pPr>
      <w:r>
        <w:drawing>
          <wp:inline xmlns:a="http://schemas.openxmlformats.org/drawingml/2006/main" xmlns:pic="http://schemas.openxmlformats.org/drawingml/2006/picture">
            <wp:extent cx="5903999" cy="1200813"/>
            <wp:docPr id="2" name="Picture 2"/>
            <wp:cNvGraphicFramePr>
              <a:graphicFrameLocks noChangeAspect="1"/>
            </wp:cNvGraphicFramePr>
            <a:graphic>
              <a:graphicData uri="http://schemas.openxmlformats.org/drawingml/2006/picture">
                <pic:pic>
                  <pic:nvPicPr>
                    <pic:cNvPr id="0" name="01_HubSpot_Sales_Hub_flow.png"/>
                    <pic:cNvPicPr/>
                  </pic:nvPicPr>
                  <pic:blipFill>
                    <a:blip r:embed="rId10"/>
                    <a:stretch>
                      <a:fillRect/>
                    </a:stretch>
                  </pic:blipFill>
                  <pic:spPr>
                    <a:xfrm>
                      <a:off x="0" y="0"/>
                      <a:ext cx="5903999" cy="1200813"/>
                    </a:xfrm>
                    <a:prstGeom prst="rect"/>
                  </pic:spPr>
                </pic:pic>
              </a:graphicData>
            </a:graphic>
          </wp:inline>
        </w:drawing>
      </w:r>
    </w:p>
    <w:p>
      <w:pPr>
        <w:spacing w:after="200"/>
        <w:jc w:val="center"/>
      </w:pPr>
      <w:r>
        <w:rPr>
          <w:rFonts w:ascii="Arial" w:hAnsi="Arial" w:eastAsia="IPAGothic"/>
          <w:b w:val="0"/>
          <w:color w:val="6C757D"/>
          <w:sz w:val="18"/>
        </w:rPr>
        <w:t>図2: 導入ステップの全体像</w:t>
      </w:r>
    </w:p>
    <w:p>
      <w:pPr>
        <w:spacing w:before="280" w:after="160"/>
        <w:pBdr>
          <w:bottom w:val="single" w:sz="10" w:space="4" w:color="255FB5"/>
        </w:pBdr>
      </w:pPr>
      <w:r>
        <w:rPr>
          <w:rFonts w:ascii="Arial" w:hAnsi="Arial" w:eastAsia="IPAGothic"/>
          <w:b/>
          <w:color w:val="2D3748"/>
          <w:sz w:val="31"/>
        </w:rPr>
        <w:t>3. 事前準備(前提条件)</w:t>
      </w:r>
    </w:p>
    <w:p>
      <w:pPr>
        <w:spacing w:after="60" w:line="276" w:lineRule="auto"/>
        <w:ind w:left="340"/>
      </w:pPr>
      <w:r>
        <w:rPr>
          <w:rFonts w:ascii="Arial" w:hAnsi="Arial" w:eastAsia="IPAGothic"/>
          <w:b w:val="0"/>
          <w:sz w:val="21"/>
        </w:rPr>
        <w:t>・HubSpotアカウント(Sales Hub。無料版でも可、機能はプランに依存)</w:t>
      </w:r>
    </w:p>
    <w:p>
      <w:pPr>
        <w:spacing w:after="60" w:line="276" w:lineRule="auto"/>
        <w:ind w:left="340"/>
      </w:pPr>
      <w:r>
        <w:rPr>
          <w:rFonts w:ascii="Arial" w:hAnsi="Arial" w:eastAsia="IPAGothic"/>
          <w:b w:val="0"/>
          <w:sz w:val="21"/>
        </w:rPr>
        <w:t>・Claude(Web/アプリ。コネクタ機能が使えるプラン)または Claude Desktop</w:t>
      </w:r>
    </w:p>
    <w:p>
      <w:pPr>
        <w:spacing w:after="60" w:line="276" w:lineRule="auto"/>
        <w:ind w:left="340"/>
      </w:pPr>
      <w:r>
        <w:rPr>
          <w:rFonts w:ascii="Arial" w:hAnsi="Arial" w:eastAsia="IPAGothic"/>
          <w:b w:val="0"/>
          <w:sz w:val="21"/>
        </w:rPr>
        <w:t>・連携を許可するHubSpotユーザー権限(対象オブジェクトの参照/編集権限)</w:t>
      </w:r>
    </w:p>
    <w:p>
      <w:pPr>
        <w:spacing w:after="60" w:line="276" w:lineRule="auto"/>
        <w:ind w:left="340"/>
      </w:pPr>
      <w:r>
        <w:rPr>
          <w:rFonts w:ascii="Arial" w:hAnsi="Arial" w:eastAsia="IPAGothic"/>
          <w:b w:val="0"/>
          <w:sz w:val="21"/>
        </w:rPr>
        <w:t>・(代替)Zapierアカウント、または CData Connect の利用環境</w:t>
      </w:r>
    </w:p>
    <w:p>
      <w:pPr>
        <w:spacing w:before="280" w:after="160"/>
        <w:pBdr>
          <w:bottom w:val="single" w:sz="10" w:space="4" w:color="255FB5"/>
        </w:pBdr>
      </w:pPr>
      <w:r>
        <w:rPr>
          <w:rFonts w:ascii="Arial" w:hAnsi="Arial" w:eastAsia="IPAGothic"/>
          <w:b/>
          <w:color w:val="2D3748"/>
          <w:sz w:val="31"/>
        </w:rPr>
        <w:t>4. 連携手順</w:t>
      </w:r>
    </w:p>
    <w:p>
      <w:pPr>
        <w:spacing w:before="160" w:after="80"/>
      </w:pPr>
      <w:r>
        <w:rPr>
          <w:rFonts w:ascii="Arial" w:hAnsi="Arial" w:eastAsia="IPAGothic"/>
          <w:b/>
          <w:color w:val="255FB5"/>
          <w:sz w:val="24"/>
        </w:rPr>
        <w:t>■ 手順1: サービス側で認証情報を発行する</w:t>
      </w:r>
    </w:p>
    <w:p>
      <w:pPr>
        <w:jc w:val="center"/>
      </w:pPr>
      <w:r>
        <w:drawing>
          <wp:inline xmlns:a="http://schemas.openxmlformats.org/drawingml/2006/main" xmlns:pic="http://schemas.openxmlformats.org/drawingml/2006/picture">
            <wp:extent cx="5903999" cy="3002033"/>
            <wp:docPr id="3" name="Picture 3"/>
            <wp:cNvGraphicFramePr>
              <a:graphicFrameLocks noChangeAspect="1"/>
            </wp:cNvGraphicFramePr>
            <a:graphic>
              <a:graphicData uri="http://schemas.openxmlformats.org/drawingml/2006/picture">
                <pic:pic>
                  <pic:nvPicPr>
                    <pic:cNvPr id="0" name="01_HubSpot_Sales_Hub_token.png"/>
                    <pic:cNvPicPr/>
                  </pic:nvPicPr>
                  <pic:blipFill>
                    <a:blip r:embed="rId11"/>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図3: HubSpot — 設定 &gt; 連携 &gt; プライベートアプリ(操作対象を赤枠で表示)</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実際のHubSpotプライベートアプリ作成画面/発行されたトークン画面を貼り付け</w:t>
      </w:r>
    </w:p>
    <w:p>
      <w:pPr>
        <w:spacing w:before="160" w:after="80"/>
      </w:pPr>
      <w:r>
        <w:rPr>
          <w:rFonts w:ascii="Arial" w:hAnsi="Arial" w:eastAsia="IPAGothic"/>
          <w:b/>
          <w:color w:val="255FB5"/>
          <w:sz w:val="24"/>
        </w:rPr>
        <w:t>■ 手順2: Claude にMCPを登録する</w:t>
      </w:r>
    </w:p>
    <w:p>
      <w:pPr>
        <w:jc w:val="center"/>
      </w:pPr>
      <w:r>
        <w:drawing>
          <wp:inline xmlns:a="http://schemas.openxmlformats.org/drawingml/2006/main" xmlns:pic="http://schemas.openxmlformats.org/drawingml/2006/picture">
            <wp:extent cx="5903999" cy="3002033"/>
            <wp:docPr id="4" name="Picture 4"/>
            <wp:cNvGraphicFramePr>
              <a:graphicFrameLocks noChangeAspect="1"/>
            </wp:cNvGraphicFramePr>
            <a:graphic>
              <a:graphicData uri="http://schemas.openxmlformats.org/drawingml/2006/picture">
                <pic:pic>
                  <pic:nvPicPr>
                    <pic:cNvPr id="0" name="01_HubSpot_Sales_Hub_connect.png"/>
                    <pic:cNvPicPr/>
                  </pic:nvPicPr>
                  <pic:blipFill>
                    <a:blip r:embed="rId12"/>
                    <a:stretch>
                      <a:fillRect/>
                    </a:stretch>
                  </pic:blipFill>
                  <pic:spPr>
                    <a:xfrm>
                      <a:off x="0" y="0"/>
                      <a:ext cx="5903999" cy="3002033"/>
                    </a:xfrm>
                    <a:prstGeom prst="rect"/>
                  </pic:spPr>
                </pic:pic>
              </a:graphicData>
            </a:graphic>
          </wp:inline>
        </w:drawing>
      </w:r>
    </w:p>
    <w:p>
      <w:pPr>
        <w:spacing w:after="200"/>
        <w:jc w:val="center"/>
      </w:pPr>
      <w:r>
        <w:rPr>
          <w:rFonts w:ascii="Arial" w:hAnsi="Arial" w:eastAsia="IPAGothic"/>
          <w:b w:val="0"/>
          <w:color w:val="6C757D"/>
          <w:sz w:val="18"/>
        </w:rPr>
        <w:t>図4: Claudeのコネクタ追加画面(公式リモートMCP)</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実際のClaudeコネクタ追加画面/HubSpot認証画面を貼り付け</w:t>
      </w:r>
    </w:p>
    <w:p>
      <w:pPr>
        <w:spacing w:before="160" w:after="80"/>
      </w:pPr>
      <w:r>
        <w:rPr>
          <w:rFonts w:ascii="Arial" w:hAnsi="Arial" w:eastAsia="IPAGothic"/>
          <w:b/>
          <w:color w:val="255FB5"/>
          <w:sz w:val="24"/>
        </w:rPr>
        <w:t>■ 手順3: 動作確認(参照系でテスト)</w:t>
      </w:r>
    </w:p>
    <w:p>
      <w:pPr>
        <w:spacing w:after="120" w:line="283" w:lineRule="auto"/>
      </w:pPr>
      <w:r>
        <w:rPr>
          <w:rFonts w:ascii="Arial" w:hAnsi="Arial" w:eastAsia="IPAGothic"/>
          <w:b w:val="0"/>
          <w:sz w:val="21"/>
        </w:rPr>
        <w:t>まずは『データを5件表示して』のような参照のみの指示で接続を確認します。正しく取得できれば連携は成功です。続いて作成・更新の操作に進みます。</w:t>
      </w:r>
    </w:p>
    <w:p>
      <w:pPr>
        <w:spacing w:before="280" w:after="160"/>
        <w:pBdr>
          <w:bottom w:val="single" w:sz="10" w:space="4" w:color="255FB5"/>
        </w:pBdr>
      </w:pPr>
      <w:r>
        <w:rPr>
          <w:rFonts w:ascii="Arial" w:hAnsi="Arial" w:eastAsia="IPAGothic"/>
          <w:b/>
          <w:color w:val="2D3748"/>
          <w:sz w:val="31"/>
        </w:rPr>
        <w:t>5. 活用例・使用例</w:t>
      </w:r>
    </w:p>
    <w:p>
      <w:pPr>
        <w:spacing w:after="120" w:line="283" w:lineRule="auto"/>
      </w:pPr>
      <w:r>
        <w:rPr>
          <w:rFonts w:ascii="Arial" w:hAnsi="Arial" w:eastAsia="IPAGothic"/>
          <w:b w:val="0"/>
          <w:sz w:val="21"/>
        </w:rPr>
        <w:t>実際のチャットでの活用イメージを示します。自然言語で指示すると、ClaudeがMCPツールを選んで実行し、結果を要約して回答します。</w:t>
      </w:r>
    </w:p>
    <w:p>
      <w:pPr>
        <w:jc w:val="center"/>
      </w:pPr>
      <w:r>
        <w:drawing>
          <wp:inline xmlns:a="http://schemas.openxmlformats.org/drawingml/2006/main" xmlns:pic="http://schemas.openxmlformats.org/drawingml/2006/picture">
            <wp:extent cx="5903999" cy="3102101"/>
            <wp:docPr id="5" name="Picture 5"/>
            <wp:cNvGraphicFramePr>
              <a:graphicFrameLocks noChangeAspect="1"/>
            </wp:cNvGraphicFramePr>
            <a:graphic>
              <a:graphicData uri="http://schemas.openxmlformats.org/drawingml/2006/picture">
                <pic:pic>
                  <pic:nvPicPr>
                    <pic:cNvPr id="0" name="01_HubSpot_Sales_Hub_chat.png"/>
                    <pic:cNvPicPr/>
                  </pic:nvPicPr>
                  <pic:blipFill>
                    <a:blip r:embed="rId13"/>
                    <a:stretch>
                      <a:fillRect/>
                    </a:stretch>
                  </pic:blipFill>
                  <pic:spPr>
                    <a:xfrm>
                      <a:off x="0" y="0"/>
                      <a:ext cx="5903999" cy="3102101"/>
                    </a:xfrm>
                    <a:prstGeom prst="rect"/>
                  </pic:spPr>
                </pic:pic>
              </a:graphicData>
            </a:graphic>
          </wp:inline>
        </w:drawing>
      </w:r>
    </w:p>
    <w:p>
      <w:pPr>
        <w:spacing w:after="200"/>
        <w:jc w:val="center"/>
      </w:pPr>
      <w:r>
        <w:rPr>
          <w:rFonts w:ascii="Arial" w:hAnsi="Arial" w:eastAsia="IPAGothic"/>
          <w:b w:val="0"/>
          <w:color w:val="6C757D"/>
          <w:sz w:val="18"/>
        </w:rPr>
        <w:t>図5: 活用例 ―『商談パイプラインの要約』のチャット例</w:t>
      </w:r>
    </w:p>
    <w:p>
      <w:pPr>
        <w:spacing w:before="80" w:after="4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color w:val="D97706"/>
          <w:sz w:val="21"/>
        </w:rPr>
        <w:t>［ 実スクリーンショット差込欄 ］</w:t>
      </w:r>
    </w:p>
    <w:p>
      <w:pPr>
        <w:spacing w:after="200"/>
        <w:shd w:val="clear" w:fill="FFFBEB"/>
        <w:pBdr>
          <w:top w:val="dashed" w:sz="18" w:space="8" w:color="D97706"/>
          <w:left w:val="dashed" w:sz="18" w:space="8" w:color="D97706"/>
          <w:bottom w:val="dashed" w:sz="18" w:space="8" w:color="D97706"/>
          <w:right w:val="dashed" w:sz="18" w:space="8" w:color="D97706"/>
        </w:pBdr>
      </w:pPr>
      <w:r>
        <w:rPr>
          <w:rFonts w:ascii="Arial" w:hAnsi="Arial" w:eastAsia="IPAGothic"/>
          <w:b w:val="0"/>
          <w:color w:val="6C757D"/>
          <w:sz w:val="19"/>
        </w:rPr>
        <w:t>▼ ここに実画面のスクリーンショットを貼り付け: 実際のClaudeチャット画面(指示と回答)を貼り付け</w:t>
      </w:r>
    </w:p>
    <w:p>
      <w:pPr>
        <w:spacing w:before="160" w:after="80"/>
      </w:pPr>
      <w:r>
        <w:rPr>
          <w:rFonts w:ascii="Arial" w:hAnsi="Arial" w:eastAsia="IPAGothic"/>
          <w:b/>
          <w:color w:val="255FB5"/>
          <w:sz w:val="24"/>
        </w:rPr>
        <w:t>■ 活用例1: 商談パイプラインの要約</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「今月クローズ予定のディールを金額順に並べて、停滞しているものを教えて。」</w:t>
      </w:r>
    </w:p>
    <w:p>
      <w:pPr>
        <w:spacing w:after="120" w:line="283" w:lineRule="auto"/>
      </w:pPr>
      <w:r>
        <w:rPr>
          <w:rFonts w:ascii="Arial" w:hAnsi="Arial" w:eastAsia="IPAGothic"/>
          <w:b w:val="0"/>
          <w:sz w:val="20"/>
        </w:rPr>
        <w:t>▶ 期待される動作: ディールの一覧取得・フィルタ・集計をClaudeに任せ、停滞案件の検知まで自動化できます。</w:t>
      </w:r>
    </w:p>
    <w:p>
      <w:pPr>
        <w:spacing w:after="120" w:line="283" w:lineRule="auto"/>
      </w:pPr>
      <w:r>
        <w:rPr>
          <w:rFonts w:ascii="Arial" w:hAnsi="Arial" w:eastAsia="IPAGothic"/>
          <w:b w:val="0"/>
          <w:color w:val="6C757D"/>
          <w:sz w:val="19"/>
        </w:rPr>
        <w:t>▶ 呼び出されるMCPツール(例): hubspot.search_deals</w:t>
      </w:r>
    </w:p>
    <w:p>
      <w:pPr>
        <w:spacing w:before="160" w:after="80"/>
      </w:pPr>
      <w:r>
        <w:rPr>
          <w:rFonts w:ascii="Arial" w:hAnsi="Arial" w:eastAsia="IPAGothic"/>
          <w:b/>
          <w:color w:val="255FB5"/>
          <w:sz w:val="24"/>
        </w:rPr>
        <w:t>■ 活用例2: コンタクトへのフォローメール下書き</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「山田様(A社)に、先週の打合せのお礼と次回日程調整のメール下書きを作って。」</w:t>
      </w:r>
    </w:p>
    <w:p>
      <w:pPr>
        <w:spacing w:after="120" w:line="283" w:lineRule="auto"/>
      </w:pPr>
      <w:r>
        <w:rPr>
          <w:rFonts w:ascii="Arial" w:hAnsi="Arial" w:eastAsia="IPAGothic"/>
          <w:b w:val="0"/>
          <w:sz w:val="20"/>
        </w:rPr>
        <w:t>▶ 期待される動作: コンタクトの履歴を踏まえた文面をClaudeが生成。確認後そのまま送信・記録できます。</w:t>
      </w:r>
    </w:p>
    <w:p>
      <w:pPr>
        <w:spacing w:after="120" w:line="283" w:lineRule="auto"/>
      </w:pPr>
      <w:r>
        <w:rPr>
          <w:rFonts w:ascii="Arial" w:hAnsi="Arial" w:eastAsia="IPAGothic"/>
          <w:b w:val="0"/>
          <w:color w:val="6C757D"/>
          <w:sz w:val="19"/>
        </w:rPr>
        <w:t>▶ 呼び出されるMCPツール(例): hubspot.get_contact</w:t>
      </w:r>
    </w:p>
    <w:p>
      <w:pPr>
        <w:spacing w:before="160" w:after="80"/>
      </w:pPr>
      <w:r>
        <w:rPr>
          <w:rFonts w:ascii="Arial" w:hAnsi="Arial" w:eastAsia="IPAGothic"/>
          <w:b/>
          <w:color w:val="255FB5"/>
          <w:sz w:val="24"/>
        </w:rPr>
        <w:t>■ 活用例3: レポート集計</w:t>
      </w:r>
    </w:p>
    <w:p>
      <w:pPr>
        <w:spacing w:before="80"/>
        <w:shd w:val="clear" w:fill="EFF6FF"/>
        <w:pBdr>
          <w:top w:val="dashed" w:sz="8" w:space="8" w:color="255FB5"/>
          <w:left w:val="dashed" w:sz="8" w:space="8" w:color="255FB5"/>
          <w:bottom w:val="dashed" w:sz="8" w:space="8" w:color="255FB5"/>
          <w:right w:val="dashed" w:sz="8" w:space="8" w:color="255FB5"/>
        </w:pBdr>
      </w:pPr>
      <w:r>
        <w:rPr>
          <w:rFonts w:ascii="Arial" w:hAnsi="Arial" w:eastAsia="IPAGothic"/>
          <w:b/>
          <w:color w:val="255FB5"/>
          <w:sz w:val="21"/>
        </w:rPr>
        <w:t>プロンプト例(Claudeへの指示)</w:t>
      </w:r>
    </w:p>
    <w:p>
      <w:pPr>
        <w:shd w:val="clear" w:fill="EFF6FF"/>
        <w:pBdr>
          <w:top w:val="dashed" w:sz="8" w:space="8" w:color="255FB5"/>
          <w:left w:val="dashed" w:sz="8" w:space="8" w:color="255FB5"/>
          <w:bottom w:val="dashed" w:sz="8" w:space="8" w:color="255FB5"/>
          <w:right w:val="dashed" w:sz="8" w:space="8" w:color="255FB5"/>
        </w:pBdr>
        <w:spacing w:after="200"/>
      </w:pPr>
      <w:r>
        <w:rPr>
          <w:rFonts w:ascii="Arial" w:hAnsi="Arial" w:eastAsia="IPAGothic"/>
          <w:b w:val="0"/>
          <w:sz w:val="20"/>
        </w:rPr>
        <w:t>「今四半期の担当者別の受注金額をまとめて、前四半期と比較して。」</w:t>
      </w:r>
    </w:p>
    <w:p>
      <w:pPr>
        <w:spacing w:after="120" w:line="283" w:lineRule="auto"/>
      </w:pPr>
      <w:r>
        <w:rPr>
          <w:rFonts w:ascii="Arial" w:hAnsi="Arial" w:eastAsia="IPAGothic"/>
          <w:b w:val="0"/>
          <w:sz w:val="20"/>
        </w:rPr>
        <w:t>▶ 期待される動作: 定例レポートの集計・比較を会話で実行。Excel出力前のたたき台づくりに有効です。</w:t>
      </w:r>
    </w:p>
    <w:p>
      <w:pPr>
        <w:spacing w:after="120" w:line="283" w:lineRule="auto"/>
      </w:pPr>
      <w:r>
        <w:rPr>
          <w:rFonts w:ascii="Arial" w:hAnsi="Arial" w:eastAsia="IPAGothic"/>
          <w:b w:val="0"/>
          <w:color w:val="6C757D"/>
          <w:sz w:val="19"/>
        </w:rPr>
        <w:t>▶ 呼び出されるMCPツール(例): hubspot.search_deals</w:t>
      </w:r>
    </w:p>
    <w:p>
      <w:pPr>
        <w:spacing w:before="280" w:after="160"/>
        <w:pBdr>
          <w:bottom w:val="single" w:sz="10" w:space="4" w:color="255FB5"/>
        </w:pBdr>
      </w:pPr>
      <w:r>
        <w:rPr>
          <w:rFonts w:ascii="Arial" w:hAnsi="Arial" w:eastAsia="IPAGothic"/>
          <w:b/>
          <w:color w:val="2D3748"/>
          <w:sz w:val="31"/>
        </w:rPr>
        <w:t>6. セキュリティ・運用上の注意</w:t>
      </w:r>
    </w:p>
    <w:p>
      <w:pPr>
        <w:spacing w:after="60" w:line="276" w:lineRule="auto"/>
        <w:ind w:left="340"/>
      </w:pPr>
      <w:r>
        <w:rPr>
          <w:rFonts w:ascii="Arial" w:hAnsi="Arial" w:eastAsia="IPAGothic"/>
          <w:b w:val="0"/>
          <w:sz w:val="21"/>
        </w:rPr>
        <w:t>・公式MCPの提供範囲・URL・対応プランは変更されることがあるため、HubSpotの公式ドキュメントを確認する。</w:t>
      </w:r>
    </w:p>
    <w:p>
      <w:pPr>
        <w:spacing w:after="60" w:line="276" w:lineRule="auto"/>
        <w:ind w:left="340"/>
      </w:pPr>
      <w:r>
        <w:rPr>
          <w:rFonts w:ascii="Arial" w:hAnsi="Arial" w:eastAsia="IPAGothic"/>
          <w:b w:val="0"/>
          <w:sz w:val="21"/>
        </w:rPr>
        <w:t>・プライベートアプリのトークンは強力な認証情報。スコープを絞り、定期的に再発行する。</w:t>
      </w:r>
    </w:p>
    <w:p>
      <w:pPr>
        <w:spacing w:before="80"/>
        <w:shd w:val="clear" w:fill="FEF2F2"/>
        <w:pBdr>
          <w:top w:val="dashed" w:sz="8" w:space="8" w:color="DC2626"/>
          <w:left w:val="dashed" w:sz="8" w:space="8" w:color="DC2626"/>
          <w:bottom w:val="dashed" w:sz="8" w:space="8" w:color="DC2626"/>
          <w:right w:val="dashed" w:sz="8" w:space="8" w:color="DC2626"/>
        </w:pBdr>
      </w:pPr>
      <w:r>
        <w:rPr>
          <w:rFonts w:ascii="Arial" w:hAnsi="Arial" w:eastAsia="IPAGothic"/>
          <w:b/>
          <w:color w:val="B91C1C"/>
          <w:sz w:val="21"/>
        </w:rPr>
        <w:t>共通の注意</w:t>
      </w:r>
    </w:p>
    <w:p>
      <w:pPr>
        <w:shd w:val="clear" w:fill="FEF2F2"/>
        <w:pBdr>
          <w:top w:val="dashed" w:sz="8" w:space="8" w:color="DC2626"/>
          <w:left w:val="dashed" w:sz="8" w:space="8" w:color="DC2626"/>
          <w:bottom w:val="dashed" w:sz="8" w:space="8" w:color="DC2626"/>
          <w:right w:val="dashed" w:sz="8" w:space="8" w:color="DC2626"/>
        </w:pBdr>
        <w:spacing w:after="40"/>
      </w:pPr>
      <w:r>
        <w:rPr>
          <w:rFonts w:ascii="Arial" w:hAnsi="Arial" w:eastAsia="IPAGothic"/>
          <w:b w:val="0"/>
          <w:sz w:val="20"/>
        </w:rPr>
        <w:t>APIトークン/シークレットは秘匿情報です。共有・コミットせず、最小権限で発行してください。</w:t>
      </w:r>
    </w:p>
    <w:p>
      <w:pPr>
        <w:shd w:val="clear" w:fill="FEF2F2"/>
        <w:pBdr>
          <w:top w:val="dashed" w:sz="8" w:space="8" w:color="DC2626"/>
          <w:left w:val="dashed" w:sz="8" w:space="8" w:color="DC2626"/>
          <w:bottom w:val="dashed" w:sz="8" w:space="8" w:color="DC2626"/>
          <w:right w:val="dashed" w:sz="8" w:space="8" w:color="DC2626"/>
        </w:pBdr>
        <w:spacing w:after="200"/>
      </w:pPr>
      <w:r>
        <w:rPr>
          <w:rFonts w:ascii="Arial" w:hAnsi="Arial" w:eastAsia="IPAGothic"/>
          <w:b w:val="0"/>
          <w:sz w:val="20"/>
        </w:rPr>
        <w:t>作成・更新・削除などの書き込み操作は、参照のみで検証してから段階的に許可してください。</w:t>
      </w:r>
    </w:p>
    <w:p>
      <w:pPr>
        <w:spacing w:before="280" w:after="160"/>
        <w:pBdr>
          <w:bottom w:val="single" w:sz="10" w:space="4" w:color="255FB5"/>
        </w:pBdr>
      </w:pPr>
      <w:r>
        <w:rPr>
          <w:rFonts w:ascii="Arial" w:hAnsi="Arial" w:eastAsia="IPAGothic"/>
          <w:b/>
          <w:color w:val="2D3748"/>
          <w:sz w:val="31"/>
        </w:rPr>
        <w:t>7. 参考リンク</w:t>
      </w:r>
    </w:p>
    <w:p>
      <w:pPr>
        <w:ind w:left="340"/>
      </w:pPr>
      <w:r>
        <w:rPr>
          <w:rFonts w:ascii="Arial" w:hAnsi="Arial" w:eastAsia="IPAGothic"/>
          <w:b w:val="0"/>
          <w:sz w:val="20"/>
        </w:rPr>
        <w:t xml:space="preserve">・HubSpot ナレッジベース(MCP/Breeze): </w:t>
      </w:r>
      <w:r>
        <w:rPr>
          <w:rFonts w:ascii="Arial" w:hAnsi="Arial" w:eastAsia="IPAGothic"/>
          <w:b w:val="0"/>
          <w:color w:val="255FB5"/>
          <w:sz w:val="19"/>
        </w:rPr>
        <w:t>https://knowledge.hubspot.com/ja/integrations</w:t>
      </w:r>
    </w:p>
    <w:p>
      <w:pPr>
        <w:ind w:left="340"/>
      </w:pPr>
      <w:r>
        <w:rPr>
          <w:rFonts w:ascii="Arial" w:hAnsi="Arial" w:eastAsia="IPAGothic"/>
          <w:b w:val="0"/>
          <w:sz w:val="20"/>
        </w:rPr>
        <w:t xml:space="preserve">・元記事(SFA比較): </w:t>
      </w:r>
      <w:r>
        <w:rPr>
          <w:rFonts w:ascii="Arial" w:hAnsi="Arial" w:eastAsia="IPAGothic"/>
          <w:b w:val="0"/>
          <w:color w:val="255FB5"/>
          <w:sz w:val="19"/>
        </w:rPr>
        <w:t>https://blog.hubspot.jp/sales/sfa-comparison</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IPA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