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Microsoft Dynamics 365 Sales</w:t>
      </w:r>
    </w:p>
    <w:p>
      <w:pPr>
        <w:spacing w:after="360" w:line="283" w:lineRule="auto"/>
        <w:jc w:val="center"/>
      </w:pPr>
      <w:r>
        <w:rPr>
          <w:rFonts w:ascii="Arial" w:hAnsi="Arial" w:eastAsia="IPAGothic"/>
          <w:b w:val="0"/>
          <w:color w:val="6C757D"/>
          <w:sz w:val="25"/>
        </w:rPr>
        <w:t>Dataverse APIとiPaaSで、Copilotと併用しながらAI操作</w:t>
      </w:r>
    </w:p>
    <w:p>
      <w:pPr>
        <w:spacing w:after="360" w:line="283" w:lineRule="auto"/>
        <w:jc w:val="center"/>
      </w:pPr>
      <w:r>
        <w:rPr>
          <w:rFonts w:ascii="Arial" w:hAnsi="Arial" w:eastAsia="IPAGothic"/>
          <w:b/>
          <w:color w:val="255FB5"/>
          <w:sz w:val="22"/>
        </w:rPr>
        <w:t>提供元: マイクロソフト</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Microsoft Dynamics 365 Sales は、Microsoft 365 と統合された大規模向けSFAです。データは Dataverse に格納され、Web API で参照/更新できます。Microsoft 製品は Copilot を中心にMCP対応が進んでいますが、Claude からは Zapier/Make 等のiPaaS、または Dataverse Web API をMCP化して連携します。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推奨は2通り。(A) Zapier のMCPエンドポイント経由で Dynamics コネクタを操作。(B) Microsoft Entra ID(Azure AD)でアプリ登録し、Dataverse Web API をMCP化したサーバーで接続。既存のCopilotと役割分担しながら、Claudeで横断的な分析・整形を担わせる構成が現実的です。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08_Dynamics365_Sales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Microsoft Dynamics 365 Sales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08_Dynamics365_Sales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・Dynamics 365 Sales ライセンスと対象テーブルへの権限</w:t>
      </w:r>
    </w:p>
    <w:p>
      <w:pPr>
        <w:spacing w:after="60" w:line="276" w:lineRule="auto"/>
        <w:ind w:left="340"/>
      </w:pPr>
      <w:r>
        <w:rPr>
          <w:rFonts w:ascii="Arial" w:hAnsi="Arial" w:eastAsia="IPAGothic"/>
          <w:b w:val="0"/>
          <w:sz w:val="21"/>
        </w:rPr>
        <w:t>・Microsoft Entra ID(Azure AD)でのアプリ登録(クライアントID/シークレット)</w:t>
      </w:r>
    </w:p>
    <w:p>
      <w:pPr>
        <w:spacing w:after="60" w:line="276" w:lineRule="auto"/>
        <w:ind w:left="340"/>
      </w:pPr>
      <w:r>
        <w:rPr>
          <w:rFonts w:ascii="Arial" w:hAnsi="Arial" w:eastAsia="IPAGothic"/>
          <w:b w:val="0"/>
          <w:sz w:val="21"/>
        </w:rPr>
        <w:t>・(A)Zapierアカウント / (B)カスタムMCPの実行環境</w:t>
      </w:r>
    </w:p>
    <w:p>
      <w:pPr>
        <w:spacing w:after="60" w:line="276" w:lineRule="auto"/>
        <w:ind w:left="340"/>
      </w:pPr>
      <w:r>
        <w:rPr>
          <w:rFonts w:ascii="Arial" w:hAnsi="Arial" w:eastAsia="IPAGothic"/>
          <w:b w:val="0"/>
          <w:sz w:val="21"/>
        </w:rPr>
        <w:t>・Claude(コネクタ対応)または Claude Desktop</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08_Dynamics365_Sales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Microsoft Entra ID — アプリの登録(操作対象を赤枠で表示)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実際のEntra IDアプリ登録/API許可画面を貼り付け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002033"/>
            <wp:docPr id="4" name="Picture 4"/>
            <wp:cNvGraphicFramePr>
              <a:graphicFrameLocks noChangeAspect="1"/>
            </wp:cNvGraphicFramePr>
            <a:graphic>
              <a:graphicData uri="http://schemas.openxmlformats.org/drawingml/2006/picture">
                <pic:pic>
                  <pic:nvPicPr>
                    <pic:cNvPr id="0" name="08_Dynamics365_Sales_connect.png"/>
                    <pic:cNvPicPr/>
                  </pic:nvPicPr>
                  <pic:blipFill>
                    <a:blip r:embed="rId12"/>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図4: Zapier MCP の設定画面(iPaaS経由)</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実際のZapier(Dynamics)アクション設定画面を貼り付け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08_Dynamics365_Sales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―『パイプラインの健全性チェック』のチャット例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パイプラインの健全性チェック</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「今四半期の商談を確度別に集計して、失注リスクの高い大型案件を教えて。」</w:t>
      </w:r>
    </w:p>
    <w:p>
      <w:pPr>
        <w:spacing w:after="120" w:line="283" w:lineRule="auto"/>
      </w:pPr>
      <w:r>
        <w:rPr>
          <w:rFonts w:ascii="Arial" w:hAnsi="Arial" w:eastAsia="IPAGothic"/>
          <w:b w:val="0"/>
          <w:sz w:val="20"/>
        </w:rPr>
        <w:t>▶ 期待される動作: Dataverseの商談データを横断集計し、リスク案件を早期に発見します。</w:t>
      </w:r>
    </w:p>
    <w:p>
      <w:pPr>
        <w:spacing w:after="120" w:line="283" w:lineRule="auto"/>
      </w:pPr>
      <w:r>
        <w:rPr>
          <w:rFonts w:ascii="Arial" w:hAnsi="Arial" w:eastAsia="IPAGothic"/>
          <w:b w:val="0"/>
          <w:color w:val="6C757D"/>
          <w:sz w:val="19"/>
        </w:rPr>
        <w:t>▶ 呼び出されるMCPツール(例): dynamics.query_opportunities</w:t>
      </w:r>
    </w:p>
    <w:p>
      <w:pPr>
        <w:spacing w:before="160" w:after="80"/>
      </w:pPr>
      <w:r>
        <w:rPr>
          <w:rFonts w:ascii="Arial" w:hAnsi="Arial" w:eastAsia="IPAGothic"/>
          <w:b/>
          <w:color w:val="255FB5"/>
          <w:sz w:val="24"/>
        </w:rPr>
        <w:t>■ 活用例2: 取引先の関係性整理</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「U社グループの関連取引先と進行中の商談を一覧にして。」</w:t>
      </w:r>
    </w:p>
    <w:p>
      <w:pPr>
        <w:spacing w:after="120" w:line="283" w:lineRule="auto"/>
      </w:pPr>
      <w:r>
        <w:rPr>
          <w:rFonts w:ascii="Arial" w:hAnsi="Arial" w:eastAsia="IPAGothic"/>
          <w:b w:val="0"/>
          <w:sz w:val="20"/>
        </w:rPr>
        <w:t>▶ 期待される動作: 複雑な取引先階層を整理し、アカウント戦略の検討を支援します。</w:t>
      </w:r>
    </w:p>
    <w:p>
      <w:pPr>
        <w:spacing w:after="120" w:line="283" w:lineRule="auto"/>
      </w:pPr>
      <w:r>
        <w:rPr>
          <w:rFonts w:ascii="Arial" w:hAnsi="Arial" w:eastAsia="IPAGothic"/>
          <w:b w:val="0"/>
          <w:color w:val="6C757D"/>
          <w:sz w:val="19"/>
        </w:rPr>
        <w:t>▶ 呼び出されるMCPツール(例): dynamics.query_accounts</w:t>
      </w:r>
    </w:p>
    <w:p>
      <w:pPr>
        <w:spacing w:before="160" w:after="80"/>
      </w:pPr>
      <w:r>
        <w:rPr>
          <w:rFonts w:ascii="Arial" w:hAnsi="Arial" w:eastAsia="IPAGothic"/>
          <w:b/>
          <w:color w:val="255FB5"/>
          <w:sz w:val="24"/>
        </w:rPr>
        <w:t>■ 活用例3: Copilotとの役割分担</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「Copilotが作成した提案メモを取り込み、競合比較の観点で改善点を指摘して。」</w:t>
      </w:r>
    </w:p>
    <w:p>
      <w:pPr>
        <w:spacing w:after="120" w:line="283" w:lineRule="auto"/>
      </w:pPr>
      <w:r>
        <w:rPr>
          <w:rFonts w:ascii="Arial" w:hAnsi="Arial" w:eastAsia="IPAGothic"/>
          <w:b w:val="0"/>
          <w:sz w:val="20"/>
        </w:rPr>
        <w:t>▶ 期待される動作: Copilotの生成物をClaudeでレビュー・補強する二段構えの活用ができます。</w:t>
      </w:r>
    </w:p>
    <w:p>
      <w:pPr>
        <w:spacing w:after="120" w:line="283" w:lineRule="auto"/>
      </w:pPr>
      <w:r>
        <w:rPr>
          <w:rFonts w:ascii="Arial" w:hAnsi="Arial" w:eastAsia="IPAGothic"/>
          <w:b w:val="0"/>
          <w:color w:val="6C757D"/>
          <w:sz w:val="19"/>
        </w:rPr>
        <w:t>▶ 呼び出されるMCPツール(例): dynamics.get_record</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・認証はEntra IDのアプリ登録が前提。シークレットの失効管理と最小権限を徹底する。</w:t>
      </w:r>
    </w:p>
    <w:p>
      <w:pPr>
        <w:spacing w:after="60" w:line="276" w:lineRule="auto"/>
        <w:ind w:left="340"/>
      </w:pPr>
      <w:r>
        <w:rPr>
          <w:rFonts w:ascii="Arial" w:hAnsi="Arial" w:eastAsia="IPAGothic"/>
          <w:b w:val="0"/>
          <w:sz w:val="21"/>
        </w:rPr>
        <w:t>・Microsoft純正のCopilot/MCP対応も進行中のため、最新の対応状況を確認して構成を選ぶ。</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・Dataverse Web API(Microsoft Learn): </w:t>
      </w:r>
      <w:r>
        <w:rPr>
          <w:rFonts w:ascii="Arial" w:hAnsi="Arial" w:eastAsia="IPAGothic"/>
          <w:b w:val="0"/>
          <w:color w:val="255FB5"/>
          <w:sz w:val="19"/>
        </w:rPr>
        <w:t>https://learn.microsoft.com/power-apps/developer/data-platform/webapi/overview</w:t>
      </w:r>
    </w:p>
    <w:p>
      <w:pPr>
        <w:ind w:left="340"/>
      </w:pPr>
      <w:r>
        <w:rPr>
          <w:rFonts w:ascii="Arial" w:hAnsi="Arial" w:eastAsia="IPAGothic"/>
          <w:b w:val="0"/>
          <w:sz w:val="20"/>
        </w:rPr>
        <w:t xml:space="preserve">・元記事(SFA比較): </w:t>
      </w:r>
      <w:r>
        <w:rPr>
          <w:rFonts w:ascii="Arial" w:hAnsi="Arial" w:eastAsia="IPAGothic"/>
          <w:b w:val="0"/>
          <w:color w:val="255FB5"/>
          <w:sz w:val="19"/>
        </w:rPr>
        <w:t>https://blog.hubspot.jp/sales/sfa-comparison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