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GENIEE SFA/CRM (旧ちきゅう)</w:t>
      </w:r>
    </w:p>
    <w:p>
      <w:pPr>
        <w:spacing w:after="360" w:line="283" w:lineRule="auto"/>
        <w:jc w:val="center"/>
      </w:pPr>
      <w:r>
        <w:rPr>
          <w:rFonts w:ascii="Arial" w:hAnsi="Arial" w:eastAsia="IPAGothic"/>
          <w:b w:val="0"/>
          <w:color w:val="6C757D"/>
          <w:sz w:val="25"/>
        </w:rPr>
        <w:t>API連携で、定着率の高い国産SFAをAIで自動入力支援</w:t>
      </w:r>
    </w:p>
    <w:p>
      <w:pPr>
        <w:spacing w:after="360" w:line="283" w:lineRule="auto"/>
        <w:jc w:val="center"/>
      </w:pPr>
      <w:r>
        <w:rPr>
          <w:rFonts w:ascii="Arial" w:hAnsi="Arial" w:eastAsia="IPAGothic"/>
          <w:b/>
          <w:color w:val="255FB5"/>
          <w:sz w:val="22"/>
        </w:rPr>
        <w:t>提供元: ジーニー</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GENIEE SFA/CRM(旧ちきゅう)は、シンプルさと定着率の高さが評価される国産SFAです。公式MCPは提供されていませんが、API連携機能を備えており、外部システムとデータを即時共有できます。これをiPaaS(Zapier/Make)またはカスタムMCPでつなぐことで、Claudeから案件・行動の参照/起票が可能で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推奨は (A) Zapier のMCPエンドポイント経由、(B) APIをMCP化したカスタムサーバー、のいずれか。現場の入力負荷軽減(自動起票)に効果が出やすい構成です。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9_GENIEE_SFA_CRM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GENIEE SFA/CRM (旧ちきゅう)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9_GENIEE_SFA_CRM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・GENIEE SFA/CRM のアカウントとAPI利用権限/APIキー</w:t>
      </w:r>
    </w:p>
    <w:p>
      <w:pPr>
        <w:spacing w:after="60" w:line="276" w:lineRule="auto"/>
        <w:ind w:left="340"/>
      </w:pPr>
      <w:r>
        <w:rPr>
          <w:rFonts w:ascii="Arial" w:hAnsi="Arial" w:eastAsia="IPAGothic"/>
          <w:b w:val="0"/>
          <w:sz w:val="21"/>
        </w:rPr>
        <w:t>・(A)Zapierアカウント / (B)カスタムMCPの実行環境</w:t>
      </w:r>
    </w:p>
    <w:p>
      <w:pPr>
        <w:spacing w:after="60" w:line="276" w:lineRule="auto"/>
        <w:ind w:left="340"/>
      </w:pPr>
      <w:r>
        <w:rPr>
          <w:rFonts w:ascii="Arial" w:hAnsi="Arial" w:eastAsia="IPAGothic"/>
          <w:b w:val="0"/>
          <w:sz w:val="21"/>
        </w:rPr>
        <w:t>・Claude(コネクタ対応)または Claude Desktop</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9_GENIEE_SFA_CRM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GENIEE SFA/CRM — 設定 &gt; API連携(操作対象を赤枠で表示)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実際のAPI連携設定/APIキー画面を貼り付け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09_GENIEE_SFA_CRM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Zapier MCP の設定画面(iPaaS経由)</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実際のZapier(GENIEE)アクション設定画面を貼り付け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9_GENIEE_SFA_CRM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―『商談メモからの自動起票』のチャット例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商談メモからの自動起票</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「V社との電話メモを行動記録として登録し、案件の次回予定を更新して。」</w:t>
      </w:r>
    </w:p>
    <w:p>
      <w:pPr>
        <w:spacing w:after="120" w:line="283" w:lineRule="auto"/>
      </w:pPr>
      <w:r>
        <w:rPr>
          <w:rFonts w:ascii="Arial" w:hAnsi="Arial" w:eastAsia="IPAGothic"/>
          <w:b w:val="0"/>
          <w:sz w:val="20"/>
        </w:rPr>
        <w:t>▶ 期待される動作: 現場のメモから自動で起票・更新。入力の手間を最小化し定着を促します。</w:t>
      </w:r>
    </w:p>
    <w:p>
      <w:pPr>
        <w:spacing w:after="120" w:line="283" w:lineRule="auto"/>
      </w:pPr>
      <w:r>
        <w:rPr>
          <w:rFonts w:ascii="Arial" w:hAnsi="Arial" w:eastAsia="IPAGothic"/>
          <w:b w:val="0"/>
          <w:color w:val="6C757D"/>
          <w:sz w:val="19"/>
        </w:rPr>
        <w:t>▶ 呼び出されるMCPツール(例): geniee.create_action</w:t>
      </w:r>
    </w:p>
    <w:p>
      <w:pPr>
        <w:spacing w:before="160" w:after="80"/>
      </w:pPr>
      <w:r>
        <w:rPr>
          <w:rFonts w:ascii="Arial" w:hAnsi="Arial" w:eastAsia="IPAGothic"/>
          <w:b/>
          <w:color w:val="255FB5"/>
          <w:sz w:val="24"/>
        </w:rPr>
        <w:t>■ 活用例2: 行動量の可視化</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「今週のメンバー別の行動件数を集計して、目標との差を教えて。」</w:t>
      </w:r>
    </w:p>
    <w:p>
      <w:pPr>
        <w:spacing w:after="120" w:line="283" w:lineRule="auto"/>
      </w:pPr>
      <w:r>
        <w:rPr>
          <w:rFonts w:ascii="Arial" w:hAnsi="Arial" w:eastAsia="IPAGothic"/>
          <w:b w:val="0"/>
          <w:sz w:val="20"/>
        </w:rPr>
        <w:t>▶ 期待される動作: 行動量を定点観測し、マネジメントの判断材料を提供します。</w:t>
      </w:r>
    </w:p>
    <w:p>
      <w:pPr>
        <w:spacing w:after="120" w:line="283" w:lineRule="auto"/>
      </w:pPr>
      <w:r>
        <w:rPr>
          <w:rFonts w:ascii="Arial" w:hAnsi="Arial" w:eastAsia="IPAGothic"/>
          <w:b w:val="0"/>
          <w:color w:val="6C757D"/>
          <w:sz w:val="19"/>
        </w:rPr>
        <w:t>▶ 呼び出されるMCPツール(例): geniee.search_actions</w:t>
      </w:r>
    </w:p>
    <w:p>
      <w:pPr>
        <w:spacing w:before="160" w:after="80"/>
      </w:pPr>
      <w:r>
        <w:rPr>
          <w:rFonts w:ascii="Arial" w:hAnsi="Arial" w:eastAsia="IPAGothic"/>
          <w:b/>
          <w:color w:val="255FB5"/>
          <w:sz w:val="24"/>
        </w:rPr>
        <w:t>■ 活用例3: 案件の取りこぼし防止</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「今月中にクローズ予定なのに次回予定が未設定の案件を教えて。」</w:t>
      </w:r>
    </w:p>
    <w:p>
      <w:pPr>
        <w:spacing w:after="120" w:line="283" w:lineRule="auto"/>
      </w:pPr>
      <w:r>
        <w:rPr>
          <w:rFonts w:ascii="Arial" w:hAnsi="Arial" w:eastAsia="IPAGothic"/>
          <w:b w:val="0"/>
          <w:sz w:val="20"/>
        </w:rPr>
        <w:t>▶ 期待される動作: 対応漏れを検知し、確実なクロージングを支援します。</w:t>
      </w:r>
    </w:p>
    <w:p>
      <w:pPr>
        <w:spacing w:after="120" w:line="283" w:lineRule="auto"/>
      </w:pPr>
      <w:r>
        <w:rPr>
          <w:rFonts w:ascii="Arial" w:hAnsi="Arial" w:eastAsia="IPAGothic"/>
          <w:b w:val="0"/>
          <w:color w:val="6C757D"/>
          <w:sz w:val="19"/>
        </w:rPr>
        <w:t>▶ 呼び出されるMCPツール(例): geniee.search_deals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・API仕様・対象データ・レート制限は提供元の規定に従う。</w:t>
      </w:r>
    </w:p>
    <w:p>
      <w:pPr>
        <w:spacing w:after="60" w:line="276" w:lineRule="auto"/>
        <w:ind w:left="340"/>
      </w:pPr>
      <w:r>
        <w:rPr>
          <w:rFonts w:ascii="Arial" w:hAnsi="Arial" w:eastAsia="IPAGothic"/>
          <w:b w:val="0"/>
          <w:sz w:val="21"/>
        </w:rPr>
        <w:t>・自動起票は便利な反面、誤登録防止のため重要操作は確認ステップを設ける。</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・GENIEE SFA/CRM 公式: </w:t>
      </w:r>
      <w:r>
        <w:rPr>
          <w:rFonts w:ascii="Arial" w:hAnsi="Arial" w:eastAsia="IPAGothic"/>
          <w:b w:val="0"/>
          <w:color w:val="255FB5"/>
          <w:sz w:val="19"/>
        </w:rPr>
        <w:t>https://chikyu.net/</w:t>
      </w:r>
    </w:p>
    <w:p>
      <w:pPr>
        <w:ind w:left="340"/>
      </w:pPr>
      <w:r>
        <w:rPr>
          <w:rFonts w:ascii="Arial" w:hAnsi="Arial" w:eastAsia="IPAGothic"/>
          <w:b w:val="0"/>
          <w:sz w:val="20"/>
        </w:rPr>
        <w:t xml:space="preserve">・元記事(SFA比較): </w:t>
      </w:r>
      <w:r>
        <w:rPr>
          <w:rFonts w:ascii="Arial" w:hAnsi="Arial" w:eastAsia="IPAGothic"/>
          <w:b w:val="0"/>
          <w:color w:val="255FB5"/>
          <w:sz w:val="19"/>
        </w:rPr>
        <w:t>https://blog.hubspot.jp/sales/sfa-comparison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