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line="283" w:lineRule="auto"/>
        <w:jc w:val="center"/>
      </w:pPr>
      <w:r>
        <w:rPr>
          <w:rFonts w:ascii="Arial" w:hAnsi="Arial" w:eastAsia="IPAGothic"/>
          <w:b/>
          <w:color w:val="255FB5"/>
          <w:sz w:val="26"/>
        </w:rPr>
        <w:t>営業ツール × Claude 連携マニュアル</w:t>
      </w:r>
    </w:p>
    <w:p>
      <w:pPr>
        <w:spacing w:after="120" w:line="283" w:lineRule="auto"/>
        <w:jc w:val="center"/>
      </w:pPr>
      <w:r>
        <w:rPr>
          <w:rFonts w:ascii="Arial" w:hAnsi="Arial" w:eastAsia="IPAGothic"/>
          <w:b/>
          <w:color w:val="2D3748"/>
          <w:sz w:val="44"/>
        </w:rPr>
        <w:t>Salesforce Sales Cloud</w:t>
      </w:r>
    </w:p>
    <w:p>
      <w:pPr>
        <w:spacing w:after="360" w:line="283" w:lineRule="auto"/>
        <w:jc w:val="center"/>
      </w:pPr>
      <w:r>
        <w:rPr>
          <w:rFonts w:ascii="Arial" w:hAnsi="Arial" w:eastAsia="IPAGothic"/>
          <w:b w:val="0"/>
          <w:color w:val="6C757D"/>
          <w:sz w:val="25"/>
        </w:rPr>
        <w:t>公式 Hosted MCP で、商談・ToDo・SOQLを会話操作</w:t>
      </w:r>
    </w:p>
    <w:p>
      <w:pPr>
        <w:spacing w:after="360" w:line="283" w:lineRule="auto"/>
        <w:jc w:val="center"/>
      </w:pPr>
      <w:r>
        <w:rPr>
          <w:rFonts w:ascii="Arial" w:hAnsi="Arial" w:eastAsia="IPAGothic"/>
          <w:b/>
          <w:color w:val="255FB5"/>
          <w:sz w:val="22"/>
        </w:rPr>
        <w:t>提供元: Salesforce</w:t>
      </w:r>
    </w:p>
    <w:p>
      <w:pPr>
        <w:spacing w:before="80"/>
        <w:shd w:val="clear" w:fill="FFF7ED"/>
        <w:pBdr>
          <w:top w:val="dashed" w:sz="8" w:space="8" w:color="D97706"/>
          <w:left w:val="dashed" w:sz="8" w:space="8" w:color="D97706"/>
          <w:bottom w:val="dashed" w:sz="8" w:space="8" w:color="D97706"/>
          <w:right w:val="dashed" w:sz="8" w:space="8" w:color="D97706"/>
        </w:pBdr>
      </w:pPr>
      <w:r>
        <w:rPr>
          <w:rFonts w:ascii="Arial" w:hAnsi="Arial" w:eastAsia="IPAGothic"/>
          <w:b/>
          <w:color w:val="B45309"/>
          <w:sz w:val="21"/>
        </w:rPr>
        <w:t>本マニュアルについて(必ずお読みください)</w:t>
      </w:r>
    </w:p>
    <w:p>
      <w:pPr>
        <w:shd w:val="clear" w:fill="FFF7ED"/>
        <w:pBdr>
          <w:top w:val="dashed" w:sz="8" w:space="8" w:color="D97706"/>
          <w:left w:val="dashed" w:sz="8" w:space="8" w:color="D97706"/>
          <w:bottom w:val="dashed" w:sz="8" w:space="8" w:color="D97706"/>
          <w:right w:val="dashed" w:sz="8" w:space="8" w:color="D97706"/>
        </w:pBdr>
        <w:spacing w:after="200"/>
      </w:pPr>
      <w:r>
        <w:rPr>
          <w:rFonts w:ascii="Arial" w:hAnsi="Arial" w:eastAsia="IPAGothic"/>
          <w:b w:val="0"/>
          <w:sz w:val="20"/>
        </w:rPr>
        <w:t>本マニュアルの画面図は、ネットワーク制限およびログイン要件のため実画面を取得できないことから、操作手順を再現した「イラスト(モックアップ)」です。各図には「実スクリーンショット差込欄」を設けています。運用時は実環境で同じ操作を行い、該当箇所のスクリーンショットを差し込んでください。なお、各サービスのMCP対応状況・API仕様・画面構成・料金プランは変更される場合があります。導入前に必ず各社の公式ドキュメントで最新情報をご確認ください。</w:t>
      </w:r>
    </w:p>
    <w:p>
      <w:pPr>
        <w:spacing w:after="80" w:line="283" w:lineRule="auto"/>
        <w:jc w:val="center"/>
      </w:pPr>
      <w:r>
        <w:rPr>
          <w:rFonts w:ascii="Arial" w:hAnsi="Arial" w:eastAsia="IPAGothic"/>
          <w:b w:val="0"/>
          <w:color w:val="6C757D"/>
          <w:sz w:val="19"/>
        </w:rPr>
        <w:t>作成日: 2026年6月28日 / 基準記事: HubSpot『国内の主要SFAツール10選』</w:t>
      </w:r>
    </w:p>
    <w:p>
      <w:r>
        <w:br w:type="page"/>
      </w:r>
    </w:p>
    <w:p>
      <w:pPr>
        <w:spacing w:before="80"/>
        <w:shd w:val="clear" w:fill="F8FAFC"/>
        <w:pBdr>
          <w:top w:val="dashed" w:sz="8" w:space="8" w:color="CED4DA"/>
          <w:left w:val="dashed" w:sz="8" w:space="8" w:color="CED4DA"/>
          <w:bottom w:val="dashed" w:sz="8" w:space="8" w:color="CED4DA"/>
          <w:right w:val="dashed" w:sz="8" w:space="8" w:color="CED4DA"/>
        </w:pBdr>
      </w:pPr>
      <w:r>
        <w:rPr>
          <w:rFonts w:ascii="Arial" w:hAnsi="Arial" w:eastAsia="IPAGothic"/>
          <w:b/>
          <w:color w:val="2D3748"/>
          <w:sz w:val="21"/>
        </w:rPr>
        <w:t>図の見方</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赤い枠 … 操作する対象(クリック/入力する箇所)を示します。</w:t>
      </w:r>
    </w:p>
    <w:p>
      <w:pPr>
        <w:shd w:val="clear" w:fill="F8FAFC"/>
        <w:pBdr>
          <w:top w:val="dashed" w:sz="8" w:space="8" w:color="CED4DA"/>
          <w:left w:val="dashed" w:sz="8" w:space="8" w:color="CED4DA"/>
          <w:bottom w:val="dashed" w:sz="8" w:space="8" w:color="CED4DA"/>
          <w:right w:val="dashed" w:sz="8" w:space="8" w:color="CED4DA"/>
        </w:pBdr>
        <w:spacing w:after="40"/>
      </w:pPr>
      <w:r>
        <w:rPr>
          <w:rFonts w:ascii="Arial" w:hAnsi="Arial" w:eastAsia="IPAGothic"/>
          <w:b w:val="0"/>
          <w:sz w:val="20"/>
        </w:rPr>
        <w:t>番号バッジ ①②③ … 操作の順序と、右側の注釈に対応します。</w:t>
      </w:r>
    </w:p>
    <w:p>
      <w:pPr>
        <w:shd w:val="clear" w:fill="F8FAFC"/>
        <w:pBdr>
          <w:top w:val="dashed" w:sz="8" w:space="8" w:color="CED4DA"/>
          <w:left w:val="dashed" w:sz="8" w:space="8" w:color="CED4DA"/>
          <w:bottom w:val="dashed" w:sz="8" w:space="8" w:color="CED4DA"/>
          <w:right w:val="dashed" w:sz="8" w:space="8" w:color="CED4DA"/>
        </w:pBdr>
        <w:spacing w:after="200"/>
      </w:pPr>
      <w:r>
        <w:rPr>
          <w:rFonts w:ascii="Arial" w:hAnsi="Arial" w:eastAsia="IPAGothic"/>
          <w:b w:val="0"/>
          <w:sz w:val="20"/>
        </w:rPr>
        <w:t>オレンジの破線枠『実スクリーンショット差込欄』… 実環境で撮影した画面を貼り付ける場所です。</w:t>
      </w:r>
    </w:p>
    <w:p>
      <w:pPr>
        <w:spacing w:before="280" w:after="160"/>
        <w:pBdr>
          <w:bottom w:val="single" w:sz="10" w:space="4" w:color="255FB5"/>
        </w:pBdr>
      </w:pPr>
      <w:r>
        <w:rPr>
          <w:rFonts w:ascii="Arial" w:hAnsi="Arial" w:eastAsia="IPAGothic"/>
          <w:b/>
          <w:color w:val="2D3748"/>
          <w:sz w:val="31"/>
        </w:rPr>
        <w:t>1. 本サービスと Claude 連携の概要</w:t>
      </w:r>
    </w:p>
    <w:p>
      <w:pPr>
        <w:spacing w:after="120" w:line="283" w:lineRule="auto"/>
      </w:pPr>
      <w:r>
        <w:rPr>
          <w:rFonts w:ascii="Arial" w:hAnsi="Arial" w:eastAsia="IPAGothic"/>
          <w:b w:val="0"/>
          <w:sz w:val="21"/>
        </w:rPr>
        <w:t>Salesforce Sales Cloud は世界トップシェアのSFA/CRMで、高いカスタマイズ性が特長です。Salesforce は公式のHosted MCP Servers(一般提供)を提供しており、MCP対応クライアントであるClaude から、商談(Opportunity)・ToDo・レコードの参照/更新や SOQL 相当の照会を、エンタープライズグレードの認証・権限制御のもとで実行できます。</w:t>
      </w:r>
    </w:p>
    <w:p>
      <w:pPr>
        <w:spacing w:before="280" w:after="160"/>
        <w:pBdr>
          <w:bottom w:val="single" w:sz="10" w:space="4" w:color="255FB5"/>
        </w:pBdr>
      </w:pPr>
      <w:r>
        <w:rPr>
          <w:rFonts w:ascii="Arial" w:hAnsi="Arial" w:eastAsia="IPAGothic"/>
          <w:b/>
          <w:color w:val="2D3748"/>
          <w:sz w:val="31"/>
        </w:rPr>
        <w:t>2. 連携方式と構成</w:t>
      </w:r>
    </w:p>
    <w:p>
      <w:pPr>
        <w:spacing w:after="120" w:line="283" w:lineRule="auto"/>
      </w:pPr>
      <w:r>
        <w:rPr>
          <w:rFonts w:ascii="Arial" w:hAnsi="Arial" w:eastAsia="IPAGothic"/>
          <w:b w:val="0"/>
          <w:sz w:val="21"/>
        </w:rPr>
        <w:t>推奨は公式 Hosted MCP Servers(Enterprise Edition以上)です。Salesforce側で接続アプリ(OAuth)を構成し、Claudeのコネクタに登録します。開発者向けには 60以上のツールを備える Salesforce DX MCP もあります。ノーコード連携は Zapier、高度な参照は CData も利用できます。</w:t>
      </w:r>
    </w:p>
    <w:p>
      <w:pPr>
        <w:jc w:val="center"/>
      </w:pPr>
      <w:r>
        <w:drawing>
          <wp:inline xmlns:a="http://schemas.openxmlformats.org/drawingml/2006/main" xmlns:pic="http://schemas.openxmlformats.org/drawingml/2006/picture">
            <wp:extent cx="5903999" cy="2301559"/>
            <wp:docPr id="1" name="Picture 1"/>
            <wp:cNvGraphicFramePr>
              <a:graphicFrameLocks noChangeAspect="1"/>
            </wp:cNvGraphicFramePr>
            <a:graphic>
              <a:graphicData uri="http://schemas.openxmlformats.org/drawingml/2006/picture">
                <pic:pic>
                  <pic:nvPicPr>
                    <pic:cNvPr id="0" name="02_Salesforce_Sales_Cloud_arch.png"/>
                    <pic:cNvPicPr/>
                  </pic:nvPicPr>
                  <pic:blipFill>
                    <a:blip r:embed="rId9"/>
                    <a:stretch>
                      <a:fillRect/>
                    </a:stretch>
                  </pic:blipFill>
                  <pic:spPr>
                    <a:xfrm>
                      <a:off x="0" y="0"/>
                      <a:ext cx="5903999" cy="2301559"/>
                    </a:xfrm>
                    <a:prstGeom prst="rect"/>
                  </pic:spPr>
                </pic:pic>
              </a:graphicData>
            </a:graphic>
          </wp:inline>
        </w:drawing>
      </w:r>
    </w:p>
    <w:p>
      <w:pPr>
        <w:spacing w:after="200"/>
        <w:jc w:val="center"/>
      </w:pPr>
      <w:r>
        <w:rPr>
          <w:rFonts w:ascii="Arial" w:hAnsi="Arial" w:eastAsia="IPAGothic"/>
          <w:b w:val="0"/>
          <w:color w:val="6C757D"/>
          <w:sz w:val="18"/>
        </w:rPr>
        <w:t>図1: Salesforce Sales Cloud と Claude の連携構成図</w:t>
      </w:r>
    </w:p>
    <w:p>
      <w:pPr>
        <w:jc w:val="center"/>
      </w:pPr>
      <w:r>
        <w:drawing>
          <wp:inline xmlns:a="http://schemas.openxmlformats.org/drawingml/2006/main" xmlns:pic="http://schemas.openxmlformats.org/drawingml/2006/picture">
            <wp:extent cx="5903999" cy="1200813"/>
            <wp:docPr id="2" name="Picture 2"/>
            <wp:cNvGraphicFramePr>
              <a:graphicFrameLocks noChangeAspect="1"/>
            </wp:cNvGraphicFramePr>
            <a:graphic>
              <a:graphicData uri="http://schemas.openxmlformats.org/drawingml/2006/picture">
                <pic:pic>
                  <pic:nvPicPr>
                    <pic:cNvPr id="0" name="02_Salesforce_Sales_Cloud_flow.png"/>
                    <pic:cNvPicPr/>
                  </pic:nvPicPr>
                  <pic:blipFill>
                    <a:blip r:embed="rId10"/>
                    <a:stretch>
                      <a:fillRect/>
                    </a:stretch>
                  </pic:blipFill>
                  <pic:spPr>
                    <a:xfrm>
                      <a:off x="0" y="0"/>
                      <a:ext cx="5903999" cy="1200813"/>
                    </a:xfrm>
                    <a:prstGeom prst="rect"/>
                  </pic:spPr>
                </pic:pic>
              </a:graphicData>
            </a:graphic>
          </wp:inline>
        </w:drawing>
      </w:r>
    </w:p>
    <w:p>
      <w:pPr>
        <w:spacing w:after="200"/>
        <w:jc w:val="center"/>
      </w:pPr>
      <w:r>
        <w:rPr>
          <w:rFonts w:ascii="Arial" w:hAnsi="Arial" w:eastAsia="IPAGothic"/>
          <w:b w:val="0"/>
          <w:color w:val="6C757D"/>
          <w:sz w:val="18"/>
        </w:rPr>
        <w:t>図2: 導入ステップの全体像</w:t>
      </w:r>
    </w:p>
    <w:p>
      <w:pPr>
        <w:spacing w:before="280" w:after="160"/>
        <w:pBdr>
          <w:bottom w:val="single" w:sz="10" w:space="4" w:color="255FB5"/>
        </w:pBdr>
      </w:pPr>
      <w:r>
        <w:rPr>
          <w:rFonts w:ascii="Arial" w:hAnsi="Arial" w:eastAsia="IPAGothic"/>
          <w:b/>
          <w:color w:val="2D3748"/>
          <w:sz w:val="31"/>
        </w:rPr>
        <w:t>3. 事前準備(前提条件)</w:t>
      </w:r>
    </w:p>
    <w:p>
      <w:pPr>
        <w:spacing w:after="60" w:line="276" w:lineRule="auto"/>
        <w:ind w:left="340"/>
      </w:pPr>
      <w:r>
        <w:rPr>
          <w:rFonts w:ascii="Arial" w:hAnsi="Arial" w:eastAsia="IPAGothic"/>
          <w:b w:val="0"/>
          <w:sz w:val="21"/>
        </w:rPr>
        <w:t>・Salesforce Sales Cloud(Hosted MCPは Enterprise Edition 以上が目安)</w:t>
      </w:r>
    </w:p>
    <w:p>
      <w:pPr>
        <w:spacing w:after="60" w:line="276" w:lineRule="auto"/>
        <w:ind w:left="340"/>
      </w:pPr>
      <w:r>
        <w:rPr>
          <w:rFonts w:ascii="Arial" w:hAnsi="Arial" w:eastAsia="IPAGothic"/>
          <w:b w:val="0"/>
          <w:sz w:val="21"/>
        </w:rPr>
        <w:t>・システム管理者権限(接続アプリ/OAuth、権限セットの構成)</w:t>
      </w:r>
    </w:p>
    <w:p>
      <w:pPr>
        <w:spacing w:after="60" w:line="276" w:lineRule="auto"/>
        <w:ind w:left="340"/>
      </w:pPr>
      <w:r>
        <w:rPr>
          <w:rFonts w:ascii="Arial" w:hAnsi="Arial" w:eastAsia="IPAGothic"/>
          <w:b w:val="0"/>
          <w:sz w:val="21"/>
        </w:rPr>
        <w:t>・Claude(コネクタ対応プラン)または Claude Desktop</w:t>
      </w:r>
    </w:p>
    <w:p>
      <w:pPr>
        <w:spacing w:after="60" w:line="276" w:lineRule="auto"/>
        <w:ind w:left="340"/>
      </w:pPr>
      <w:r>
        <w:rPr>
          <w:rFonts w:ascii="Arial" w:hAnsi="Arial" w:eastAsia="IPAGothic"/>
          <w:b w:val="0"/>
          <w:sz w:val="21"/>
        </w:rPr>
        <w:t>・連携ユーザーのプロファイル/権限セット(対象オブジェクトのCRUD権限)</w:t>
      </w:r>
    </w:p>
    <w:p>
      <w:pPr>
        <w:spacing w:before="280" w:after="160"/>
        <w:pBdr>
          <w:bottom w:val="single" w:sz="10" w:space="4" w:color="255FB5"/>
        </w:pBdr>
      </w:pPr>
      <w:r>
        <w:rPr>
          <w:rFonts w:ascii="Arial" w:hAnsi="Arial" w:eastAsia="IPAGothic"/>
          <w:b/>
          <w:color w:val="2D3748"/>
          <w:sz w:val="31"/>
        </w:rPr>
        <w:t>4. 連携手順</w:t>
      </w:r>
    </w:p>
    <w:p>
      <w:pPr>
        <w:spacing w:before="160" w:after="80"/>
      </w:pPr>
      <w:r>
        <w:rPr>
          <w:rFonts w:ascii="Arial" w:hAnsi="Arial" w:eastAsia="IPAGothic"/>
          <w:b/>
          <w:color w:val="255FB5"/>
          <w:sz w:val="24"/>
        </w:rPr>
        <w:t>■ 手順1: サービス側で認証情報を発行する</w:t>
      </w:r>
    </w:p>
    <w:p>
      <w:pPr>
        <w:jc w:val="center"/>
      </w:pPr>
      <w:r>
        <w:drawing>
          <wp:inline xmlns:a="http://schemas.openxmlformats.org/drawingml/2006/main" xmlns:pic="http://schemas.openxmlformats.org/drawingml/2006/picture">
            <wp:extent cx="5903999" cy="3002033"/>
            <wp:docPr id="3" name="Picture 3"/>
            <wp:cNvGraphicFramePr>
              <a:graphicFrameLocks noChangeAspect="1"/>
            </wp:cNvGraphicFramePr>
            <a:graphic>
              <a:graphicData uri="http://schemas.openxmlformats.org/drawingml/2006/picture">
                <pic:pic>
                  <pic:nvPicPr>
                    <pic:cNvPr id="0" name="02_Salesforce_Sales_Cloud_token.png"/>
                    <pic:cNvPicPr/>
                  </pic:nvPicPr>
                  <pic:blipFill>
                    <a:blip r:embed="rId11"/>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図3: Salesforce — 設定 &gt; アプリケーション &gt; 接続アプリ(操作対象を赤枠で表示)</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実際のSalesforce接続アプリ作成画面/OAuth設定を貼り付け</w:t>
      </w:r>
    </w:p>
    <w:p>
      <w:pPr>
        <w:spacing w:before="160" w:after="80"/>
      </w:pPr>
      <w:r>
        <w:rPr>
          <w:rFonts w:ascii="Arial" w:hAnsi="Arial" w:eastAsia="IPAGothic"/>
          <w:b/>
          <w:color w:val="255FB5"/>
          <w:sz w:val="24"/>
        </w:rPr>
        <w:t>■ 手順2: Claude にMCPを登録する</w:t>
      </w:r>
    </w:p>
    <w:p>
      <w:pPr>
        <w:jc w:val="center"/>
      </w:pPr>
      <w:r>
        <w:drawing>
          <wp:inline xmlns:a="http://schemas.openxmlformats.org/drawingml/2006/main" xmlns:pic="http://schemas.openxmlformats.org/drawingml/2006/picture">
            <wp:extent cx="5903999" cy="3002033"/>
            <wp:docPr id="4" name="Picture 4"/>
            <wp:cNvGraphicFramePr>
              <a:graphicFrameLocks noChangeAspect="1"/>
            </wp:cNvGraphicFramePr>
            <a:graphic>
              <a:graphicData uri="http://schemas.openxmlformats.org/drawingml/2006/picture">
                <pic:pic>
                  <pic:nvPicPr>
                    <pic:cNvPr id="0" name="02_Salesforce_Sales_Cloud_connect.png"/>
                    <pic:cNvPicPr/>
                  </pic:nvPicPr>
                  <pic:blipFill>
                    <a:blip r:embed="rId12"/>
                    <a:stretch>
                      <a:fillRect/>
                    </a:stretch>
                  </pic:blipFill>
                  <pic:spPr>
                    <a:xfrm>
                      <a:off x="0" y="0"/>
                      <a:ext cx="5903999" cy="3002033"/>
                    </a:xfrm>
                    <a:prstGeom prst="rect"/>
                  </pic:spPr>
                </pic:pic>
              </a:graphicData>
            </a:graphic>
          </wp:inline>
        </w:drawing>
      </w:r>
    </w:p>
    <w:p>
      <w:pPr>
        <w:spacing w:after="200"/>
        <w:jc w:val="center"/>
      </w:pPr>
      <w:r>
        <w:rPr>
          <w:rFonts w:ascii="Arial" w:hAnsi="Arial" w:eastAsia="IPAGothic"/>
          <w:b w:val="0"/>
          <w:color w:val="6C757D"/>
          <w:sz w:val="18"/>
        </w:rPr>
        <w:t>図4: Claudeのコネクタ追加画面(公式リモートMCP)</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実際のHosted MCP接続/Salesforceログイン認可画面を貼り付け</w:t>
      </w:r>
    </w:p>
    <w:p>
      <w:pPr>
        <w:spacing w:before="160" w:after="80"/>
      </w:pPr>
      <w:r>
        <w:rPr>
          <w:rFonts w:ascii="Arial" w:hAnsi="Arial" w:eastAsia="IPAGothic"/>
          <w:b/>
          <w:color w:val="255FB5"/>
          <w:sz w:val="24"/>
        </w:rPr>
        <w:t>■ 手順3: 動作確認(参照系でテスト)</w:t>
      </w:r>
    </w:p>
    <w:p>
      <w:pPr>
        <w:spacing w:after="120" w:line="283" w:lineRule="auto"/>
      </w:pPr>
      <w:r>
        <w:rPr>
          <w:rFonts w:ascii="Arial" w:hAnsi="Arial" w:eastAsia="IPAGothic"/>
          <w:b w:val="0"/>
          <w:sz w:val="21"/>
        </w:rPr>
        <w:t>まずは『データを5件表示して』のような参照のみの指示で接続を確認します。正しく取得できれば連携は成功です。続いて作成・更新の操作に進みます。</w:t>
      </w:r>
    </w:p>
    <w:p>
      <w:pPr>
        <w:spacing w:before="280" w:after="160"/>
        <w:pBdr>
          <w:bottom w:val="single" w:sz="10" w:space="4" w:color="255FB5"/>
        </w:pBdr>
      </w:pPr>
      <w:r>
        <w:rPr>
          <w:rFonts w:ascii="Arial" w:hAnsi="Arial" w:eastAsia="IPAGothic"/>
          <w:b/>
          <w:color w:val="2D3748"/>
          <w:sz w:val="31"/>
        </w:rPr>
        <w:t>5. 活用例・使用例</w:t>
      </w:r>
    </w:p>
    <w:p>
      <w:pPr>
        <w:spacing w:after="120" w:line="283" w:lineRule="auto"/>
      </w:pPr>
      <w:r>
        <w:rPr>
          <w:rFonts w:ascii="Arial" w:hAnsi="Arial" w:eastAsia="IPAGothic"/>
          <w:b w:val="0"/>
          <w:sz w:val="21"/>
        </w:rPr>
        <w:t>実際のチャットでの活用イメージを示します。自然言語で指示すると、ClaudeがMCPツールを選んで実行し、結果を要約して回答します。</w:t>
      </w:r>
    </w:p>
    <w:p>
      <w:pPr>
        <w:jc w:val="center"/>
      </w:pPr>
      <w:r>
        <w:drawing>
          <wp:inline xmlns:a="http://schemas.openxmlformats.org/drawingml/2006/main" xmlns:pic="http://schemas.openxmlformats.org/drawingml/2006/picture">
            <wp:extent cx="5903999" cy="3102101"/>
            <wp:docPr id="5" name="Picture 5"/>
            <wp:cNvGraphicFramePr>
              <a:graphicFrameLocks noChangeAspect="1"/>
            </wp:cNvGraphicFramePr>
            <a:graphic>
              <a:graphicData uri="http://schemas.openxmlformats.org/drawingml/2006/picture">
                <pic:pic>
                  <pic:nvPicPr>
                    <pic:cNvPr id="0" name="02_Salesforce_Sales_Cloud_chat.png"/>
                    <pic:cNvPicPr/>
                  </pic:nvPicPr>
                  <pic:blipFill>
                    <a:blip r:embed="rId13"/>
                    <a:stretch>
                      <a:fillRect/>
                    </a:stretch>
                  </pic:blipFill>
                  <pic:spPr>
                    <a:xfrm>
                      <a:off x="0" y="0"/>
                      <a:ext cx="5903999" cy="3102101"/>
                    </a:xfrm>
                    <a:prstGeom prst="rect"/>
                  </pic:spPr>
                </pic:pic>
              </a:graphicData>
            </a:graphic>
          </wp:inline>
        </w:drawing>
      </w:r>
    </w:p>
    <w:p>
      <w:pPr>
        <w:spacing w:after="200"/>
        <w:jc w:val="center"/>
      </w:pPr>
      <w:r>
        <w:rPr>
          <w:rFonts w:ascii="Arial" w:hAnsi="Arial" w:eastAsia="IPAGothic"/>
          <w:b w:val="0"/>
          <w:color w:val="6C757D"/>
          <w:sz w:val="18"/>
        </w:rPr>
        <w:t>図5: 活用例 ―『商談の更新』のチャット例</w:t>
      </w:r>
    </w:p>
    <w:p>
      <w:pPr>
        <w:spacing w:before="80" w:after="4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color w:val="D97706"/>
          <w:sz w:val="21"/>
        </w:rPr>
        <w:t>［ 実スクリーンショット差込欄 ］</w:t>
      </w:r>
    </w:p>
    <w:p>
      <w:pPr>
        <w:spacing w:after="200"/>
        <w:shd w:val="clear" w:fill="FFFBEB"/>
        <w:pBdr>
          <w:top w:val="dashed" w:sz="18" w:space="8" w:color="D97706"/>
          <w:left w:val="dashed" w:sz="18" w:space="8" w:color="D97706"/>
          <w:bottom w:val="dashed" w:sz="18" w:space="8" w:color="D97706"/>
          <w:right w:val="dashed" w:sz="18" w:space="8" w:color="D97706"/>
        </w:pBdr>
      </w:pPr>
      <w:r>
        <w:rPr>
          <w:rFonts w:ascii="Arial" w:hAnsi="Arial" w:eastAsia="IPAGothic"/>
          <w:b w:val="0"/>
          <w:color w:val="6C757D"/>
          <w:sz w:val="19"/>
        </w:rPr>
        <w:t>▼ ここに実画面のスクリーンショットを貼り付け: 実際のClaudeチャット画面(指示と回答)を貼り付け</w:t>
      </w:r>
    </w:p>
    <w:p>
      <w:pPr>
        <w:spacing w:before="160" w:after="80"/>
      </w:pPr>
      <w:r>
        <w:rPr>
          <w:rFonts w:ascii="Arial" w:hAnsi="Arial" w:eastAsia="IPAGothic"/>
          <w:b/>
          <w:color w:val="255FB5"/>
          <w:sz w:val="24"/>
        </w:rPr>
        <w:t>■ 活用例1: 商談の更新</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「ABC商事の商談ステージを『提案』から『最終交渉』に更新して、確度を70%にして。」</w:t>
      </w:r>
    </w:p>
    <w:p>
      <w:pPr>
        <w:spacing w:after="120" w:line="283" w:lineRule="auto"/>
      </w:pPr>
      <w:r>
        <w:rPr>
          <w:rFonts w:ascii="Arial" w:hAnsi="Arial" w:eastAsia="IPAGothic"/>
          <w:b w:val="0"/>
          <w:sz w:val="20"/>
        </w:rPr>
        <w:t>▶ 期待される動作: レコードIDを意識せず、会話で商談を更新。入力負荷を大きく下げられます。</w:t>
      </w:r>
    </w:p>
    <w:p>
      <w:pPr>
        <w:spacing w:after="120" w:line="283" w:lineRule="auto"/>
      </w:pPr>
      <w:r>
        <w:rPr>
          <w:rFonts w:ascii="Arial" w:hAnsi="Arial" w:eastAsia="IPAGothic"/>
          <w:b w:val="0"/>
          <w:color w:val="6C757D"/>
          <w:sz w:val="19"/>
        </w:rPr>
        <w:t>▶ 呼び出されるMCPツール(例): salesforce.update_opportunity</w:t>
      </w:r>
    </w:p>
    <w:p>
      <w:pPr>
        <w:spacing w:before="160" w:after="80"/>
      </w:pPr>
      <w:r>
        <w:rPr>
          <w:rFonts w:ascii="Arial" w:hAnsi="Arial" w:eastAsia="IPAGothic"/>
          <w:b/>
          <w:color w:val="255FB5"/>
          <w:sz w:val="24"/>
        </w:rPr>
        <w:t>■ 活用例2: SOQL相当の照会</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「先月作成された商談のうち、金額が100万円以上で未活動が5日以上のものを一覧にして。」</w:t>
      </w:r>
    </w:p>
    <w:p>
      <w:pPr>
        <w:spacing w:after="120" w:line="283" w:lineRule="auto"/>
      </w:pPr>
      <w:r>
        <w:rPr>
          <w:rFonts w:ascii="Arial" w:hAnsi="Arial" w:eastAsia="IPAGothic"/>
          <w:b w:val="0"/>
          <w:sz w:val="20"/>
        </w:rPr>
        <w:t>▶ 期待される動作: 複雑な条件抽出をSOQLを書かずに依頼。レポート作成の前段に有効です。</w:t>
      </w:r>
    </w:p>
    <w:p>
      <w:pPr>
        <w:spacing w:after="120" w:line="283" w:lineRule="auto"/>
      </w:pPr>
      <w:r>
        <w:rPr>
          <w:rFonts w:ascii="Arial" w:hAnsi="Arial" w:eastAsia="IPAGothic"/>
          <w:b w:val="0"/>
          <w:color w:val="6C757D"/>
          <w:sz w:val="19"/>
        </w:rPr>
        <w:t>▶ 呼び出されるMCPツール(例): salesforce.run_query</w:t>
      </w:r>
    </w:p>
    <w:p>
      <w:pPr>
        <w:spacing w:before="160" w:after="80"/>
      </w:pPr>
      <w:r>
        <w:rPr>
          <w:rFonts w:ascii="Arial" w:hAnsi="Arial" w:eastAsia="IPAGothic"/>
          <w:b/>
          <w:color w:val="255FB5"/>
          <w:sz w:val="24"/>
        </w:rPr>
        <w:t>■ 活用例3: 活動サマリ作成</w:t>
      </w:r>
    </w:p>
    <w:p>
      <w:pPr>
        <w:spacing w:before="80"/>
        <w:shd w:val="clear" w:fill="EFF6FF"/>
        <w:pBdr>
          <w:top w:val="dashed" w:sz="8" w:space="8" w:color="255FB5"/>
          <w:left w:val="dashed" w:sz="8" w:space="8" w:color="255FB5"/>
          <w:bottom w:val="dashed" w:sz="8" w:space="8" w:color="255FB5"/>
          <w:right w:val="dashed" w:sz="8" w:space="8" w:color="255FB5"/>
        </w:pBdr>
      </w:pPr>
      <w:r>
        <w:rPr>
          <w:rFonts w:ascii="Arial" w:hAnsi="Arial" w:eastAsia="IPAGothic"/>
          <w:b/>
          <w:color w:val="255FB5"/>
          <w:sz w:val="21"/>
        </w:rPr>
        <w:t>プロンプト例(Claudeへの指示)</w:t>
      </w:r>
    </w:p>
    <w:p>
      <w:pPr>
        <w:shd w:val="clear" w:fill="EFF6FF"/>
        <w:pBdr>
          <w:top w:val="dashed" w:sz="8" w:space="8" w:color="255FB5"/>
          <w:left w:val="dashed" w:sz="8" w:space="8" w:color="255FB5"/>
          <w:bottom w:val="dashed" w:sz="8" w:space="8" w:color="255FB5"/>
          <w:right w:val="dashed" w:sz="8" w:space="8" w:color="255FB5"/>
        </w:pBdr>
        <w:spacing w:after="200"/>
      </w:pPr>
      <w:r>
        <w:rPr>
          <w:rFonts w:ascii="Arial" w:hAnsi="Arial" w:eastAsia="IPAGothic"/>
          <w:b w:val="0"/>
          <w:sz w:val="20"/>
        </w:rPr>
        <w:t>「今日の私の商談活動を要約して、明日やるべきフォローを3つ挙げて。」</w:t>
      </w:r>
    </w:p>
    <w:p>
      <w:pPr>
        <w:spacing w:after="120" w:line="283" w:lineRule="auto"/>
      </w:pPr>
      <w:r>
        <w:rPr>
          <w:rFonts w:ascii="Arial" w:hAnsi="Arial" w:eastAsia="IPAGothic"/>
          <w:b w:val="0"/>
          <w:sz w:val="20"/>
        </w:rPr>
        <w:t>▶ 期待される動作: 日次の活動ログを集約し、翌日のアクション提案まで自動化します。</w:t>
      </w:r>
    </w:p>
    <w:p>
      <w:pPr>
        <w:spacing w:after="120" w:line="283" w:lineRule="auto"/>
      </w:pPr>
      <w:r>
        <w:rPr>
          <w:rFonts w:ascii="Arial" w:hAnsi="Arial" w:eastAsia="IPAGothic"/>
          <w:b w:val="0"/>
          <w:color w:val="6C757D"/>
          <w:sz w:val="19"/>
        </w:rPr>
        <w:t>▶ 呼び出されるMCPツール(例): salesforce.search_tasks</w:t>
      </w:r>
    </w:p>
    <w:p>
      <w:pPr>
        <w:spacing w:before="280" w:after="160"/>
        <w:pBdr>
          <w:bottom w:val="single" w:sz="10" w:space="4" w:color="255FB5"/>
        </w:pBdr>
      </w:pPr>
      <w:r>
        <w:rPr>
          <w:rFonts w:ascii="Arial" w:hAnsi="Arial" w:eastAsia="IPAGothic"/>
          <w:b/>
          <w:color w:val="2D3748"/>
          <w:sz w:val="31"/>
        </w:rPr>
        <w:t>6. セキュリティ・運用上の注意</w:t>
      </w:r>
    </w:p>
    <w:p>
      <w:pPr>
        <w:spacing w:after="60" w:line="276" w:lineRule="auto"/>
        <w:ind w:left="340"/>
      </w:pPr>
      <w:r>
        <w:rPr>
          <w:rFonts w:ascii="Arial" w:hAnsi="Arial" w:eastAsia="IPAGothic"/>
          <w:b w:val="0"/>
          <w:sz w:val="21"/>
        </w:rPr>
        <w:t>・Hosted MCP のEdition要件・提供状況は変わる可能性があるため、最新の公式情報を確認する。</w:t>
      </w:r>
    </w:p>
    <w:p>
      <w:pPr>
        <w:spacing w:after="60" w:line="276" w:lineRule="auto"/>
        <w:ind w:left="340"/>
      </w:pPr>
      <w:r>
        <w:rPr>
          <w:rFonts w:ascii="Arial" w:hAnsi="Arial" w:eastAsia="IPAGothic"/>
          <w:b w:val="0"/>
          <w:sz w:val="21"/>
        </w:rPr>
        <w:t>・本番組織への書き込みは、まずSandboxや参照のみで検証してから許可する。</w:t>
      </w:r>
    </w:p>
    <w:p>
      <w:pPr>
        <w:spacing w:before="80"/>
        <w:shd w:val="clear" w:fill="FEF2F2"/>
        <w:pBdr>
          <w:top w:val="dashed" w:sz="8" w:space="8" w:color="DC2626"/>
          <w:left w:val="dashed" w:sz="8" w:space="8" w:color="DC2626"/>
          <w:bottom w:val="dashed" w:sz="8" w:space="8" w:color="DC2626"/>
          <w:right w:val="dashed" w:sz="8" w:space="8" w:color="DC2626"/>
        </w:pBdr>
      </w:pPr>
      <w:r>
        <w:rPr>
          <w:rFonts w:ascii="Arial" w:hAnsi="Arial" w:eastAsia="IPAGothic"/>
          <w:b/>
          <w:color w:val="B91C1C"/>
          <w:sz w:val="21"/>
        </w:rPr>
        <w:t>共通の注意</w:t>
      </w:r>
    </w:p>
    <w:p>
      <w:pPr>
        <w:shd w:val="clear" w:fill="FEF2F2"/>
        <w:pBdr>
          <w:top w:val="dashed" w:sz="8" w:space="8" w:color="DC2626"/>
          <w:left w:val="dashed" w:sz="8" w:space="8" w:color="DC2626"/>
          <w:bottom w:val="dashed" w:sz="8" w:space="8" w:color="DC2626"/>
          <w:right w:val="dashed" w:sz="8" w:space="8" w:color="DC2626"/>
        </w:pBdr>
        <w:spacing w:after="40"/>
      </w:pPr>
      <w:r>
        <w:rPr>
          <w:rFonts w:ascii="Arial" w:hAnsi="Arial" w:eastAsia="IPAGothic"/>
          <w:b w:val="0"/>
          <w:sz w:val="20"/>
        </w:rPr>
        <w:t>APIトークン/シークレットは秘匿情報です。共有・コミットせず、最小権限で発行してください。</w:t>
      </w:r>
    </w:p>
    <w:p>
      <w:pPr>
        <w:shd w:val="clear" w:fill="FEF2F2"/>
        <w:pBdr>
          <w:top w:val="dashed" w:sz="8" w:space="8" w:color="DC2626"/>
          <w:left w:val="dashed" w:sz="8" w:space="8" w:color="DC2626"/>
          <w:bottom w:val="dashed" w:sz="8" w:space="8" w:color="DC2626"/>
          <w:right w:val="dashed" w:sz="8" w:space="8" w:color="DC2626"/>
        </w:pBdr>
        <w:spacing w:after="200"/>
      </w:pPr>
      <w:r>
        <w:rPr>
          <w:rFonts w:ascii="Arial" w:hAnsi="Arial" w:eastAsia="IPAGothic"/>
          <w:b w:val="0"/>
          <w:sz w:val="20"/>
        </w:rPr>
        <w:t>作成・更新・削除などの書き込み操作は、参照のみで検証してから段階的に許可してください。</w:t>
      </w:r>
    </w:p>
    <w:p>
      <w:pPr>
        <w:spacing w:before="280" w:after="160"/>
        <w:pBdr>
          <w:bottom w:val="single" w:sz="10" w:space="4" w:color="255FB5"/>
        </w:pBdr>
      </w:pPr>
      <w:r>
        <w:rPr>
          <w:rFonts w:ascii="Arial" w:hAnsi="Arial" w:eastAsia="IPAGothic"/>
          <w:b/>
          <w:color w:val="2D3748"/>
          <w:sz w:val="31"/>
        </w:rPr>
        <w:t>7. 参考リンク</w:t>
      </w:r>
    </w:p>
    <w:p>
      <w:pPr>
        <w:ind w:left="340"/>
      </w:pPr>
      <w:r>
        <w:rPr>
          <w:rFonts w:ascii="Arial" w:hAnsi="Arial" w:eastAsia="IPAGothic"/>
          <w:b w:val="0"/>
          <w:sz w:val="20"/>
        </w:rPr>
        <w:t xml:space="preserve">・Salesforce Hosted MCP Servers(公式): </w:t>
      </w:r>
      <w:r>
        <w:rPr>
          <w:rFonts w:ascii="Arial" w:hAnsi="Arial" w:eastAsia="IPAGothic"/>
          <w:b w:val="0"/>
          <w:color w:val="255FB5"/>
          <w:sz w:val="19"/>
        </w:rPr>
        <w:t>https://developer.salesforce.com/docs/platform/hosted-mcp-servers/guide/hosted-mcp-servers-overview.html</w:t>
      </w:r>
    </w:p>
    <w:p>
      <w:pPr>
        <w:ind w:left="340"/>
      </w:pPr>
      <w:r>
        <w:rPr>
          <w:rFonts w:ascii="Arial" w:hAnsi="Arial" w:eastAsia="IPAGothic"/>
          <w:b w:val="0"/>
          <w:sz w:val="20"/>
        </w:rPr>
        <w:t xml:space="preserve">・Salesforce DX MCP: </w:t>
      </w:r>
      <w:r>
        <w:rPr>
          <w:rFonts w:ascii="Arial" w:hAnsi="Arial" w:eastAsia="IPAGothic"/>
          <w:b w:val="0"/>
          <w:color w:val="255FB5"/>
          <w:sz w:val="19"/>
        </w:rPr>
        <w:t>https://github.com/salesforcecli/mcp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IPA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