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80" w:line="283" w:lineRule="auto"/>
        <w:jc w:val="center"/>
      </w:pPr>
      <w:r>
        <w:rPr>
          <w:rFonts w:ascii="Arial" w:hAnsi="Arial" w:eastAsia="IPAGothic"/>
          <w:b/>
          <w:color w:val="255FB5"/>
          <w:sz w:val="26"/>
        </w:rPr>
        <w:t>営業ツール × Claude 連携マニュアル</w:t>
      </w:r>
    </w:p>
    <w:p>
      <w:pPr>
        <w:spacing w:after="120" w:line="283" w:lineRule="auto"/>
        <w:jc w:val="center"/>
      </w:pPr>
      <w:r>
        <w:rPr>
          <w:rFonts w:ascii="Arial" w:hAnsi="Arial" w:eastAsia="IPAGothic"/>
          <w:b/>
          <w:color w:val="2D3748"/>
          <w:sz w:val="44"/>
        </w:rPr>
        <w:t>Microsoft Dynamics 365 Sales</w:t>
      </w:r>
    </w:p>
    <w:p>
      <w:pPr>
        <w:spacing w:after="360" w:line="283" w:lineRule="auto"/>
        <w:jc w:val="center"/>
      </w:pPr>
      <w:r>
        <w:rPr>
          <w:rFonts w:ascii="Arial" w:hAnsi="Arial" w:eastAsia="IPAGothic"/>
          <w:b w:val="0"/>
          <w:color w:val="6C757D"/>
          <w:sz w:val="25"/>
        </w:rPr>
        <w:t>Dataverse APIとiPaaSで、Copilotと併用しながらAI操作</w:t>
      </w:r>
    </w:p>
    <w:p>
      <w:pPr>
        <w:spacing w:after="360" w:line="283" w:lineRule="auto"/>
        <w:jc w:val="center"/>
      </w:pPr>
      <w:r>
        <w:rPr>
          <w:rFonts w:ascii="Arial" w:hAnsi="Arial" w:eastAsia="IPAGothic"/>
          <w:b/>
          <w:color w:val="255FB5"/>
          <w:sz w:val="22"/>
        </w:rPr>
        <w:t>提供元: マイクロソフト</w:t>
      </w:r>
    </w:p>
    <w:p>
      <w:pPr>
        <w:spacing w:before="80"/>
        <w:shd w:val="clear" w:fill="FFF7ED"/>
        <w:pBdr>
          <w:top w:val="dashed" w:sz="8" w:space="8" w:color="D97706"/>
          <w:left w:val="dashed" w:sz="8" w:space="8" w:color="D97706"/>
          <w:bottom w:val="dashed" w:sz="8" w:space="8" w:color="D97706"/>
          <w:right w:val="dashed" w:sz="8" w:space="8" w:color="D97706"/>
        </w:pBdr>
      </w:pPr>
      <w:r>
        <w:rPr>
          <w:rFonts w:ascii="Arial" w:hAnsi="Arial" w:eastAsia="IPAGothic"/>
          <w:b/>
          <w:color w:val="B45309"/>
          <w:sz w:val="21"/>
        </w:rPr>
        <w:t>本マニュアルについて(必ずお読みください)</w:t>
      </w:r>
    </w:p>
    <w:p>
      <w:pPr>
        <w:shd w:val="clear" w:fill="FFF7ED"/>
        <w:pBdr>
          <w:top w:val="dashed" w:sz="8" w:space="8" w:color="D97706"/>
          <w:left w:val="dashed" w:sz="8" w:space="8" w:color="D97706"/>
          <w:bottom w:val="dashed" w:sz="8" w:space="8" w:color="D97706"/>
          <w:right w:val="dashed" w:sz="8" w:space="8" w:color="D97706"/>
        </w:pBdr>
        <w:spacing w:after="200"/>
      </w:pPr>
      <w:r>
        <w:rPr>
          <w:rFonts w:ascii="Arial" w:hAnsi="Arial" w:eastAsia="IPAGothic"/>
          <w:b w:val="0"/>
          <w:sz w:val="20"/>
        </w:rPr>
        <w:t>本マニュアルの画面図は、ネットワーク制限およびログイン要件のため実画面を取得できないことから、操作手順を再現した「イラスト(モックアップ)」です。各図には「実スクリーンショット差込欄」を設けています。運用時は実環境で同じ操作を行い、該当箇所のスクリーンショットを差し込んでください。なお、各サービスのMCP対応状況・API仕様・画面構成・料金プランは変更される場合があります。導入前に必ず各社の公式ドキュメントで最新情報をご確認ください。</w:t>
      </w:r>
    </w:p>
    <w:p>
      <w:pPr>
        <w:spacing w:after="80" w:line="283" w:lineRule="auto"/>
        <w:jc w:val="center"/>
      </w:pPr>
      <w:r>
        <w:rPr>
          <w:rFonts w:ascii="Arial" w:hAnsi="Arial" w:eastAsia="IPAGothic"/>
          <w:b w:val="0"/>
          <w:color w:val="6C757D"/>
          <w:sz w:val="19"/>
        </w:rPr>
        <w:t>作成日: 2026年6月28日 / 基準記事: HubSpot『国内の主要SFAツール10選』</w:t>
      </w:r>
    </w:p>
    <w:p>
      <w:r>
        <w:br w:type="page"/>
      </w:r>
    </w:p>
    <w:p>
      <w:pPr>
        <w:spacing w:before="80"/>
        <w:shd w:val="clear" w:fill="F8FAFC"/>
        <w:pBdr>
          <w:top w:val="dashed" w:sz="8" w:space="8" w:color="CED4DA"/>
          <w:left w:val="dashed" w:sz="8" w:space="8" w:color="CED4DA"/>
          <w:bottom w:val="dashed" w:sz="8" w:space="8" w:color="CED4DA"/>
          <w:right w:val="dashed" w:sz="8" w:space="8" w:color="CED4DA"/>
        </w:pBdr>
      </w:pPr>
      <w:r>
        <w:rPr>
          <w:rFonts w:ascii="Arial" w:hAnsi="Arial" w:eastAsia="IPAGothic"/>
          <w:b/>
          <w:color w:val="2D3748"/>
          <w:sz w:val="21"/>
        </w:rPr>
        <w:t>図の見方</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赤い枠 … 操作する対象(クリック/入力する箇所)を示します。</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番号バッジ ①②③ … 操作の順序と、右側の注釈に対応します。</w:t>
      </w:r>
    </w:p>
    <w:p>
      <w:pPr>
        <w:shd w:val="clear" w:fill="F8FAFC"/>
        <w:pBdr>
          <w:top w:val="dashed" w:sz="8" w:space="8" w:color="CED4DA"/>
          <w:left w:val="dashed" w:sz="8" w:space="8" w:color="CED4DA"/>
          <w:bottom w:val="dashed" w:sz="8" w:space="8" w:color="CED4DA"/>
          <w:right w:val="dashed" w:sz="8" w:space="8" w:color="CED4DA"/>
        </w:pBdr>
        <w:spacing w:after="200"/>
      </w:pPr>
      <w:r>
        <w:rPr>
          <w:rFonts w:ascii="Arial" w:hAnsi="Arial" w:eastAsia="IPAGothic"/>
          <w:b w:val="0"/>
          <w:sz w:val="20"/>
        </w:rPr>
        <w:t>オレンジの破線枠『実スクリーンショット差込欄』… 実環境で撮影した画面を貼り付ける場所です。</w:t>
      </w:r>
    </w:p>
    <w:p>
      <w:pPr>
        <w:spacing w:before="280" w:after="160"/>
        <w:pBdr>
          <w:bottom w:val="single" w:sz="10" w:space="4" w:color="255FB5"/>
        </w:pBdr>
      </w:pPr>
      <w:r>
        <w:rPr>
          <w:rFonts w:ascii="Arial" w:hAnsi="Arial" w:eastAsia="IPAGothic"/>
          <w:b/>
          <w:color w:val="2D3748"/>
          <w:sz w:val="31"/>
        </w:rPr>
        <w:t>1. 本サービスと Claude 連携の概要</w:t>
      </w:r>
    </w:p>
    <w:p>
      <w:pPr>
        <w:spacing w:after="120" w:line="283" w:lineRule="auto"/>
      </w:pPr>
      <w:r>
        <w:rPr>
          <w:rFonts w:ascii="Arial" w:hAnsi="Arial" w:eastAsia="IPAGothic"/>
          <w:b w:val="0"/>
          <w:sz w:val="21"/>
        </w:rPr>
        <w:t>Microsoft Dynamics 365 Sales は、Microsoft 365 と統合された大規模向けSFAです。データは Dataverse に格納され、Web API で参照/更新できます。Microsoft 製品は Copilot を中心にMCP対応が進んでいますが、Claude からは Zapier/Make 等のiPaaS、または Dataverse Web API をMCP化して連携します。</w:t>
      </w:r>
    </w:p>
    <w:p>
      <w:pPr>
        <w:spacing w:before="280" w:after="160"/>
        <w:pBdr>
          <w:bottom w:val="single" w:sz="10" w:space="4" w:color="255FB5"/>
        </w:pBdr>
      </w:pPr>
      <w:r>
        <w:rPr>
          <w:rFonts w:ascii="Arial" w:hAnsi="Arial" w:eastAsia="IPAGothic"/>
          <w:b/>
          <w:color w:val="2D3748"/>
          <w:sz w:val="31"/>
        </w:rPr>
        <w:t>2. 連携方式と構成</w:t>
      </w:r>
    </w:p>
    <w:p>
      <w:pPr>
        <w:spacing w:after="120" w:line="283" w:lineRule="auto"/>
      </w:pPr>
      <w:r>
        <w:rPr>
          <w:rFonts w:ascii="Arial" w:hAnsi="Arial" w:eastAsia="IPAGothic"/>
          <w:b w:val="0"/>
          <w:sz w:val="21"/>
        </w:rPr>
        <w:t>推奨は2通り。(A) Zapier のMCPエンドポイント経由で Dynamics コネクタを操作。(B) Microsoft Entra ID(Azure AD)でアプリ登録し、Dataverse Web API をMCP化したサーバーで接続。既存のCopilotと役割分担しながら、Claudeで横断的な分析・整形を担わせる構成が現実的です。</w:t>
      </w:r>
    </w:p>
    <w:p>
      <w:pPr>
        <w:jc w:val="center"/>
      </w:pPr>
      <w:r>
        <w:drawing>
          <wp:inline xmlns:a="http://schemas.openxmlformats.org/drawingml/2006/main" xmlns:pic="http://schemas.openxmlformats.org/drawingml/2006/picture">
            <wp:extent cx="5903999" cy="2301559"/>
            <wp:docPr id="1" name="Picture 1"/>
            <wp:cNvGraphicFramePr>
              <a:graphicFrameLocks noChangeAspect="1"/>
            </wp:cNvGraphicFramePr>
            <a:graphic>
              <a:graphicData uri="http://schemas.openxmlformats.org/drawingml/2006/picture">
                <pic:pic>
                  <pic:nvPicPr>
                    <pic:cNvPr id="0" name="08_Dynamics365_Sales_arch.png"/>
                    <pic:cNvPicPr/>
                  </pic:nvPicPr>
                  <pic:blipFill>
                    <a:blip r:embed="rId9"/>
                    <a:stretch>
                      <a:fillRect/>
                    </a:stretch>
                  </pic:blipFill>
                  <pic:spPr>
                    <a:xfrm>
                      <a:off x="0" y="0"/>
                      <a:ext cx="5903999" cy="2301559"/>
                    </a:xfrm>
                    <a:prstGeom prst="rect"/>
                  </pic:spPr>
                </pic:pic>
              </a:graphicData>
            </a:graphic>
          </wp:inline>
        </w:drawing>
      </w:r>
    </w:p>
    <w:p>
      <w:pPr>
        <w:spacing w:after="200"/>
        <w:jc w:val="center"/>
      </w:pPr>
      <w:r>
        <w:rPr>
          <w:rFonts w:ascii="Arial" w:hAnsi="Arial" w:eastAsia="IPAGothic"/>
          <w:b w:val="0"/>
          <w:color w:val="6C757D"/>
          <w:sz w:val="18"/>
        </w:rPr>
        <w:t>図1: Microsoft Dynamics 365 Sales と Claude の連携構成図</w:t>
      </w:r>
    </w:p>
    <w:p>
      <w:pPr>
        <w:jc w:val="center"/>
      </w:pPr>
      <w:r>
        <w:drawing>
          <wp:inline xmlns:a="http://schemas.openxmlformats.org/drawingml/2006/main" xmlns:pic="http://schemas.openxmlformats.org/drawingml/2006/picture">
            <wp:extent cx="5903999" cy="1200813"/>
            <wp:docPr id="2" name="Picture 2"/>
            <wp:cNvGraphicFramePr>
              <a:graphicFrameLocks noChangeAspect="1"/>
            </wp:cNvGraphicFramePr>
            <a:graphic>
              <a:graphicData uri="http://schemas.openxmlformats.org/drawingml/2006/picture">
                <pic:pic>
                  <pic:nvPicPr>
                    <pic:cNvPr id="0" name="08_Dynamics365_Sales_flow.png"/>
                    <pic:cNvPicPr/>
                  </pic:nvPicPr>
                  <pic:blipFill>
                    <a:blip r:embed="rId10"/>
                    <a:stretch>
                      <a:fillRect/>
                    </a:stretch>
                  </pic:blipFill>
                  <pic:spPr>
                    <a:xfrm>
                      <a:off x="0" y="0"/>
                      <a:ext cx="5903999" cy="1200813"/>
                    </a:xfrm>
                    <a:prstGeom prst="rect"/>
                  </pic:spPr>
                </pic:pic>
              </a:graphicData>
            </a:graphic>
          </wp:inline>
        </w:drawing>
      </w:r>
    </w:p>
    <w:p>
      <w:pPr>
        <w:spacing w:after="200"/>
        <w:jc w:val="center"/>
      </w:pPr>
      <w:r>
        <w:rPr>
          <w:rFonts w:ascii="Arial" w:hAnsi="Arial" w:eastAsia="IPAGothic"/>
          <w:b w:val="0"/>
          <w:color w:val="6C757D"/>
          <w:sz w:val="18"/>
        </w:rPr>
        <w:t>図2: 導入ステップの全体像</w:t>
      </w:r>
    </w:p>
    <w:p>
      <w:pPr>
        <w:spacing w:before="280" w:after="160"/>
        <w:pBdr>
          <w:bottom w:val="single" w:sz="10" w:space="4" w:color="255FB5"/>
        </w:pBdr>
      </w:pPr>
      <w:r>
        <w:rPr>
          <w:rFonts w:ascii="Arial" w:hAnsi="Arial" w:eastAsia="IPAGothic"/>
          <w:b/>
          <w:color w:val="2D3748"/>
          <w:sz w:val="31"/>
        </w:rPr>
        <w:t>3. 事前準備(前提条件)</w:t>
      </w:r>
    </w:p>
    <w:p>
      <w:pPr>
        <w:spacing w:after="60" w:line="276" w:lineRule="auto"/>
        <w:ind w:left="340"/>
      </w:pPr>
      <w:r>
        <w:rPr>
          <w:rFonts w:ascii="Arial" w:hAnsi="Arial" w:eastAsia="IPAGothic"/>
          <w:b w:val="0"/>
          <w:sz w:val="21"/>
        </w:rPr>
        <w:t>・Dynamics 365 Sales ライセンスと対象テーブルへの権限</w:t>
      </w:r>
    </w:p>
    <w:p>
      <w:pPr>
        <w:spacing w:after="60" w:line="276" w:lineRule="auto"/>
        <w:ind w:left="340"/>
      </w:pPr>
      <w:r>
        <w:rPr>
          <w:rFonts w:ascii="Arial" w:hAnsi="Arial" w:eastAsia="IPAGothic"/>
          <w:b w:val="0"/>
          <w:sz w:val="21"/>
        </w:rPr>
        <w:t>・Microsoft Entra ID(Azure AD)でのアプリ登録(クライアントID/シークレット)</w:t>
      </w:r>
    </w:p>
    <w:p>
      <w:pPr>
        <w:spacing w:after="60" w:line="276" w:lineRule="auto"/>
        <w:ind w:left="340"/>
      </w:pPr>
      <w:r>
        <w:rPr>
          <w:rFonts w:ascii="Arial" w:hAnsi="Arial" w:eastAsia="IPAGothic"/>
          <w:b w:val="0"/>
          <w:sz w:val="21"/>
        </w:rPr>
        <w:t>・(A)Zapierアカウント / (B)カスタムMCPの実行環境</w:t>
      </w:r>
    </w:p>
    <w:p>
      <w:pPr>
        <w:spacing w:after="60" w:line="276" w:lineRule="auto"/>
        <w:ind w:left="340"/>
      </w:pPr>
      <w:r>
        <w:rPr>
          <w:rFonts w:ascii="Arial" w:hAnsi="Arial" w:eastAsia="IPAGothic"/>
          <w:b w:val="0"/>
          <w:sz w:val="21"/>
        </w:rPr>
        <w:t>・Claude(コネクタ対応)または Claude Desktop</w:t>
      </w:r>
    </w:p>
    <w:p>
      <w:pPr>
        <w:spacing w:before="280" w:after="160"/>
        <w:pBdr>
          <w:bottom w:val="single" w:sz="10" w:space="4" w:color="255FB5"/>
        </w:pBdr>
      </w:pPr>
      <w:r>
        <w:rPr>
          <w:rFonts w:ascii="Arial" w:hAnsi="Arial" w:eastAsia="IPAGothic"/>
          <w:b/>
          <w:color w:val="2D3748"/>
          <w:sz w:val="31"/>
        </w:rPr>
        <w:t>4. 連携手順</w:t>
      </w:r>
    </w:p>
    <w:p>
      <w:pPr>
        <w:spacing w:before="160" w:after="80"/>
      </w:pPr>
      <w:r>
        <w:rPr>
          <w:rFonts w:ascii="Arial" w:hAnsi="Arial" w:eastAsia="IPAGothic"/>
          <w:b/>
          <w:color w:val="255FB5"/>
          <w:sz w:val="24"/>
        </w:rPr>
        <w:t>■ 手順1: サービス側で認証情報を発行する</w:t>
      </w:r>
    </w:p>
    <w:p>
      <w:pPr>
        <w:jc w:val="center"/>
      </w:pPr>
      <w:r>
        <w:drawing>
          <wp:inline xmlns:a="http://schemas.openxmlformats.org/drawingml/2006/main" xmlns:pic="http://schemas.openxmlformats.org/drawingml/2006/picture">
            <wp:extent cx="5903999" cy="3002033"/>
            <wp:docPr id="3" name="Picture 3"/>
            <wp:cNvGraphicFramePr>
              <a:graphicFrameLocks noChangeAspect="1"/>
            </wp:cNvGraphicFramePr>
            <a:graphic>
              <a:graphicData uri="http://schemas.openxmlformats.org/drawingml/2006/picture">
                <pic:pic>
                  <pic:nvPicPr>
                    <pic:cNvPr id="0" name="08_Dynamics365_Sales_token.png"/>
                    <pic:cNvPicPr/>
                  </pic:nvPicPr>
                  <pic:blipFill>
                    <a:blip r:embed="rId11"/>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図3: Microsoft Entra ID — アプリの登録(操作対象を赤枠で表示)</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実際のEntra IDアプリ登録/API許可画面を貼り付け</w:t>
      </w:r>
    </w:p>
    <w:p>
      <w:pPr>
        <w:spacing w:before="160" w:after="80"/>
      </w:pPr>
      <w:r>
        <w:rPr>
          <w:rFonts w:ascii="Arial" w:hAnsi="Arial" w:eastAsia="IPAGothic"/>
          <w:b/>
          <w:color w:val="255FB5"/>
          <w:sz w:val="24"/>
        </w:rPr>
        <w:t>■ 手順2: Claude にMCPを登録する</w:t>
      </w:r>
    </w:p>
    <w:p>
      <w:pPr>
        <w:jc w:val="center"/>
      </w:pPr>
      <w:r>
        <w:drawing>
          <wp:inline xmlns:a="http://schemas.openxmlformats.org/drawingml/2006/main" xmlns:pic="http://schemas.openxmlformats.org/drawingml/2006/picture">
            <wp:extent cx="5903999" cy="3002033"/>
            <wp:docPr id="4" name="Picture 4"/>
            <wp:cNvGraphicFramePr>
              <a:graphicFrameLocks noChangeAspect="1"/>
            </wp:cNvGraphicFramePr>
            <a:graphic>
              <a:graphicData uri="http://schemas.openxmlformats.org/drawingml/2006/picture">
                <pic:pic>
                  <pic:nvPicPr>
                    <pic:cNvPr id="0" name="08_Dynamics365_Sales_connect.png"/>
                    <pic:cNvPicPr/>
                  </pic:nvPicPr>
                  <pic:blipFill>
                    <a:blip r:embed="rId12"/>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図4: Zapier MCP の設定画面(iPaaS経由)</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実際のZapier(Dynamics)アクション設定画面を貼り付け</w:t>
      </w:r>
    </w:p>
    <w:p>
      <w:pPr>
        <w:spacing w:before="160" w:after="80"/>
      </w:pPr>
      <w:r>
        <w:rPr>
          <w:rFonts w:ascii="Arial" w:hAnsi="Arial" w:eastAsia="IPAGothic"/>
          <w:b/>
          <w:color w:val="255FB5"/>
          <w:sz w:val="24"/>
        </w:rPr>
        <w:t>■ 手順3: 動作確認(参照系でテスト)</w:t>
      </w:r>
    </w:p>
    <w:p>
      <w:pPr>
        <w:spacing w:after="120" w:line="283" w:lineRule="auto"/>
      </w:pPr>
      <w:r>
        <w:rPr>
          <w:rFonts w:ascii="Arial" w:hAnsi="Arial" w:eastAsia="IPAGothic"/>
          <w:b w:val="0"/>
          <w:sz w:val="21"/>
        </w:rPr>
        <w:t>まずは『データを5件表示して』のような参照のみの指示で接続を確認します。正しく取得できれば連携は成功です。続いて作成・更新の操作に進みます。</w:t>
      </w:r>
    </w:p>
    <w:p>
      <w:pPr>
        <w:spacing w:before="280" w:after="160"/>
        <w:pBdr>
          <w:bottom w:val="single" w:sz="10" w:space="4" w:color="255FB5"/>
        </w:pBdr>
      </w:pPr>
      <w:r>
        <w:rPr>
          <w:rFonts w:ascii="Arial" w:hAnsi="Arial" w:eastAsia="IPAGothic"/>
          <w:b/>
          <w:color w:val="2D3748"/>
          <w:sz w:val="31"/>
        </w:rPr>
        <w:t>5. 活用例・使用例</w:t>
      </w:r>
    </w:p>
    <w:p>
      <w:pPr>
        <w:spacing w:after="120" w:line="283" w:lineRule="auto"/>
      </w:pPr>
      <w:r>
        <w:rPr>
          <w:rFonts w:ascii="Arial" w:hAnsi="Arial" w:eastAsia="IPAGothic"/>
          <w:b w:val="0"/>
          <w:sz w:val="21"/>
        </w:rPr>
        <w:t>実際のチャットでの活用イメージを示します。自然言語で指示すると、ClaudeがMCPツールを選んで実行し、結果を要約して回答します。</w:t>
      </w:r>
    </w:p>
    <w:p>
      <w:pPr>
        <w:jc w:val="center"/>
      </w:pPr>
      <w:r>
        <w:drawing>
          <wp:inline xmlns:a="http://schemas.openxmlformats.org/drawingml/2006/main" xmlns:pic="http://schemas.openxmlformats.org/drawingml/2006/picture">
            <wp:extent cx="5903999" cy="3102101"/>
            <wp:docPr id="5" name="Picture 5"/>
            <wp:cNvGraphicFramePr>
              <a:graphicFrameLocks noChangeAspect="1"/>
            </wp:cNvGraphicFramePr>
            <a:graphic>
              <a:graphicData uri="http://schemas.openxmlformats.org/drawingml/2006/picture">
                <pic:pic>
                  <pic:nvPicPr>
                    <pic:cNvPr id="0" name="08_Dynamics365_Sales_chat.png"/>
                    <pic:cNvPicPr/>
                  </pic:nvPicPr>
                  <pic:blipFill>
                    <a:blip r:embed="rId13"/>
                    <a:stretch>
                      <a:fillRect/>
                    </a:stretch>
                  </pic:blipFill>
                  <pic:spPr>
                    <a:xfrm>
                      <a:off x="0" y="0"/>
                      <a:ext cx="5903999" cy="3102101"/>
                    </a:xfrm>
                    <a:prstGeom prst="rect"/>
                  </pic:spPr>
                </pic:pic>
              </a:graphicData>
            </a:graphic>
          </wp:inline>
        </w:drawing>
      </w:r>
    </w:p>
    <w:p>
      <w:pPr>
        <w:spacing w:after="200"/>
        <w:jc w:val="center"/>
      </w:pPr>
      <w:r>
        <w:rPr>
          <w:rFonts w:ascii="Arial" w:hAnsi="Arial" w:eastAsia="IPAGothic"/>
          <w:b w:val="0"/>
          <w:color w:val="6C757D"/>
          <w:sz w:val="18"/>
        </w:rPr>
        <w:t>図5: 活用例 ―『パイプラインの健全性チェック』のチャット例</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実際のClaudeチャット画面(指示と回答)を貼り付け</w:t>
      </w:r>
    </w:p>
    <w:p>
      <w:pPr>
        <w:spacing w:before="160" w:after="80"/>
      </w:pPr>
      <w:r>
        <w:rPr>
          <w:rFonts w:ascii="Arial" w:hAnsi="Arial" w:eastAsia="IPAGothic"/>
          <w:b/>
          <w:color w:val="255FB5"/>
          <w:sz w:val="24"/>
        </w:rPr>
        <w:t>■ 活用例1: パイプラインの健全性チェック</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「今四半期の商談を確度別に集計して、失注リスクの高い大型案件を教えて。」</w:t>
      </w:r>
    </w:p>
    <w:p>
      <w:pPr>
        <w:spacing w:after="120" w:line="283" w:lineRule="auto"/>
      </w:pPr>
      <w:r>
        <w:rPr>
          <w:rFonts w:ascii="Arial" w:hAnsi="Arial" w:eastAsia="IPAGothic"/>
          <w:b w:val="0"/>
          <w:sz w:val="20"/>
        </w:rPr>
        <w:t>▶ 期待される動作: Dataverseの商談データを横断集計し、リスク案件を早期に発見します。</w:t>
      </w:r>
    </w:p>
    <w:p>
      <w:pPr>
        <w:spacing w:after="120" w:line="283" w:lineRule="auto"/>
      </w:pPr>
      <w:r>
        <w:rPr>
          <w:rFonts w:ascii="Arial" w:hAnsi="Arial" w:eastAsia="IPAGothic"/>
          <w:b w:val="0"/>
          <w:color w:val="6C757D"/>
          <w:sz w:val="19"/>
        </w:rPr>
        <w:t>▶ 呼び出されるMCPツール(例): dynamics.query_opportunities</w:t>
      </w:r>
    </w:p>
    <w:p>
      <w:pPr>
        <w:spacing w:before="160" w:after="80"/>
      </w:pPr>
      <w:r>
        <w:rPr>
          <w:rFonts w:ascii="Arial" w:hAnsi="Arial" w:eastAsia="IPAGothic"/>
          <w:b/>
          <w:color w:val="255FB5"/>
          <w:sz w:val="24"/>
        </w:rPr>
        <w:t>■ 活用例2: 取引先の関係性整理</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「U社グループの関連取引先と進行中の商談を一覧にして。」</w:t>
      </w:r>
    </w:p>
    <w:p>
      <w:pPr>
        <w:spacing w:after="120" w:line="283" w:lineRule="auto"/>
      </w:pPr>
      <w:r>
        <w:rPr>
          <w:rFonts w:ascii="Arial" w:hAnsi="Arial" w:eastAsia="IPAGothic"/>
          <w:b w:val="0"/>
          <w:sz w:val="20"/>
        </w:rPr>
        <w:t>▶ 期待される動作: 複雑な取引先階層を整理し、アカウント戦略の検討を支援します。</w:t>
      </w:r>
    </w:p>
    <w:p>
      <w:pPr>
        <w:spacing w:after="120" w:line="283" w:lineRule="auto"/>
      </w:pPr>
      <w:r>
        <w:rPr>
          <w:rFonts w:ascii="Arial" w:hAnsi="Arial" w:eastAsia="IPAGothic"/>
          <w:b w:val="0"/>
          <w:color w:val="6C757D"/>
          <w:sz w:val="19"/>
        </w:rPr>
        <w:t>▶ 呼び出されるMCPツール(例): dynamics.query_accounts</w:t>
      </w:r>
    </w:p>
    <w:p>
      <w:pPr>
        <w:spacing w:before="160" w:after="80"/>
      </w:pPr>
      <w:r>
        <w:rPr>
          <w:rFonts w:ascii="Arial" w:hAnsi="Arial" w:eastAsia="IPAGothic"/>
          <w:b/>
          <w:color w:val="255FB5"/>
          <w:sz w:val="24"/>
        </w:rPr>
        <w:t>■ 活用例3: Copilotとの役割分担</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「Copilotが作成した提案メモを取り込み、競合比較の観点で改善点を指摘して。」</w:t>
      </w:r>
    </w:p>
    <w:p>
      <w:pPr>
        <w:spacing w:after="120" w:line="283" w:lineRule="auto"/>
      </w:pPr>
      <w:r>
        <w:rPr>
          <w:rFonts w:ascii="Arial" w:hAnsi="Arial" w:eastAsia="IPAGothic"/>
          <w:b w:val="0"/>
          <w:sz w:val="20"/>
        </w:rPr>
        <w:t>▶ 期待される動作: Copilotの生成物をClaudeでレビュー・補強する二段構えの活用ができます。</w:t>
      </w:r>
    </w:p>
    <w:p>
      <w:pPr>
        <w:spacing w:after="120" w:line="283" w:lineRule="auto"/>
      </w:pPr>
      <w:r>
        <w:rPr>
          <w:rFonts w:ascii="Arial" w:hAnsi="Arial" w:eastAsia="IPAGothic"/>
          <w:b w:val="0"/>
          <w:color w:val="6C757D"/>
          <w:sz w:val="19"/>
        </w:rPr>
        <w:t>▶ 呼び出されるMCPツール(例): dynamics.get_record</w:t>
      </w:r>
    </w:p>
    <w:p>
      <w:pPr>
        <w:spacing w:before="280" w:after="160"/>
        <w:pBdr>
          <w:bottom w:val="single" w:sz="10" w:space="4" w:color="255FB5"/>
        </w:pBdr>
      </w:pPr>
      <w:r>
        <w:rPr>
          <w:rFonts w:ascii="Arial" w:hAnsi="Arial" w:eastAsia="IPAGothic"/>
          <w:b/>
          <w:color w:val="2D3748"/>
          <w:sz w:val="31"/>
        </w:rPr>
        <w:t>6. セキュリティ・運用上の注意</w:t>
      </w:r>
    </w:p>
    <w:p>
      <w:pPr>
        <w:spacing w:after="60" w:line="276" w:lineRule="auto"/>
        <w:ind w:left="340"/>
      </w:pPr>
      <w:r>
        <w:rPr>
          <w:rFonts w:ascii="Arial" w:hAnsi="Arial" w:eastAsia="IPAGothic"/>
          <w:b w:val="0"/>
          <w:sz w:val="21"/>
        </w:rPr>
        <w:t>・認証はEntra IDのアプリ登録が前提。シークレットの失効管理と最小権限を徹底する。</w:t>
      </w:r>
    </w:p>
    <w:p>
      <w:pPr>
        <w:spacing w:after="60" w:line="276" w:lineRule="auto"/>
        <w:ind w:left="340"/>
      </w:pPr>
      <w:r>
        <w:rPr>
          <w:rFonts w:ascii="Arial" w:hAnsi="Arial" w:eastAsia="IPAGothic"/>
          <w:b w:val="0"/>
          <w:sz w:val="21"/>
        </w:rPr>
        <w:t>・Microsoft純正のCopilot/MCP対応も進行中のため、最新の対応状況を確認して構成を選ぶ。</w:t>
      </w:r>
    </w:p>
    <w:p>
      <w:pPr>
        <w:spacing w:before="80"/>
        <w:shd w:val="clear" w:fill="FEF2F2"/>
        <w:pBdr>
          <w:top w:val="dashed" w:sz="8" w:space="8" w:color="DC2626"/>
          <w:left w:val="dashed" w:sz="8" w:space="8" w:color="DC2626"/>
          <w:bottom w:val="dashed" w:sz="8" w:space="8" w:color="DC2626"/>
          <w:right w:val="dashed" w:sz="8" w:space="8" w:color="DC2626"/>
        </w:pBdr>
      </w:pPr>
      <w:r>
        <w:rPr>
          <w:rFonts w:ascii="Arial" w:hAnsi="Arial" w:eastAsia="IPAGothic"/>
          <w:b/>
          <w:color w:val="B91C1C"/>
          <w:sz w:val="21"/>
        </w:rPr>
        <w:t>共通の注意</w:t>
      </w:r>
    </w:p>
    <w:p>
      <w:pPr>
        <w:shd w:val="clear" w:fill="FEF2F2"/>
        <w:pBdr>
          <w:top w:val="dashed" w:sz="8" w:space="8" w:color="DC2626"/>
          <w:left w:val="dashed" w:sz="8" w:space="8" w:color="DC2626"/>
          <w:bottom w:val="dashed" w:sz="8" w:space="8" w:color="DC2626"/>
          <w:right w:val="dashed" w:sz="8" w:space="8" w:color="DC2626"/>
        </w:pBdr>
        <w:spacing w:after="40"/>
      </w:pPr>
      <w:r>
        <w:rPr>
          <w:rFonts w:ascii="Arial" w:hAnsi="Arial" w:eastAsia="IPAGothic"/>
          <w:b w:val="0"/>
          <w:sz w:val="20"/>
        </w:rPr>
        <w:t>APIトークン/シークレットは秘匿情報です。共有・コミットせず、最小権限で発行してください。</w:t>
      </w:r>
    </w:p>
    <w:p>
      <w:pPr>
        <w:shd w:val="clear" w:fill="FEF2F2"/>
        <w:pBdr>
          <w:top w:val="dashed" w:sz="8" w:space="8" w:color="DC2626"/>
          <w:left w:val="dashed" w:sz="8" w:space="8" w:color="DC2626"/>
          <w:bottom w:val="dashed" w:sz="8" w:space="8" w:color="DC2626"/>
          <w:right w:val="dashed" w:sz="8" w:space="8" w:color="DC2626"/>
        </w:pBdr>
        <w:spacing w:after="200"/>
      </w:pPr>
      <w:r>
        <w:rPr>
          <w:rFonts w:ascii="Arial" w:hAnsi="Arial" w:eastAsia="IPAGothic"/>
          <w:b w:val="0"/>
          <w:sz w:val="20"/>
        </w:rPr>
        <w:t>作成・更新・削除などの書き込み操作は、参照のみで検証してから段階的に許可してください。</w:t>
      </w:r>
    </w:p>
    <w:p>
      <w:pPr>
        <w:spacing w:before="280" w:after="160"/>
        <w:pBdr>
          <w:bottom w:val="single" w:sz="10" w:space="4" w:color="255FB5"/>
        </w:pBdr>
      </w:pPr>
      <w:r>
        <w:rPr>
          <w:rFonts w:ascii="Arial" w:hAnsi="Arial" w:eastAsia="IPAGothic"/>
          <w:b/>
          <w:color w:val="2D3748"/>
          <w:sz w:val="31"/>
        </w:rPr>
        <w:t>7. 参考リンク</w:t>
      </w:r>
    </w:p>
    <w:p>
      <w:pPr>
        <w:ind w:left="340"/>
      </w:pPr>
      <w:r>
        <w:rPr>
          <w:rFonts w:ascii="Arial" w:hAnsi="Arial" w:eastAsia="IPAGothic"/>
          <w:b w:val="0"/>
          <w:sz w:val="20"/>
        </w:rPr>
        <w:t xml:space="preserve">・Dataverse Web API(Microsoft Learn): </w:t>
      </w:r>
      <w:r>
        <w:rPr>
          <w:rFonts w:ascii="Arial" w:hAnsi="Arial" w:eastAsia="IPAGothic"/>
          <w:b w:val="0"/>
          <w:color w:val="255FB5"/>
          <w:sz w:val="19"/>
        </w:rPr>
        <w:t>https://learn.microsoft.com/power-apps/developer/data-platform/webapi/overview</w:t>
      </w:r>
    </w:p>
    <w:p>
      <w:pPr>
        <w:ind w:left="340"/>
      </w:pPr>
      <w:r>
        <w:rPr>
          <w:rFonts w:ascii="Arial" w:hAnsi="Arial" w:eastAsia="IPAGothic"/>
          <w:b w:val="0"/>
          <w:sz w:val="20"/>
        </w:rPr>
        <w:t xml:space="preserve">・元記事(SFA比較): </w:t>
      </w:r>
      <w:r>
        <w:rPr>
          <w:rFonts w:ascii="Arial" w:hAnsi="Arial" w:eastAsia="IPAGothic"/>
          <w:b w:val="0"/>
          <w:color w:val="255FB5"/>
          <w:sz w:val="19"/>
        </w:rPr>
        <w:t>https://blog.hubspot.jp/sales/sfa-comparison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IPA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