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Knowledge Suite</w:t>
      </w:r>
    </w:p>
    <w:p>
      <w:pPr>
        <w:spacing w:after="360" w:line="283" w:lineRule="auto"/>
        <w:jc w:val="center"/>
      </w:pPr>
      <w:r>
        <w:rPr>
          <w:rFonts w:ascii="Arial" w:hAnsi="Arial" w:eastAsia="IPAGothic"/>
          <w:b w:val="0"/>
          <w:color w:val="6C757D"/>
          <w:sz w:val="25"/>
        </w:rPr>
        <w:t>グループウェア+SFAをAPI連携し、横断データをAIで要約</w:t>
      </w:r>
    </w:p>
    <w:p>
      <w:pPr>
        <w:spacing w:after="360" w:line="283" w:lineRule="auto"/>
        <w:jc w:val="center"/>
      </w:pPr>
      <w:r>
        <w:rPr>
          <w:rFonts w:ascii="Arial" w:hAnsi="Arial" w:eastAsia="IPAGothic"/>
          <w:b/>
          <w:color w:val="255FB5"/>
          <w:sz w:val="22"/>
        </w:rPr>
        <w:t>提供元: ブルーテック</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Knowledge Suite(ブルーテック)は、グループウェア・SFA・名刺管理などを統合したオールインワン型サービスです。公式MCPは提供されていませんが、API連携を備えており、iPaaSまたはカスタムMCPでClaudeとつなぐことで、営業データとグループウェア情報を横断した要約・分析ができま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推奨は (A) Zapier のMCPエンドポイント経由、(B) APIをMCP化したカスタムサーバー。複数機能を統合した特性を活かし、横断的な情報集約をClaudeに任せる構成が有効です。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10_Knowledge_Suite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Knowledge Suite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10_Knowledge_Suite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・Knowledge Suite のアカウントとAPI利用権限/認証情報</w:t>
      </w:r>
    </w:p>
    <w:p>
      <w:pPr>
        <w:spacing w:after="60" w:line="276" w:lineRule="auto"/>
        <w:ind w:left="340"/>
      </w:pPr>
      <w:r>
        <w:rPr>
          <w:rFonts w:ascii="Arial" w:hAnsi="Arial" w:eastAsia="IPAGothic"/>
          <w:b w:val="0"/>
          <w:sz w:val="21"/>
        </w:rPr>
        <w:t>・(A)Zapierアカウント / (B)カスタムMCPの実行環境</w:t>
      </w:r>
    </w:p>
    <w:p>
      <w:pPr>
        <w:spacing w:after="60" w:line="276" w:lineRule="auto"/>
        <w:ind w:left="340"/>
      </w:pPr>
      <w:r>
        <w:rPr>
          <w:rFonts w:ascii="Arial" w:hAnsi="Arial" w:eastAsia="IPAGothic"/>
          <w:b w:val="0"/>
          <w:sz w:val="21"/>
        </w:rPr>
        <w:t>・Claude(コネクタ対応)または Claude Desktop</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10_Knowledge_Suite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Knowledge Suite — 管理 &gt; 外部連携(API)(操作対象を赤枠で表示)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実際のAPI連携設定/認証キー画面を貼り付け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002033"/>
            <wp:docPr id="4" name="Picture 4"/>
            <wp:cNvGraphicFramePr>
              <a:graphicFrameLocks noChangeAspect="1"/>
            </wp:cNvGraphicFramePr>
            <a:graphic>
              <a:graphicData uri="http://schemas.openxmlformats.org/drawingml/2006/picture">
                <pic:pic>
                  <pic:nvPicPr>
                    <pic:cNvPr id="0" name="10_Knowledge_Suite_connect.png"/>
                    <pic:cNvPicPr/>
                  </pic:nvPicPr>
                  <pic:blipFill>
                    <a:blip r:embed="rId12"/>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図4: Zapier MCP の設定画面(iPaaS経由)</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実際のZapier(Knowledge Suite)アクション設定画面を貼り付け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10_Knowledge_Suite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―『商談+日報の横断要約』のチャット例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商談+日報の横断要約</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「X社に関する商談と日報を横断して、これまでの経緯を時系列でまとめて。」</w:t>
      </w:r>
    </w:p>
    <w:p>
      <w:pPr>
        <w:spacing w:after="120" w:line="283" w:lineRule="auto"/>
      </w:pPr>
      <w:r>
        <w:rPr>
          <w:rFonts w:ascii="Arial" w:hAnsi="Arial" w:eastAsia="IPAGothic"/>
          <w:b w:val="0"/>
          <w:sz w:val="20"/>
        </w:rPr>
        <w:t>▶ 期待される動作: 分散した情報を一つの物語として整理し、引き継ぎや上申に活用できます。</w:t>
      </w:r>
    </w:p>
    <w:p>
      <w:pPr>
        <w:spacing w:after="120" w:line="283" w:lineRule="auto"/>
      </w:pPr>
      <w:r>
        <w:rPr>
          <w:rFonts w:ascii="Arial" w:hAnsi="Arial" w:eastAsia="IPAGothic"/>
          <w:b w:val="0"/>
          <w:color w:val="6C757D"/>
          <w:sz w:val="19"/>
        </w:rPr>
        <w:t>▶ 呼び出されるMCPツール(例): ks.search_records</w:t>
      </w:r>
    </w:p>
    <w:p>
      <w:pPr>
        <w:spacing w:before="160" w:after="80"/>
      </w:pPr>
      <w:r>
        <w:rPr>
          <w:rFonts w:ascii="Arial" w:hAnsi="Arial" w:eastAsia="IPAGothic"/>
          <w:b/>
          <w:color w:val="255FB5"/>
          <w:sz w:val="24"/>
        </w:rPr>
        <w:t>■ 活用例2: 名刺・顧客データの活用</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「先月交換した名刺のうち、まだ商談化していない見込み客を教えて。」</w:t>
      </w:r>
    </w:p>
    <w:p>
      <w:pPr>
        <w:spacing w:after="120" w:line="283" w:lineRule="auto"/>
      </w:pPr>
      <w:r>
        <w:rPr>
          <w:rFonts w:ascii="Arial" w:hAnsi="Arial" w:eastAsia="IPAGothic"/>
          <w:b w:val="0"/>
          <w:sz w:val="20"/>
        </w:rPr>
        <w:t>▶ 期待される動作: 名刺データを商談機会に変換し、機会損失を防ぎます。</w:t>
      </w:r>
    </w:p>
    <w:p>
      <w:pPr>
        <w:spacing w:after="120" w:line="283" w:lineRule="auto"/>
      </w:pPr>
      <w:r>
        <w:rPr>
          <w:rFonts w:ascii="Arial" w:hAnsi="Arial" w:eastAsia="IPAGothic"/>
          <w:b w:val="0"/>
          <w:color w:val="6C757D"/>
          <w:sz w:val="19"/>
        </w:rPr>
        <w:t>▶ 呼び出されるMCPツール(例): ks.search_customers</w:t>
      </w:r>
    </w:p>
    <w:p>
      <w:pPr>
        <w:spacing w:before="160" w:after="80"/>
      </w:pPr>
      <w:r>
        <w:rPr>
          <w:rFonts w:ascii="Arial" w:hAnsi="Arial" w:eastAsia="IPAGothic"/>
          <w:b/>
          <w:color w:val="255FB5"/>
          <w:sz w:val="24"/>
        </w:rPr>
        <w:t>■ 活用例3: 週次の活動レポート</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「今週の営業活動を部門横断で集計して、ハイライトを3点に整理して。」</w:t>
      </w:r>
    </w:p>
    <w:p>
      <w:pPr>
        <w:spacing w:after="120" w:line="283" w:lineRule="auto"/>
      </w:pPr>
      <w:r>
        <w:rPr>
          <w:rFonts w:ascii="Arial" w:hAnsi="Arial" w:eastAsia="IPAGothic"/>
          <w:b w:val="0"/>
          <w:sz w:val="20"/>
        </w:rPr>
        <w:t>▶ 期待される動作: オールインワンの強みを活かし、横断的な週次サマリを自動生成します。</w:t>
      </w:r>
    </w:p>
    <w:p>
      <w:pPr>
        <w:spacing w:after="120" w:line="283" w:lineRule="auto"/>
      </w:pPr>
      <w:r>
        <w:rPr>
          <w:rFonts w:ascii="Arial" w:hAnsi="Arial" w:eastAsia="IPAGothic"/>
          <w:b w:val="0"/>
          <w:color w:val="6C757D"/>
          <w:sz w:val="19"/>
        </w:rPr>
        <w:t>▶ 呼び出されるMCPツール(例): ks.search_reports</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・API仕様・対象データは提供元の規定に従う。統合サービスのため対象範囲を明確化する。</w:t>
      </w:r>
    </w:p>
    <w:p>
      <w:pPr>
        <w:spacing w:after="60" w:line="276" w:lineRule="auto"/>
        <w:ind w:left="340"/>
      </w:pPr>
      <w:r>
        <w:rPr>
          <w:rFonts w:ascii="Arial" w:hAnsi="Arial" w:eastAsia="IPAGothic"/>
          <w:b w:val="0"/>
          <w:sz w:val="21"/>
        </w:rPr>
        <w:t>・横断アクセスは情報集約に便利な反面、アクセス権限の設計を慎重に行う。</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・Knowledge Suite 公式: </w:t>
      </w:r>
      <w:r>
        <w:rPr>
          <w:rFonts w:ascii="Arial" w:hAnsi="Arial" w:eastAsia="IPAGothic"/>
          <w:b w:val="0"/>
          <w:color w:val="255FB5"/>
          <w:sz w:val="19"/>
        </w:rPr>
        <w:t>https://www.bluetec.co.jp/knowledgesuite/</w:t>
      </w:r>
    </w:p>
    <w:p>
      <w:pPr>
        <w:ind w:left="340"/>
      </w:pPr>
      <w:r>
        <w:rPr>
          <w:rFonts w:ascii="Arial" w:hAnsi="Arial" w:eastAsia="IPAGothic"/>
          <w:b w:val="0"/>
          <w:sz w:val="20"/>
        </w:rPr>
        <w:t xml:space="preserve">・元記事(SFA比較): </w:t>
      </w:r>
      <w:r>
        <w:rPr>
          <w:rFonts w:ascii="Arial" w:hAnsi="Arial" w:eastAsia="IPAGothic"/>
          <w:b w:val="0"/>
          <w:color w:val="255FB5"/>
          <w:sz w:val="19"/>
        </w:rPr>
        <w:t>https://blog.hubspot.jp/sales/sfa-comparison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