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E7F8" w14:textId="1F126F3C" w:rsidR="00A027A6" w:rsidRPr="002622EC" w:rsidRDefault="00A027A6" w:rsidP="00A027A6">
      <w:pPr>
        <w:widowControl/>
        <w:adjustRightInd w:val="0"/>
        <w:snapToGrid w:val="0"/>
        <w:spacing w:after="200" w:line="360" w:lineRule="auto"/>
        <w:jc w:val="center"/>
        <w:rPr>
          <w:rFonts w:ascii="Tahoma" w:eastAsia="微软雅黑" w:hAnsi="Tahoma" w:cs="Times New Roman"/>
          <w:kern w:val="0"/>
          <w:sz w:val="22"/>
        </w:rPr>
      </w:pPr>
      <w:r w:rsidRPr="002622EC">
        <w:rPr>
          <w:rFonts w:ascii="Tahoma" w:eastAsia="微软雅黑" w:hAnsi="Tahoma" w:cs="Times New Roman"/>
          <w:noProof/>
          <w:kern w:val="0"/>
          <w:sz w:val="22"/>
        </w:rPr>
        <w:drawing>
          <wp:inline distT="0" distB="0" distL="0" distR="0" wp14:anchorId="2CD8D5EF" wp14:editId="7C03C50C">
            <wp:extent cx="1967230" cy="452755"/>
            <wp:effectExtent l="0" t="0" r="0" b="4445"/>
            <wp:docPr id="88608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9682" r="9682"/>
                    <a:stretch>
                      <a:fillRect/>
                    </a:stretch>
                  </pic:blipFill>
                  <pic:spPr bwMode="auto">
                    <a:xfrm>
                      <a:off x="0" y="0"/>
                      <a:ext cx="1967230" cy="452755"/>
                    </a:xfrm>
                    <a:prstGeom prst="rect">
                      <a:avLst/>
                    </a:prstGeom>
                    <a:solidFill>
                      <a:srgbClr val="FF0000">
                        <a:alpha val="38000"/>
                      </a:srgbClr>
                    </a:solidFill>
                    <a:ln>
                      <a:noFill/>
                    </a:ln>
                  </pic:spPr>
                </pic:pic>
              </a:graphicData>
            </a:graphic>
          </wp:inline>
        </w:drawing>
      </w:r>
    </w:p>
    <w:p w14:paraId="48BE1346" w14:textId="77777777" w:rsidR="00A027A6" w:rsidRPr="002622EC" w:rsidRDefault="00A027A6" w:rsidP="00A027A6">
      <w:pPr>
        <w:widowControl/>
        <w:adjustRightInd w:val="0"/>
        <w:snapToGrid w:val="0"/>
        <w:spacing w:after="200" w:line="360" w:lineRule="auto"/>
        <w:ind w:firstLineChars="200" w:firstLine="440"/>
        <w:jc w:val="left"/>
        <w:rPr>
          <w:rFonts w:ascii="Tahoma" w:eastAsia="微软雅黑" w:hAnsi="Tahoma" w:cs="Times New Roman"/>
          <w:kern w:val="0"/>
          <w:sz w:val="22"/>
        </w:rPr>
      </w:pPr>
    </w:p>
    <w:p w14:paraId="3EF639C6" w14:textId="77777777" w:rsidR="00A027A6" w:rsidRPr="002622EC" w:rsidRDefault="00A027A6" w:rsidP="00A027A6">
      <w:pPr>
        <w:widowControl/>
        <w:adjustRightInd w:val="0"/>
        <w:snapToGrid w:val="0"/>
        <w:spacing w:after="200" w:line="360" w:lineRule="auto"/>
        <w:ind w:firstLineChars="200" w:firstLine="480"/>
        <w:jc w:val="left"/>
        <w:rPr>
          <w:rFonts w:ascii="Tahoma" w:eastAsia="微软雅黑" w:hAnsi="Tahoma" w:cs="Times New Roman"/>
          <w:kern w:val="0"/>
          <w:sz w:val="24"/>
          <w:szCs w:val="24"/>
        </w:rPr>
      </w:pPr>
    </w:p>
    <w:p w14:paraId="07133680" w14:textId="6DA7BF31" w:rsidR="00A027A6" w:rsidRPr="002622EC" w:rsidRDefault="00A027A6" w:rsidP="00A027A6">
      <w:pPr>
        <w:widowControl/>
        <w:adjustRightInd w:val="0"/>
        <w:snapToGrid w:val="0"/>
        <w:spacing w:after="200" w:line="360" w:lineRule="auto"/>
        <w:jc w:val="center"/>
        <w:rPr>
          <w:rFonts w:ascii="Tahoma" w:eastAsia="微软雅黑" w:hAnsi="Tahoma" w:cs="Times New Roman"/>
          <w:kern w:val="0"/>
          <w:sz w:val="24"/>
          <w:szCs w:val="24"/>
        </w:rPr>
      </w:pPr>
      <w:r w:rsidRPr="002622EC">
        <w:rPr>
          <w:rFonts w:ascii="Tahoma" w:eastAsia="微软雅黑" w:hAnsi="Tahoma" w:cs="Times New Roman" w:hint="eastAsia"/>
          <w:kern w:val="0"/>
          <w:sz w:val="52"/>
          <w:szCs w:val="52"/>
        </w:rPr>
        <w:t>项目报告</w:t>
      </w:r>
      <w:r w:rsidRPr="002622EC">
        <w:rPr>
          <w:rFonts w:ascii="Tahoma" w:eastAsia="微软雅黑" w:hAnsi="Tahoma" w:cs="Times New Roman" w:hint="eastAsia"/>
          <w:kern w:val="0"/>
          <w:sz w:val="52"/>
          <w:szCs w:val="52"/>
        </w:rPr>
        <w:t>1</w:t>
      </w:r>
      <w:r w:rsidR="007347AD" w:rsidRPr="002622EC">
        <w:rPr>
          <w:rFonts w:ascii="Tahoma" w:eastAsia="微软雅黑" w:hAnsi="Tahoma" w:cs="Times New Roman" w:hint="eastAsia"/>
          <w:kern w:val="0"/>
          <w:sz w:val="52"/>
          <w:szCs w:val="52"/>
        </w:rPr>
        <w:t>8</w:t>
      </w:r>
      <w:r w:rsidRPr="002622EC">
        <w:rPr>
          <w:rFonts w:ascii="Tahoma" w:eastAsia="微软雅黑" w:hAnsi="Tahoma" w:cs="Times New Roman" w:hint="eastAsia"/>
          <w:kern w:val="0"/>
          <w:sz w:val="52"/>
          <w:szCs w:val="52"/>
        </w:rPr>
        <w:t xml:space="preserve">  </w:t>
      </w:r>
      <w:r w:rsidR="007347AD" w:rsidRPr="002622EC">
        <w:rPr>
          <w:rFonts w:ascii="Tahoma" w:eastAsia="微软雅黑" w:hAnsi="Tahoma" w:cs="Times New Roman" w:hint="eastAsia"/>
          <w:kern w:val="0"/>
          <w:sz w:val="52"/>
          <w:szCs w:val="52"/>
        </w:rPr>
        <w:t>同步问题</w:t>
      </w:r>
      <w:r w:rsidRPr="002622EC">
        <w:rPr>
          <w:rFonts w:ascii="Tahoma" w:eastAsia="微软雅黑" w:hAnsi="Tahoma" w:cs="Times New Roman" w:hint="eastAsia"/>
          <w:kern w:val="0"/>
          <w:sz w:val="52"/>
          <w:szCs w:val="52"/>
        </w:rPr>
        <w:br/>
      </w:r>
    </w:p>
    <w:p w14:paraId="071E909D" w14:textId="5E7948A3" w:rsidR="00A027A6" w:rsidRPr="002622EC" w:rsidRDefault="00A027A6" w:rsidP="00A027A6">
      <w:pPr>
        <w:widowControl/>
        <w:adjustRightInd w:val="0"/>
        <w:snapToGrid w:val="0"/>
        <w:jc w:val="center"/>
        <w:rPr>
          <w:rFonts w:ascii="Tahoma" w:eastAsia="微软雅黑" w:hAnsi="Tahoma" w:cs="Times New Roman"/>
          <w:kern w:val="0"/>
          <w:sz w:val="52"/>
          <w:szCs w:val="52"/>
        </w:rPr>
      </w:pPr>
      <w:r w:rsidRPr="002622EC">
        <w:rPr>
          <w:rFonts w:ascii="Tahoma" w:eastAsia="微软雅黑" w:hAnsi="Tahoma" w:cs="Times New Roman"/>
          <w:noProof/>
          <w:kern w:val="0"/>
          <w:sz w:val="22"/>
        </w:rPr>
        <w:drawing>
          <wp:inline distT="0" distB="0" distL="0" distR="0" wp14:anchorId="15940D17" wp14:editId="1546F6DD">
            <wp:extent cx="5274310" cy="2341880"/>
            <wp:effectExtent l="0" t="0" r="2540" b="1270"/>
            <wp:docPr id="198134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A9E8EC8" w14:textId="77777777" w:rsidR="00A027A6" w:rsidRPr="002622EC" w:rsidRDefault="00A027A6" w:rsidP="00A027A6">
      <w:pPr>
        <w:widowControl/>
        <w:adjustRightInd w:val="0"/>
        <w:snapToGrid w:val="0"/>
        <w:spacing w:after="200"/>
        <w:ind w:firstLineChars="296" w:firstLine="2131"/>
        <w:jc w:val="left"/>
        <w:rPr>
          <w:rFonts w:ascii="Tahoma" w:eastAsia="微软雅黑" w:hAnsi="Tahoma" w:cs="Times New Roman"/>
          <w:kern w:val="0"/>
          <w:sz w:val="72"/>
          <w:szCs w:val="72"/>
        </w:rPr>
      </w:pPr>
    </w:p>
    <w:p w14:paraId="6FD86DE3" w14:textId="77777777" w:rsidR="00A027A6" w:rsidRPr="002622EC" w:rsidRDefault="00A027A6" w:rsidP="00A027A6">
      <w:pPr>
        <w:widowControl/>
        <w:adjustRightInd w:val="0"/>
        <w:snapToGrid w:val="0"/>
        <w:spacing w:after="200"/>
        <w:jc w:val="left"/>
        <w:rPr>
          <w:rFonts w:ascii="Tahoma" w:eastAsia="微软雅黑" w:hAnsi="Tahoma" w:cs="Times New Roman"/>
          <w:kern w:val="0"/>
          <w:sz w:val="22"/>
        </w:rPr>
      </w:pPr>
    </w:p>
    <w:p w14:paraId="5CFC987F" w14:textId="77777777" w:rsidR="00A027A6" w:rsidRPr="002622EC" w:rsidRDefault="00A027A6" w:rsidP="00A027A6">
      <w:pPr>
        <w:widowControl/>
        <w:adjustRightInd w:val="0"/>
        <w:snapToGrid w:val="0"/>
        <w:spacing w:after="200"/>
        <w:jc w:val="left"/>
        <w:rPr>
          <w:rFonts w:ascii="黑体" w:eastAsia="黑体" w:hAnsi="Tahoma" w:cs="Times New Roman"/>
          <w:color w:val="FF6600"/>
          <w:kern w:val="0"/>
          <w:sz w:val="36"/>
          <w:szCs w:val="36"/>
        </w:rPr>
      </w:pPr>
    </w:p>
    <w:p w14:paraId="617323DD" w14:textId="77777777" w:rsidR="00A027A6" w:rsidRPr="002622EC" w:rsidRDefault="00A027A6" w:rsidP="00A027A6">
      <w:pPr>
        <w:widowControl/>
        <w:adjustRightInd w:val="0"/>
        <w:snapToGrid w:val="0"/>
        <w:spacing w:after="200"/>
        <w:jc w:val="left"/>
        <w:rPr>
          <w:rFonts w:ascii="黑体" w:eastAsia="黑体" w:hAnsi="Tahoma" w:cs="Times New Roman"/>
          <w:kern w:val="0"/>
          <w:sz w:val="36"/>
          <w:szCs w:val="36"/>
        </w:rPr>
      </w:pPr>
    </w:p>
    <w:p w14:paraId="33229FC1" w14:textId="77777777" w:rsidR="002622EC" w:rsidRPr="002622EC" w:rsidRDefault="002622EC" w:rsidP="002622EC">
      <w:pPr>
        <w:widowControl/>
        <w:adjustRightInd w:val="0"/>
        <w:snapToGrid w:val="0"/>
        <w:spacing w:after="200"/>
        <w:ind w:firstLineChars="550" w:firstLine="1980"/>
        <w:jc w:val="left"/>
        <w:rPr>
          <w:rFonts w:ascii="黑体" w:eastAsia="黑体" w:hAnsi="Tahoma" w:cs="Times New Roman"/>
          <w:kern w:val="0"/>
          <w:sz w:val="36"/>
          <w:szCs w:val="36"/>
        </w:rPr>
      </w:pPr>
      <w:bookmarkStart w:id="0" w:name="_Hlk212647405"/>
      <w:r w:rsidRPr="002622EC">
        <w:rPr>
          <w:rFonts w:ascii="黑体" w:eastAsia="黑体" w:hAnsi="Tahoma" w:cs="Times New Roman" w:hint="eastAsia"/>
          <w:kern w:val="0"/>
          <w:sz w:val="36"/>
          <w:szCs w:val="36"/>
        </w:rPr>
        <w:t>班级__</w:t>
      </w:r>
      <w:r w:rsidRPr="002622EC">
        <w:rPr>
          <w:rFonts w:ascii="黑体" w:eastAsia="黑体" w:hAnsi="Tahoma" w:cs="Times New Roman" w:hint="eastAsia"/>
          <w:kern w:val="0"/>
          <w:sz w:val="36"/>
          <w:szCs w:val="36"/>
          <w:u w:val="single"/>
        </w:rPr>
        <w:t>电子信息工程2302</w:t>
      </w:r>
      <w:r w:rsidRPr="002622EC">
        <w:rPr>
          <w:rFonts w:ascii="黑体" w:eastAsia="黑体" w:hAnsi="Tahoma" w:cs="Times New Roman" w:hint="eastAsia"/>
          <w:kern w:val="0"/>
          <w:sz w:val="36"/>
          <w:szCs w:val="36"/>
        </w:rPr>
        <w:t>__</w:t>
      </w:r>
      <w:r w:rsidRPr="002622EC">
        <w:rPr>
          <w:rFonts w:ascii="黑体" w:eastAsia="黑体" w:hAnsi="Tahoma" w:cs="Times New Roman" w:hint="eastAsia"/>
          <w:kern w:val="0"/>
          <w:sz w:val="36"/>
          <w:szCs w:val="36"/>
          <w:u w:val="single"/>
        </w:rPr>
        <w:t xml:space="preserve"> </w:t>
      </w:r>
      <w:r w:rsidRPr="002622EC">
        <w:rPr>
          <w:rFonts w:ascii="黑体" w:eastAsia="黑体" w:hAnsi="Tahoma" w:cs="Times New Roman" w:hint="eastAsia"/>
          <w:kern w:val="0"/>
          <w:sz w:val="36"/>
          <w:szCs w:val="36"/>
        </w:rPr>
        <w:t>_</w:t>
      </w:r>
    </w:p>
    <w:p w14:paraId="52578D4C" w14:textId="77777777" w:rsidR="002622EC" w:rsidRPr="002622EC" w:rsidRDefault="002622EC" w:rsidP="002622EC">
      <w:pPr>
        <w:widowControl/>
        <w:adjustRightInd w:val="0"/>
        <w:snapToGrid w:val="0"/>
        <w:spacing w:after="200"/>
        <w:ind w:firstLineChars="550" w:firstLine="1980"/>
        <w:jc w:val="left"/>
        <w:rPr>
          <w:rFonts w:ascii="黑体" w:eastAsia="黑体" w:hAnsi="Tahoma" w:cs="Times New Roman"/>
          <w:kern w:val="0"/>
          <w:sz w:val="36"/>
          <w:szCs w:val="36"/>
        </w:rPr>
      </w:pPr>
      <w:r w:rsidRPr="002622EC">
        <w:rPr>
          <w:rFonts w:ascii="黑体" w:eastAsia="黑体" w:hAnsi="Tahoma" w:cs="Times New Roman" w:hint="eastAsia"/>
          <w:kern w:val="0"/>
          <w:sz w:val="36"/>
          <w:szCs w:val="36"/>
        </w:rPr>
        <w:t>学号__</w:t>
      </w:r>
      <w:r w:rsidRPr="002622EC">
        <w:rPr>
          <w:rFonts w:ascii="黑体" w:eastAsia="黑体" w:hAnsi="Tahoma" w:cs="Times New Roman" w:hint="eastAsia"/>
          <w:kern w:val="0"/>
          <w:sz w:val="36"/>
          <w:szCs w:val="36"/>
          <w:u w:val="single"/>
        </w:rPr>
        <w:t xml:space="preserve">_  20232B1123____    </w:t>
      </w:r>
    </w:p>
    <w:p w14:paraId="03D482D1" w14:textId="77777777" w:rsidR="002622EC" w:rsidRPr="002622EC" w:rsidRDefault="002622EC" w:rsidP="002622EC">
      <w:pPr>
        <w:widowControl/>
        <w:adjustRightInd w:val="0"/>
        <w:snapToGrid w:val="0"/>
        <w:spacing w:after="200"/>
        <w:ind w:firstLineChars="550" w:firstLine="1980"/>
        <w:jc w:val="left"/>
        <w:rPr>
          <w:rFonts w:ascii="黑体" w:eastAsia="黑体" w:hAnsi="Tahoma" w:cs="Times New Roman"/>
          <w:kern w:val="0"/>
          <w:sz w:val="36"/>
          <w:szCs w:val="36"/>
        </w:rPr>
      </w:pPr>
      <w:r w:rsidRPr="002622EC">
        <w:rPr>
          <w:rFonts w:ascii="黑体" w:eastAsia="黑体" w:hAnsi="Tahoma" w:cs="Times New Roman" w:hint="eastAsia"/>
          <w:kern w:val="0"/>
          <w:sz w:val="36"/>
          <w:szCs w:val="36"/>
        </w:rPr>
        <w:t>姓名______</w:t>
      </w:r>
      <w:r w:rsidRPr="002622EC">
        <w:rPr>
          <w:rFonts w:ascii="黑体" w:eastAsia="黑体" w:hAnsi="Tahoma" w:cs="Times New Roman" w:hint="eastAsia"/>
          <w:kern w:val="0"/>
          <w:sz w:val="36"/>
          <w:szCs w:val="36"/>
          <w:u w:val="single"/>
        </w:rPr>
        <w:t>_曾俊超____ __</w:t>
      </w:r>
      <w:r w:rsidRPr="002622EC">
        <w:rPr>
          <w:rFonts w:ascii="黑体" w:eastAsia="黑体" w:hAnsi="Tahoma" w:cs="Times New Roman" w:hint="eastAsia"/>
          <w:kern w:val="0"/>
          <w:sz w:val="36"/>
          <w:szCs w:val="36"/>
        </w:rPr>
        <w:t>___</w:t>
      </w:r>
    </w:p>
    <w:p w14:paraId="0AAB361D" w14:textId="77777777" w:rsidR="002622EC" w:rsidRPr="002622EC" w:rsidRDefault="002622EC" w:rsidP="002622EC">
      <w:pPr>
        <w:widowControl/>
        <w:adjustRightInd w:val="0"/>
        <w:snapToGrid w:val="0"/>
        <w:spacing w:after="200"/>
        <w:ind w:firstLineChars="550" w:firstLine="1980"/>
        <w:jc w:val="left"/>
        <w:rPr>
          <w:rFonts w:ascii="黑体" w:eastAsia="黑体" w:hAnsi="Tahoma" w:cs="Times New Roman"/>
          <w:kern w:val="0"/>
          <w:sz w:val="36"/>
          <w:szCs w:val="36"/>
        </w:rPr>
      </w:pPr>
      <w:r w:rsidRPr="002622EC">
        <w:rPr>
          <w:rFonts w:ascii="黑体" w:eastAsia="黑体" w:hAnsi="Tahoma" w:cs="Times New Roman" w:hint="eastAsia"/>
          <w:kern w:val="0"/>
          <w:sz w:val="36"/>
          <w:szCs w:val="36"/>
        </w:rPr>
        <w:t>年月_</w:t>
      </w:r>
      <w:r w:rsidRPr="002622EC">
        <w:rPr>
          <w:rFonts w:ascii="黑体" w:eastAsia="黑体" w:hAnsi="Tahoma" w:cs="Times New Roman" w:hint="eastAsia"/>
          <w:kern w:val="0"/>
          <w:sz w:val="36"/>
          <w:szCs w:val="36"/>
          <w:u w:val="single"/>
        </w:rPr>
        <w:t xml:space="preserve">2025年10月14日星期二 </w:t>
      </w:r>
    </w:p>
    <w:bookmarkEnd w:id="0"/>
    <w:p w14:paraId="12A5192E" w14:textId="77777777" w:rsidR="00A027A6" w:rsidRPr="002622EC" w:rsidRDefault="00A027A6" w:rsidP="00A027A6">
      <w:pPr>
        <w:widowControl/>
        <w:adjustRightInd w:val="0"/>
        <w:snapToGrid w:val="0"/>
        <w:spacing w:after="200" w:line="360" w:lineRule="auto"/>
        <w:jc w:val="left"/>
        <w:rPr>
          <w:rFonts w:ascii="Tahoma" w:eastAsia="微软雅黑" w:hAnsi="Tahoma" w:cs="Times New Roman"/>
          <w:kern w:val="0"/>
          <w:sz w:val="24"/>
          <w:szCs w:val="24"/>
        </w:rPr>
      </w:pPr>
    </w:p>
    <w:p w14:paraId="62C3A5EB" w14:textId="77777777" w:rsidR="00A027A6" w:rsidRPr="002622EC" w:rsidRDefault="00A027A6" w:rsidP="00420056">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lastRenderedPageBreak/>
        <w:t>1.学习目的</w:t>
      </w:r>
    </w:p>
    <w:p w14:paraId="06C108A8" w14:textId="641F4D93" w:rsidR="00A027A6" w:rsidRPr="002622EC" w:rsidRDefault="00010308" w:rsidP="00420056">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解决同步问题。</w:t>
      </w:r>
    </w:p>
    <w:p w14:paraId="3675D82B" w14:textId="77777777" w:rsidR="00A027A6" w:rsidRPr="002622EC" w:rsidRDefault="00A027A6" w:rsidP="00420056">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2.原理说明</w:t>
      </w:r>
    </w:p>
    <w:p w14:paraId="31B11986" w14:textId="1A766958" w:rsidR="000976B5" w:rsidRPr="002622EC" w:rsidRDefault="000976B5" w:rsidP="000976B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在通信系统中，同步是一个非常重要的问题。通信系统能否有效地、可靠地工作，在很大程度上依赖于有无良好的同步系统。同步目的使收发两端的信号在时间上保持步调一致。</w:t>
      </w:r>
    </w:p>
    <w:p w14:paraId="722D0098" w14:textId="54DD0D46" w:rsidR="000976B5" w:rsidRPr="002622EC" w:rsidRDefault="000976B5" w:rsidP="000976B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（1）同步的分类</w:t>
      </w:r>
    </w:p>
    <w:p w14:paraId="0D497D60" w14:textId="736CD8AA" w:rsidR="000976B5" w:rsidRPr="002622EC" w:rsidRDefault="000976B5" w:rsidP="000976B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载波同步——当采用同步解调或相干检测时，接收端需要提供一个和发射载波同频、同相的本地载波，而这个本地载波的频率和相位信息必须来自接收信号，或是说需要从接收信号中提取载波同步信息。这个本地载波的获取就称为载波提取，或称为载波同步。</w:t>
      </w:r>
    </w:p>
    <w:p w14:paraId="3A73A882" w14:textId="77777777" w:rsidR="000976B5" w:rsidRPr="002622EC" w:rsidRDefault="000976B5" w:rsidP="000976B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位同步——在数字通信中，除了有载波同步的问题外，还存在位同步的问题。因为信息是一串相继的信号码元的序列，解调时常需知道每个码元的起止时刻，以便判决。例如用取样判决器对信号进行取样判决时，一般均应对准每个码元最大值的位置。因此，需要在接收端产生一个“码元定时脉冲序列”，这个定时脉冲序列的重复频率要与发送端的码元速率相同，相位（位置）要对准最佳取样判决位置（时刻）。这样的一个码元定时脉冲序列就被称为“码元同步脉冲”或“位同步脉冲”，而把位同步脉冲的取得称为位同步提取。</w:t>
      </w:r>
    </w:p>
    <w:p w14:paraId="0214672F" w14:textId="4E4F274F" w:rsidR="000976B5" w:rsidRPr="002622EC" w:rsidRDefault="000976B5" w:rsidP="000976B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群同步——数字通信中的信息数字流，总是用若干码元组成一个“字”，又用若干“字”组成一“句”。因此，在接收这些数字流时，同样也必须知道这些“字”、“句”的起止时刻。而在接收端产生与“字”、“句”的起止时刻相一致的定时脉冲序列，就被称为“字”同步和“句”同步，统称为群同步或帧同步。</w:t>
      </w:r>
    </w:p>
    <w:p w14:paraId="64404ABD" w14:textId="2271EB93" w:rsidR="000976B5" w:rsidRPr="002622EC" w:rsidRDefault="000976B5" w:rsidP="000976B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网同步——此外，在有多个用户的通信网中，还有使网内各站点之间保持同步的网同步问题。为了保证通信网内各用户之间可靠地进行数据交换，必须要求整个数字通信网内有一个统一的时间节拍标准。</w:t>
      </w:r>
    </w:p>
    <w:p w14:paraId="37944107" w14:textId="1B162A5E"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w:t>
      </w:r>
      <w:r w:rsidR="000976B5" w:rsidRPr="002622EC">
        <w:rPr>
          <w:rFonts w:ascii="宋体" w:eastAsia="宋体" w:hAnsi="宋体" w:cs="Times New Roman" w:hint="eastAsia"/>
          <w:kern w:val="0"/>
          <w:sz w:val="24"/>
          <w:szCs w:val="24"/>
        </w:rPr>
        <w:t>2</w:t>
      </w:r>
      <w:r w:rsidRPr="002622EC">
        <w:rPr>
          <w:rFonts w:ascii="宋体" w:eastAsia="宋体" w:hAnsi="宋体" w:cs="Times New Roman" w:hint="eastAsia"/>
          <w:kern w:val="0"/>
          <w:sz w:val="24"/>
          <w:szCs w:val="24"/>
        </w:rPr>
        <w:t>）位同步——插入导频法</w:t>
      </w:r>
    </w:p>
    <w:p w14:paraId="61F2B9DE" w14:textId="37EA6E3F" w:rsidR="00A027A6"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PSK和FSK都属于恒包络信号，因此可以利用这些恒包络的数字信号的包络携带位同步信息，即使其包络随位同步信息的变化而变化。这是位同步插入</w:t>
      </w:r>
      <w:r w:rsidRPr="002622EC">
        <w:rPr>
          <w:rFonts w:ascii="宋体" w:eastAsia="宋体" w:hAnsi="宋体" w:cs="Times New Roman" w:hint="eastAsia"/>
          <w:kern w:val="0"/>
          <w:sz w:val="24"/>
          <w:szCs w:val="24"/>
        </w:rPr>
        <w:lastRenderedPageBreak/>
        <w:t>导频法的另一种形式。接收端只要用普通的包络检波器就可以取出导频信号作为位同步信息，且对数字信号本身的恢复不造成影响。</w:t>
      </w:r>
    </w:p>
    <w:p w14:paraId="12E4587B" w14:textId="6710146C"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w:t>
      </w:r>
      <w:r w:rsidR="000976B5" w:rsidRPr="002622EC">
        <w:rPr>
          <w:rFonts w:ascii="宋体" w:eastAsia="宋体" w:hAnsi="宋体" w:cs="Times New Roman" w:hint="eastAsia"/>
          <w:kern w:val="0"/>
          <w:sz w:val="24"/>
          <w:szCs w:val="24"/>
        </w:rPr>
        <w:t>3</w:t>
      </w:r>
      <w:r w:rsidRPr="002622EC">
        <w:rPr>
          <w:rFonts w:ascii="宋体" w:eastAsia="宋体" w:hAnsi="宋体" w:cs="Times New Roman" w:hint="eastAsia"/>
          <w:kern w:val="0"/>
          <w:sz w:val="24"/>
          <w:szCs w:val="24"/>
        </w:rPr>
        <w:t>）位同步——自同步法</w:t>
      </w:r>
    </w:p>
    <w:p w14:paraId="71F7ED7F" w14:textId="4D8F70B9"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位同步——自同步法又包括包络检波法和延迟相干法两种。</w:t>
      </w:r>
    </w:p>
    <w:p w14:paraId="0733425A" w14:textId="324C0554" w:rsidR="00010308" w:rsidRPr="002622EC" w:rsidRDefault="00010308" w:rsidP="00010308">
      <w:pPr>
        <w:widowControl/>
        <w:adjustRightInd w:val="0"/>
        <w:snapToGrid w:val="0"/>
        <w:spacing w:line="360" w:lineRule="auto"/>
        <w:jc w:val="center"/>
        <w:rPr>
          <w:rFonts w:ascii="宋体" w:eastAsia="宋体" w:hAnsi="宋体" w:cs="Times New Roman" w:hint="eastAsia"/>
          <w:kern w:val="0"/>
          <w:sz w:val="24"/>
          <w:szCs w:val="24"/>
        </w:rPr>
      </w:pPr>
      <w:r w:rsidRPr="002622EC">
        <w:rPr>
          <w:noProof/>
        </w:rPr>
        <w:drawing>
          <wp:inline distT="0" distB="0" distL="0" distR="0" wp14:anchorId="29753A77" wp14:editId="7CF5F544">
            <wp:extent cx="4105275" cy="766762"/>
            <wp:effectExtent l="0" t="0" r="0" b="0"/>
            <wp:docPr id="7"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3379" cy="773879"/>
                    </a:xfrm>
                    <a:prstGeom prst="rect">
                      <a:avLst/>
                    </a:prstGeom>
                    <a:noFill/>
                    <a:ln>
                      <a:noFill/>
                    </a:ln>
                    <a:effectLst/>
                  </pic:spPr>
                </pic:pic>
              </a:graphicData>
            </a:graphic>
          </wp:inline>
        </w:drawing>
      </w:r>
    </w:p>
    <w:p w14:paraId="30DCDD0F" w14:textId="4B5B261B" w:rsidR="00010308" w:rsidRPr="002622EC" w:rsidRDefault="00010308" w:rsidP="00010308">
      <w:pPr>
        <w:widowControl/>
        <w:adjustRightInd w:val="0"/>
        <w:snapToGrid w:val="0"/>
        <w:spacing w:line="360" w:lineRule="auto"/>
        <w:jc w:val="center"/>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图1  包络检波法原理图</w:t>
      </w:r>
    </w:p>
    <w:p w14:paraId="6127C98C" w14:textId="4994C689" w:rsidR="00010308" w:rsidRPr="002622EC" w:rsidRDefault="00010308" w:rsidP="00010308">
      <w:pPr>
        <w:widowControl/>
        <w:adjustRightInd w:val="0"/>
        <w:snapToGrid w:val="0"/>
        <w:spacing w:line="360" w:lineRule="auto"/>
        <w:jc w:val="center"/>
        <w:rPr>
          <w:rFonts w:ascii="宋体" w:eastAsia="宋体" w:hAnsi="宋体" w:cs="Times New Roman" w:hint="eastAsia"/>
          <w:kern w:val="0"/>
          <w:sz w:val="24"/>
          <w:szCs w:val="24"/>
        </w:rPr>
      </w:pPr>
      <w:r w:rsidRPr="002622EC">
        <w:rPr>
          <w:noProof/>
        </w:rPr>
        <w:drawing>
          <wp:inline distT="0" distB="0" distL="0" distR="0" wp14:anchorId="6B914DCF" wp14:editId="2956CEDB">
            <wp:extent cx="4691063" cy="1257300"/>
            <wp:effectExtent l="0" t="0" r="0" b="0"/>
            <wp:docPr id="8" name="Picture 2"/>
            <wp:cNvGraphicFramePr/>
            <a:graphic xmlns:a="http://schemas.openxmlformats.org/drawingml/2006/main">
              <a:graphicData uri="http://schemas.openxmlformats.org/drawingml/2006/picture">
                <pic:pic xmlns:pic="http://schemas.openxmlformats.org/drawingml/2006/picture">
                  <pic:nvPicPr>
                    <pic:cNvPr id="8" name="Picture 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8745" cy="1259359"/>
                    </a:xfrm>
                    <a:prstGeom prst="rect">
                      <a:avLst/>
                    </a:prstGeom>
                    <a:noFill/>
                    <a:ln>
                      <a:noFill/>
                    </a:ln>
                    <a:effectLst/>
                  </pic:spPr>
                </pic:pic>
              </a:graphicData>
            </a:graphic>
          </wp:inline>
        </w:drawing>
      </w:r>
    </w:p>
    <w:p w14:paraId="7E618296" w14:textId="49FD1E2A" w:rsidR="00010308" w:rsidRPr="002622EC" w:rsidRDefault="00010308" w:rsidP="00010308">
      <w:pPr>
        <w:widowControl/>
        <w:adjustRightInd w:val="0"/>
        <w:snapToGrid w:val="0"/>
        <w:spacing w:line="360" w:lineRule="auto"/>
        <w:jc w:val="center"/>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图2  延迟相干法原理图</w:t>
      </w:r>
    </w:p>
    <w:p w14:paraId="4DC36B59" w14:textId="7CA8A8CD" w:rsidR="00010308" w:rsidRPr="002622EC" w:rsidRDefault="00010308" w:rsidP="00010308">
      <w:pPr>
        <w:widowControl/>
        <w:adjustRightInd w:val="0"/>
        <w:snapToGrid w:val="0"/>
        <w:spacing w:line="360" w:lineRule="auto"/>
        <w:ind w:firstLineChars="200" w:firstLine="480"/>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w:t>
      </w:r>
      <w:r w:rsidR="000976B5" w:rsidRPr="002622EC">
        <w:rPr>
          <w:rFonts w:ascii="宋体" w:eastAsia="宋体" w:hAnsi="宋体" w:cs="Times New Roman" w:hint="eastAsia"/>
          <w:kern w:val="0"/>
          <w:sz w:val="24"/>
          <w:szCs w:val="24"/>
        </w:rPr>
        <w:t>4</w:t>
      </w:r>
      <w:r w:rsidRPr="002622EC">
        <w:rPr>
          <w:rFonts w:ascii="宋体" w:eastAsia="宋体" w:hAnsi="宋体" w:cs="Times New Roman" w:hint="eastAsia"/>
          <w:kern w:val="0"/>
          <w:sz w:val="24"/>
          <w:szCs w:val="24"/>
        </w:rPr>
        <w:t>）载波同步——平方环法</w:t>
      </w:r>
    </w:p>
    <w:p w14:paraId="4DE24A95" w14:textId="0CC0F0E4" w:rsidR="00010308" w:rsidRPr="002622EC" w:rsidRDefault="00010308" w:rsidP="00010308">
      <w:pPr>
        <w:widowControl/>
        <w:adjustRightInd w:val="0"/>
        <w:snapToGrid w:val="0"/>
        <w:spacing w:line="360" w:lineRule="auto"/>
        <w:jc w:val="center"/>
        <w:rPr>
          <w:rFonts w:ascii="宋体" w:eastAsia="宋体" w:hAnsi="宋体" w:cs="Times New Roman" w:hint="eastAsia"/>
          <w:kern w:val="0"/>
          <w:sz w:val="24"/>
          <w:szCs w:val="24"/>
        </w:rPr>
      </w:pPr>
      <w:r w:rsidRPr="002622EC">
        <w:rPr>
          <w:noProof/>
        </w:rPr>
        <w:drawing>
          <wp:inline distT="0" distB="0" distL="0" distR="0" wp14:anchorId="60E62262" wp14:editId="403051A3">
            <wp:extent cx="4186238" cy="1266825"/>
            <wp:effectExtent l="0" t="0" r="5080" b="0"/>
            <wp:docPr id="2055888638"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7511" cy="1273262"/>
                    </a:xfrm>
                    <a:prstGeom prst="rect">
                      <a:avLst/>
                    </a:prstGeom>
                    <a:noFill/>
                    <a:ln>
                      <a:noFill/>
                    </a:ln>
                    <a:effectLst/>
                  </pic:spPr>
                </pic:pic>
              </a:graphicData>
            </a:graphic>
          </wp:inline>
        </w:drawing>
      </w:r>
    </w:p>
    <w:p w14:paraId="0443DDC6" w14:textId="4FE5799F" w:rsidR="00010308" w:rsidRPr="002622EC" w:rsidRDefault="00010308" w:rsidP="00010308">
      <w:pPr>
        <w:widowControl/>
        <w:adjustRightInd w:val="0"/>
        <w:snapToGrid w:val="0"/>
        <w:spacing w:line="360" w:lineRule="auto"/>
        <w:jc w:val="center"/>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图3  平方环法原理图</w:t>
      </w:r>
    </w:p>
    <w:p w14:paraId="09FC8358" w14:textId="107A38B8"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输入信号：现实中的输入信号在频域上表现为有限带宽；在时域上表现为“无法突变”。这一特性会给锁相环带来一点麻烦，因此需要根据载波信号带宽和调制速率设计锁相环。</w:t>
      </w:r>
    </w:p>
    <w:p w14:paraId="4A7F2C9D" w14:textId="6750592E"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平方律器件：平方电路不理想，其输出信号幅度随数字基带信号变化，不是一个标准的二倍频正弦信号。即平方电路输出信号频谱中还有其它频率成分，必须滤除。</w:t>
      </w:r>
    </w:p>
    <w:p w14:paraId="142E6136" w14:textId="1CA7AACE"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鉴相器：鉴相器指的是能够鉴别出输入信号的相位差的器件，是使输出电压与两个输入信号之间的相位差有确定关系的电路。</w:t>
      </w:r>
    </w:p>
    <w:p w14:paraId="7F9E91AB" w14:textId="00461BDD"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lastRenderedPageBreak/>
        <w:t>环路滤波器：环路滤波器用于衰减由输入信号噪声引起的快速变化的相位误差和平滑相位检测器泄露的高频分量，即滤波,以便在其输出端对原始信号进行精确的估计。</w:t>
      </w:r>
    </w:p>
    <w:p w14:paraId="022B2A65" w14:textId="53FF32A1"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压控振荡器：压控振荡器指输出频率与输入控制电压有对应关系的振荡电路(VCO)，频率是输入信号电压的函数的振荡器VCO，振荡器的工作状态或振荡回路的元件参数受输入控制电压的控制，就可构成一个压控振荡器。</w:t>
      </w:r>
    </w:p>
    <w:p w14:paraId="4D0611D6" w14:textId="77777777"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二分频：信号频率的1/2。</w:t>
      </w:r>
    </w:p>
    <w:p w14:paraId="1C8D729E" w14:textId="7CE71638" w:rsidR="00010308" w:rsidRPr="002622EC" w:rsidRDefault="00010308" w:rsidP="0001030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载波输出：输出载波信号。</w:t>
      </w:r>
    </w:p>
    <w:p w14:paraId="37D16818" w14:textId="3A9FB91D" w:rsidR="00A027A6" w:rsidRPr="002622EC" w:rsidRDefault="00A027A6" w:rsidP="00420056">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3.项目内容</w:t>
      </w:r>
    </w:p>
    <w:p w14:paraId="77933084" w14:textId="6BF61007" w:rsidR="00A027A6" w:rsidRPr="002622EC" w:rsidRDefault="000976B5" w:rsidP="00420056">
      <w:pPr>
        <w:widowControl/>
        <w:adjustRightInd w:val="0"/>
        <w:snapToGrid w:val="0"/>
        <w:spacing w:line="360" w:lineRule="auto"/>
        <w:ind w:firstLineChars="200" w:firstLine="480"/>
        <w:jc w:val="left"/>
        <w:rPr>
          <w:rFonts w:ascii="宋体" w:eastAsia="宋体" w:hAnsi="宋体" w:cs="Times New Roman" w:hint="eastAsia"/>
          <w:kern w:val="0"/>
          <w:sz w:val="24"/>
          <w:szCs w:val="24"/>
        </w:rPr>
      </w:pPr>
      <w:bookmarkStart w:id="1" w:name="_Hlk212647393"/>
      <w:r w:rsidRPr="002622EC">
        <w:rPr>
          <w:rFonts w:ascii="宋体" w:eastAsia="宋体" w:hAnsi="宋体" w:cs="Times New Roman" w:hint="eastAsia"/>
          <w:kern w:val="0"/>
          <w:sz w:val="24"/>
          <w:szCs w:val="24"/>
        </w:rPr>
        <w:t>什么是载波同步？</w:t>
      </w:r>
    </w:p>
    <w:bookmarkEnd w:id="1"/>
    <w:p w14:paraId="00794F6F" w14:textId="5E9D4CDD" w:rsidR="000976B5" w:rsidRPr="002622EC" w:rsidRDefault="00A027A6" w:rsidP="00141DD6">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4.项目报告</w:t>
      </w:r>
    </w:p>
    <w:p w14:paraId="67CEE1E2" w14:textId="77777777" w:rsidR="002622EC" w:rsidRPr="002622EC" w:rsidRDefault="002622EC" w:rsidP="002622EC">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hint="eastAsia"/>
          <w:kern w:val="0"/>
          <w:sz w:val="24"/>
          <w:szCs w:val="24"/>
        </w:rPr>
        <w:t>答：</w:t>
      </w:r>
      <w:r w:rsidRPr="002622EC">
        <w:rPr>
          <w:rFonts w:ascii="宋体" w:eastAsia="宋体" w:hAnsi="宋体" w:cs="Times New Roman"/>
          <w:kern w:val="0"/>
          <w:sz w:val="24"/>
          <w:szCs w:val="24"/>
        </w:rPr>
        <w:t>载波同步是指在数字通信系统中，接收端的载波信号与发送端的载波信号在频率和相位上保持一致的过程。这是确保正确解调的关键步骤，因为只有当接收端的载波与发送端的载波完全匹配时，才能准确地恢复原始数字信号。</w:t>
      </w:r>
    </w:p>
    <w:p w14:paraId="06BC7877" w14:textId="77777777" w:rsidR="002622EC" w:rsidRPr="002622EC" w:rsidRDefault="002622EC" w:rsidP="002622EC">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载波同步的重要性</w:t>
      </w:r>
    </w:p>
    <w:p w14:paraId="07662D26" w14:textId="77777777" w:rsidR="002622EC" w:rsidRPr="002622EC" w:rsidRDefault="002622EC" w:rsidP="002622EC">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在数字通信中，调制过程通常涉及将数字信号与一个载波信号结合，以便在信道中传输。接收端需要从接收到的信号中提取出原始数字信号，这就需要一个与发送端相同的载波信号来进行解调。如果接收端的载波信号在频率或相位上与发送端的载波信号不一致，解调过程将无法正确恢复原始信号，从而导致误码。</w:t>
      </w:r>
    </w:p>
    <w:p w14:paraId="75DEBBF4" w14:textId="77777777" w:rsidR="002622EC" w:rsidRPr="002622EC" w:rsidRDefault="002622EC" w:rsidP="002622EC">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载波同步的方法</w:t>
      </w:r>
    </w:p>
    <w:p w14:paraId="7CDD85D5" w14:textId="77777777" w:rsidR="002622EC" w:rsidRPr="002622EC" w:rsidRDefault="002622EC" w:rsidP="002622EC">
      <w:pPr>
        <w:widowControl/>
        <w:numPr>
          <w:ilvl w:val="0"/>
          <w:numId w:val="1"/>
        </w:numPr>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相干解调：</w:t>
      </w:r>
    </w:p>
    <w:p w14:paraId="596448DE" w14:textId="77777777" w:rsidR="002622EC" w:rsidRPr="002622EC" w:rsidRDefault="002622EC" w:rsidP="002622EC">
      <w:pPr>
        <w:widowControl/>
        <w:numPr>
          <w:ilvl w:val="1"/>
          <w:numId w:val="1"/>
        </w:numPr>
        <w:tabs>
          <w:tab w:val="num" w:pos="1440"/>
        </w:tabs>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在相干解调中，接收端需要一个与发送端载波信号频率和相位完全一致的本地载波信号。这个本地载波信号通常通过锁相环（PLL）或其他同步技术来生成。</w:t>
      </w:r>
    </w:p>
    <w:p w14:paraId="774C5CAA" w14:textId="77777777" w:rsidR="002622EC" w:rsidRPr="002622EC" w:rsidRDefault="002622EC" w:rsidP="002622EC">
      <w:pPr>
        <w:widowControl/>
        <w:numPr>
          <w:ilvl w:val="1"/>
          <w:numId w:val="1"/>
        </w:numPr>
        <w:tabs>
          <w:tab w:val="num" w:pos="1440"/>
        </w:tabs>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锁相环（PLL）：PLL 是一种常用的载波同步技术，它通过比较接收到的信号与本地载波信号的相位差，并调整本地载波信号的相位和频率，使其与接收到的信号保持同步。</w:t>
      </w:r>
    </w:p>
    <w:p w14:paraId="478BD4CD" w14:textId="77777777" w:rsidR="002622EC" w:rsidRPr="002622EC" w:rsidRDefault="002622EC" w:rsidP="002622EC">
      <w:pPr>
        <w:widowControl/>
        <w:numPr>
          <w:ilvl w:val="0"/>
          <w:numId w:val="1"/>
        </w:numPr>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非相干解调：</w:t>
      </w:r>
    </w:p>
    <w:p w14:paraId="5A6F9DCE" w14:textId="77777777" w:rsidR="002622EC" w:rsidRPr="002622EC" w:rsidRDefault="002622EC" w:rsidP="002622EC">
      <w:pPr>
        <w:widowControl/>
        <w:numPr>
          <w:ilvl w:val="1"/>
          <w:numId w:val="1"/>
        </w:numPr>
        <w:tabs>
          <w:tab w:val="num" w:pos="1440"/>
        </w:tabs>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lastRenderedPageBreak/>
        <w:t>非相干解调不需要载波同步，因为它不依赖于本地载波信号。例如，包络检波法是一种常见的非相干解调方法，它通过检测信号的包络来恢复数字信号。</w:t>
      </w:r>
    </w:p>
    <w:p w14:paraId="0705BFCE" w14:textId="77777777" w:rsidR="002622EC" w:rsidRPr="002622EC" w:rsidRDefault="002622EC" w:rsidP="002622EC">
      <w:pPr>
        <w:widowControl/>
        <w:numPr>
          <w:ilvl w:val="1"/>
          <w:numId w:val="1"/>
        </w:numPr>
        <w:tabs>
          <w:tab w:val="num" w:pos="1440"/>
        </w:tabs>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尽管非相干解调不需要载波同步，但它通常对信道噪声和失真更敏感，因此在某些应用中可能不如相干解调可靠。</w:t>
      </w:r>
    </w:p>
    <w:p w14:paraId="029BFEC2" w14:textId="77777777" w:rsidR="002622EC" w:rsidRPr="002622EC" w:rsidRDefault="002622EC" w:rsidP="002622EC">
      <w:pPr>
        <w:widowControl/>
        <w:numPr>
          <w:ilvl w:val="0"/>
          <w:numId w:val="1"/>
        </w:numPr>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差分相干解调：</w:t>
      </w:r>
    </w:p>
    <w:p w14:paraId="3588FF71" w14:textId="77777777" w:rsidR="002622EC" w:rsidRPr="002622EC" w:rsidRDefault="002622EC" w:rsidP="002622EC">
      <w:pPr>
        <w:widowControl/>
        <w:numPr>
          <w:ilvl w:val="1"/>
          <w:numId w:val="1"/>
        </w:numPr>
        <w:tabs>
          <w:tab w:val="num" w:pos="1440"/>
        </w:tabs>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差分相干解调是一种折中的方法，它不需要精确的载波同步，但仍然利用了相邻符号之间的相对相位变化来恢复数字信号。这种方法在某些情况下可以提供较好的性能，同时减少了对载波同步的严格要求。</w:t>
      </w:r>
    </w:p>
    <w:p w14:paraId="63BC56E9" w14:textId="77777777" w:rsidR="002622EC" w:rsidRPr="002622EC" w:rsidRDefault="002622EC" w:rsidP="002622EC">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载波同步的应用</w:t>
      </w:r>
    </w:p>
    <w:p w14:paraId="4B5F16B7" w14:textId="77777777" w:rsidR="002622EC" w:rsidRPr="002622EC" w:rsidRDefault="002622EC" w:rsidP="002622EC">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载波同步在许多数字通信系统中都有应用，包括但不限于：</w:t>
      </w:r>
    </w:p>
    <w:p w14:paraId="19F73DCE" w14:textId="77777777" w:rsidR="002622EC" w:rsidRPr="002622EC" w:rsidRDefault="002622EC" w:rsidP="002622EC">
      <w:pPr>
        <w:widowControl/>
        <w:numPr>
          <w:ilvl w:val="0"/>
          <w:numId w:val="2"/>
        </w:numPr>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QAM（正交幅度调制）</w:t>
      </w:r>
    </w:p>
    <w:p w14:paraId="3D0ABAB6" w14:textId="77777777" w:rsidR="002622EC" w:rsidRPr="002622EC" w:rsidRDefault="002622EC" w:rsidP="002622EC">
      <w:pPr>
        <w:widowControl/>
        <w:numPr>
          <w:ilvl w:val="0"/>
          <w:numId w:val="2"/>
        </w:numPr>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PSK（相移键控）</w:t>
      </w:r>
    </w:p>
    <w:p w14:paraId="5FA9BEC4" w14:textId="77777777" w:rsidR="002622EC" w:rsidRPr="002622EC" w:rsidRDefault="002622EC" w:rsidP="002622EC">
      <w:pPr>
        <w:widowControl/>
        <w:numPr>
          <w:ilvl w:val="0"/>
          <w:numId w:val="2"/>
        </w:numPr>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FSK（频移键控）</w:t>
      </w:r>
    </w:p>
    <w:p w14:paraId="0E085F90" w14:textId="77777777" w:rsidR="002622EC" w:rsidRPr="002622EC" w:rsidRDefault="002622EC" w:rsidP="002622EC">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2622EC">
        <w:rPr>
          <w:rFonts w:ascii="宋体" w:eastAsia="宋体" w:hAnsi="宋体" w:cs="Times New Roman"/>
          <w:kern w:val="0"/>
          <w:sz w:val="24"/>
          <w:szCs w:val="24"/>
        </w:rPr>
        <w:t>在这些系统中，载波同步确保了接收端能够准确地解调出发送端的数字信号，从而提高了通信系统的可靠性和性能</w:t>
      </w:r>
    </w:p>
    <w:p w14:paraId="3BB73B62" w14:textId="7246E28A" w:rsidR="002622EC" w:rsidRPr="002622EC" w:rsidRDefault="002622EC" w:rsidP="00141DD6">
      <w:pPr>
        <w:widowControl/>
        <w:adjustRightInd w:val="0"/>
        <w:snapToGrid w:val="0"/>
        <w:spacing w:line="360" w:lineRule="auto"/>
        <w:ind w:firstLineChars="200" w:firstLine="480"/>
        <w:jc w:val="left"/>
        <w:rPr>
          <w:rFonts w:ascii="宋体" w:eastAsia="宋体" w:hAnsi="宋体" w:cs="Times New Roman" w:hint="eastAsia"/>
          <w:color w:val="EE0000"/>
          <w:kern w:val="0"/>
          <w:sz w:val="24"/>
          <w:szCs w:val="24"/>
        </w:rPr>
      </w:pPr>
    </w:p>
    <w:sectPr w:rsidR="002622EC" w:rsidRPr="002622EC" w:rsidSect="00A027A6">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708"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389AA" w14:textId="77777777" w:rsidR="00BD2685" w:rsidRDefault="00BD2685" w:rsidP="00A027A6">
      <w:pPr>
        <w:rPr>
          <w:rFonts w:hint="eastAsia"/>
        </w:rPr>
      </w:pPr>
      <w:r>
        <w:separator/>
      </w:r>
    </w:p>
  </w:endnote>
  <w:endnote w:type="continuationSeparator" w:id="0">
    <w:p w14:paraId="4FBC0E6B" w14:textId="77777777" w:rsidR="00BD2685" w:rsidRDefault="00BD2685" w:rsidP="00A02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5D40D" w14:textId="77777777" w:rsidR="0074411F" w:rsidRDefault="0074411F">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C82DC" w14:textId="77777777" w:rsidR="0074411F" w:rsidRDefault="0074411F">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A6A10" w14:textId="77777777" w:rsidR="0074411F" w:rsidRDefault="0074411F">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FC53B" w14:textId="77777777" w:rsidR="00BD2685" w:rsidRDefault="00BD2685" w:rsidP="00A027A6">
      <w:pPr>
        <w:rPr>
          <w:rFonts w:hint="eastAsia"/>
        </w:rPr>
      </w:pPr>
      <w:r>
        <w:separator/>
      </w:r>
    </w:p>
  </w:footnote>
  <w:footnote w:type="continuationSeparator" w:id="0">
    <w:p w14:paraId="0AEFE8C6" w14:textId="77777777" w:rsidR="00BD2685" w:rsidRDefault="00BD2685" w:rsidP="00A027A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9D2A8" w14:textId="728CEF99" w:rsidR="0074411F" w:rsidRDefault="0074411F">
    <w:pPr>
      <w:pStyle w:val="ae"/>
      <w:rPr>
        <w:rFonts w:hint="eastAsia"/>
      </w:rPr>
    </w:pPr>
    <w:r>
      <w:rPr>
        <w:noProof/>
      </w:rPr>
      <w:pict w14:anchorId="45F567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129563" o:spid="_x0000_s1026" type="#_x0000_t136" style="position:absolute;left:0;text-align:left;margin-left:0;margin-top:0;width:439.15pt;height:146.35pt;rotation:315;z-index:-251655168;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616A8" w14:textId="504F7B46" w:rsidR="0074411F" w:rsidRDefault="0074411F">
    <w:pPr>
      <w:pStyle w:val="ae"/>
      <w:rPr>
        <w:rFonts w:hint="eastAsia"/>
      </w:rPr>
    </w:pPr>
    <w:r>
      <w:rPr>
        <w:noProof/>
      </w:rPr>
      <w:pict w14:anchorId="2F2242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129564" o:spid="_x0000_s1027" type="#_x0000_t136" style="position:absolute;left:0;text-align:left;margin-left:0;margin-top:0;width:439.15pt;height:146.35pt;rotation:315;z-index:-251653120;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F7EC" w14:textId="339B11AA" w:rsidR="0074411F" w:rsidRDefault="0074411F">
    <w:pPr>
      <w:pStyle w:val="ae"/>
      <w:rPr>
        <w:rFonts w:hint="eastAsia"/>
      </w:rPr>
    </w:pPr>
    <w:r>
      <w:rPr>
        <w:noProof/>
      </w:rPr>
      <w:pict w14:anchorId="4DAAFC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129562" o:spid="_x0000_s1025" type="#_x0000_t136" style="position:absolute;left:0;text-align:left;margin-left:0;margin-top:0;width:439.15pt;height:146.35pt;rotation:315;z-index:-251657216;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5190F"/>
    <w:multiLevelType w:val="multilevel"/>
    <w:tmpl w:val="BF22018A"/>
    <w:lvl w:ilvl="0">
      <w:start w:val="1"/>
      <w:numFmt w:val="decimal"/>
      <w:lvlText w:val="%1."/>
      <w:lvlJc w:val="left"/>
      <w:pPr>
        <w:tabs>
          <w:tab w:val="num" w:pos="720"/>
        </w:tabs>
        <w:ind w:left="720" w:hanging="360"/>
      </w:pPr>
    </w:lvl>
    <w:lvl w:ilvl="1">
      <w:start w:val="1"/>
      <w:numFmt w:val="lowerLetter"/>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A77D38"/>
    <w:multiLevelType w:val="multilevel"/>
    <w:tmpl w:val="649290E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2404537">
    <w:abstractNumId w:val="0"/>
  </w:num>
  <w:num w:numId="2" w16cid:durableId="66926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5"/>
    <w:rsid w:val="00010308"/>
    <w:rsid w:val="0006240C"/>
    <w:rsid w:val="0009220F"/>
    <w:rsid w:val="000976B5"/>
    <w:rsid w:val="00141DD6"/>
    <w:rsid w:val="001A2726"/>
    <w:rsid w:val="001E7F60"/>
    <w:rsid w:val="00245522"/>
    <w:rsid w:val="002622EC"/>
    <w:rsid w:val="002E0DA5"/>
    <w:rsid w:val="003061AD"/>
    <w:rsid w:val="003664CA"/>
    <w:rsid w:val="003C0967"/>
    <w:rsid w:val="00420056"/>
    <w:rsid w:val="00435A67"/>
    <w:rsid w:val="005F3A57"/>
    <w:rsid w:val="007347AD"/>
    <w:rsid w:val="00737D26"/>
    <w:rsid w:val="0074411F"/>
    <w:rsid w:val="00786FED"/>
    <w:rsid w:val="007F7A71"/>
    <w:rsid w:val="009241AD"/>
    <w:rsid w:val="009B6BE3"/>
    <w:rsid w:val="00A027A6"/>
    <w:rsid w:val="00AB1182"/>
    <w:rsid w:val="00B55ECB"/>
    <w:rsid w:val="00BD2685"/>
    <w:rsid w:val="00CD7691"/>
    <w:rsid w:val="00D86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0FAA"/>
  <w15:chartTrackingRefBased/>
  <w15:docId w15:val="{FA2505B8-2169-41BF-BA33-732F7C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0D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0D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0D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0D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D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D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D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0D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0D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0DA5"/>
    <w:rPr>
      <w:rFonts w:cstheme="majorBidi"/>
      <w:color w:val="2F5496" w:themeColor="accent1" w:themeShade="BF"/>
      <w:sz w:val="28"/>
      <w:szCs w:val="28"/>
    </w:rPr>
  </w:style>
  <w:style w:type="character" w:customStyle="1" w:styleId="50">
    <w:name w:val="标题 5 字符"/>
    <w:basedOn w:val="a0"/>
    <w:link w:val="5"/>
    <w:uiPriority w:val="9"/>
    <w:semiHidden/>
    <w:rsid w:val="002E0DA5"/>
    <w:rPr>
      <w:rFonts w:cstheme="majorBidi"/>
      <w:color w:val="2F5496" w:themeColor="accent1" w:themeShade="BF"/>
      <w:sz w:val="24"/>
      <w:szCs w:val="24"/>
    </w:rPr>
  </w:style>
  <w:style w:type="character" w:customStyle="1" w:styleId="60">
    <w:name w:val="标题 6 字符"/>
    <w:basedOn w:val="a0"/>
    <w:link w:val="6"/>
    <w:uiPriority w:val="9"/>
    <w:semiHidden/>
    <w:rsid w:val="002E0DA5"/>
    <w:rPr>
      <w:rFonts w:cstheme="majorBidi"/>
      <w:b/>
      <w:bCs/>
      <w:color w:val="2F5496" w:themeColor="accent1" w:themeShade="BF"/>
    </w:rPr>
  </w:style>
  <w:style w:type="character" w:customStyle="1" w:styleId="70">
    <w:name w:val="标题 7 字符"/>
    <w:basedOn w:val="a0"/>
    <w:link w:val="7"/>
    <w:uiPriority w:val="9"/>
    <w:semiHidden/>
    <w:rsid w:val="002E0DA5"/>
    <w:rPr>
      <w:rFonts w:cstheme="majorBidi"/>
      <w:b/>
      <w:bCs/>
      <w:color w:val="595959" w:themeColor="text1" w:themeTint="A6"/>
    </w:rPr>
  </w:style>
  <w:style w:type="character" w:customStyle="1" w:styleId="80">
    <w:name w:val="标题 8 字符"/>
    <w:basedOn w:val="a0"/>
    <w:link w:val="8"/>
    <w:uiPriority w:val="9"/>
    <w:semiHidden/>
    <w:rsid w:val="002E0DA5"/>
    <w:rPr>
      <w:rFonts w:cstheme="majorBidi"/>
      <w:color w:val="595959" w:themeColor="text1" w:themeTint="A6"/>
    </w:rPr>
  </w:style>
  <w:style w:type="character" w:customStyle="1" w:styleId="90">
    <w:name w:val="标题 9 字符"/>
    <w:basedOn w:val="a0"/>
    <w:link w:val="9"/>
    <w:uiPriority w:val="9"/>
    <w:semiHidden/>
    <w:rsid w:val="002E0DA5"/>
    <w:rPr>
      <w:rFonts w:eastAsiaTheme="majorEastAsia" w:cstheme="majorBidi"/>
      <w:color w:val="595959" w:themeColor="text1" w:themeTint="A6"/>
    </w:rPr>
  </w:style>
  <w:style w:type="paragraph" w:styleId="a3">
    <w:name w:val="Title"/>
    <w:basedOn w:val="a"/>
    <w:next w:val="a"/>
    <w:link w:val="a4"/>
    <w:uiPriority w:val="10"/>
    <w:qFormat/>
    <w:rsid w:val="002E0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DA5"/>
    <w:pPr>
      <w:spacing w:before="160" w:after="160"/>
      <w:jc w:val="center"/>
    </w:pPr>
    <w:rPr>
      <w:i/>
      <w:iCs/>
      <w:color w:val="404040" w:themeColor="text1" w:themeTint="BF"/>
    </w:rPr>
  </w:style>
  <w:style w:type="character" w:customStyle="1" w:styleId="a8">
    <w:name w:val="引用 字符"/>
    <w:basedOn w:val="a0"/>
    <w:link w:val="a7"/>
    <w:uiPriority w:val="29"/>
    <w:rsid w:val="002E0DA5"/>
    <w:rPr>
      <w:i/>
      <w:iCs/>
      <w:color w:val="404040" w:themeColor="text1" w:themeTint="BF"/>
    </w:rPr>
  </w:style>
  <w:style w:type="paragraph" w:styleId="a9">
    <w:name w:val="List Paragraph"/>
    <w:basedOn w:val="a"/>
    <w:uiPriority w:val="34"/>
    <w:qFormat/>
    <w:rsid w:val="002E0DA5"/>
    <w:pPr>
      <w:ind w:left="720"/>
      <w:contextualSpacing/>
    </w:pPr>
  </w:style>
  <w:style w:type="character" w:styleId="aa">
    <w:name w:val="Intense Emphasis"/>
    <w:basedOn w:val="a0"/>
    <w:uiPriority w:val="21"/>
    <w:qFormat/>
    <w:rsid w:val="002E0DA5"/>
    <w:rPr>
      <w:i/>
      <w:iCs/>
      <w:color w:val="2F5496" w:themeColor="accent1" w:themeShade="BF"/>
    </w:rPr>
  </w:style>
  <w:style w:type="paragraph" w:styleId="ab">
    <w:name w:val="Intense Quote"/>
    <w:basedOn w:val="a"/>
    <w:next w:val="a"/>
    <w:link w:val="ac"/>
    <w:uiPriority w:val="30"/>
    <w:qFormat/>
    <w:rsid w:val="002E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DA5"/>
    <w:rPr>
      <w:i/>
      <w:iCs/>
      <w:color w:val="2F5496" w:themeColor="accent1" w:themeShade="BF"/>
    </w:rPr>
  </w:style>
  <w:style w:type="character" w:styleId="ad">
    <w:name w:val="Intense Reference"/>
    <w:basedOn w:val="a0"/>
    <w:uiPriority w:val="32"/>
    <w:qFormat/>
    <w:rsid w:val="002E0DA5"/>
    <w:rPr>
      <w:b/>
      <w:bCs/>
      <w:smallCaps/>
      <w:color w:val="2F5496" w:themeColor="accent1" w:themeShade="BF"/>
      <w:spacing w:val="5"/>
    </w:rPr>
  </w:style>
  <w:style w:type="paragraph" w:styleId="ae">
    <w:name w:val="header"/>
    <w:basedOn w:val="a"/>
    <w:link w:val="af"/>
    <w:uiPriority w:val="99"/>
    <w:unhideWhenUsed/>
    <w:rsid w:val="00A027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027A6"/>
    <w:rPr>
      <w:sz w:val="18"/>
      <w:szCs w:val="18"/>
    </w:rPr>
  </w:style>
  <w:style w:type="paragraph" w:styleId="af0">
    <w:name w:val="footer"/>
    <w:basedOn w:val="a"/>
    <w:link w:val="af1"/>
    <w:uiPriority w:val="99"/>
    <w:unhideWhenUsed/>
    <w:rsid w:val="00A027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027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32174">
      <w:bodyDiv w:val="1"/>
      <w:marLeft w:val="0"/>
      <w:marRight w:val="0"/>
      <w:marTop w:val="0"/>
      <w:marBottom w:val="0"/>
      <w:divBdr>
        <w:top w:val="none" w:sz="0" w:space="0" w:color="auto"/>
        <w:left w:val="none" w:sz="0" w:space="0" w:color="auto"/>
        <w:bottom w:val="none" w:sz="0" w:space="0" w:color="auto"/>
        <w:right w:val="none" w:sz="0" w:space="0" w:color="auto"/>
      </w:divBdr>
      <w:divsChild>
        <w:div w:id="1612516127">
          <w:marLeft w:val="0"/>
          <w:marRight w:val="0"/>
          <w:marTop w:val="0"/>
          <w:marBottom w:val="240"/>
          <w:divBdr>
            <w:top w:val="none" w:sz="0" w:space="0" w:color="auto"/>
            <w:left w:val="none" w:sz="0" w:space="0" w:color="auto"/>
            <w:bottom w:val="none" w:sz="0" w:space="0" w:color="auto"/>
            <w:right w:val="none" w:sz="0" w:space="0" w:color="auto"/>
          </w:divBdr>
        </w:div>
        <w:div w:id="584919077">
          <w:marLeft w:val="0"/>
          <w:marRight w:val="0"/>
          <w:marTop w:val="0"/>
          <w:marBottom w:val="240"/>
          <w:divBdr>
            <w:top w:val="none" w:sz="0" w:space="0" w:color="auto"/>
            <w:left w:val="none" w:sz="0" w:space="0" w:color="auto"/>
            <w:bottom w:val="none" w:sz="0" w:space="0" w:color="auto"/>
            <w:right w:val="none" w:sz="0" w:space="0" w:color="auto"/>
          </w:divBdr>
        </w:div>
        <w:div w:id="500966663">
          <w:marLeft w:val="0"/>
          <w:marRight w:val="0"/>
          <w:marTop w:val="0"/>
          <w:marBottom w:val="180"/>
          <w:divBdr>
            <w:top w:val="none" w:sz="0" w:space="0" w:color="auto"/>
            <w:left w:val="none" w:sz="0" w:space="0" w:color="auto"/>
            <w:bottom w:val="none" w:sz="0" w:space="0" w:color="auto"/>
            <w:right w:val="none" w:sz="0" w:space="0" w:color="auto"/>
          </w:divBdr>
        </w:div>
        <w:div w:id="371153606">
          <w:marLeft w:val="0"/>
          <w:marRight w:val="0"/>
          <w:marTop w:val="0"/>
          <w:marBottom w:val="0"/>
          <w:divBdr>
            <w:top w:val="none" w:sz="0" w:space="0" w:color="auto"/>
            <w:left w:val="none" w:sz="0" w:space="0" w:color="auto"/>
            <w:bottom w:val="none" w:sz="0" w:space="0" w:color="auto"/>
            <w:right w:val="none" w:sz="0" w:space="0" w:color="auto"/>
          </w:divBdr>
        </w:div>
        <w:div w:id="1957179980">
          <w:marLeft w:val="0"/>
          <w:marRight w:val="0"/>
          <w:marTop w:val="0"/>
          <w:marBottom w:val="0"/>
          <w:divBdr>
            <w:top w:val="none" w:sz="0" w:space="0" w:color="auto"/>
            <w:left w:val="none" w:sz="0" w:space="0" w:color="auto"/>
            <w:bottom w:val="none" w:sz="0" w:space="0" w:color="auto"/>
            <w:right w:val="none" w:sz="0" w:space="0" w:color="auto"/>
          </w:divBdr>
        </w:div>
        <w:div w:id="605381913">
          <w:marLeft w:val="0"/>
          <w:marRight w:val="0"/>
          <w:marTop w:val="0"/>
          <w:marBottom w:val="180"/>
          <w:divBdr>
            <w:top w:val="none" w:sz="0" w:space="0" w:color="auto"/>
            <w:left w:val="none" w:sz="0" w:space="0" w:color="auto"/>
            <w:bottom w:val="none" w:sz="0" w:space="0" w:color="auto"/>
            <w:right w:val="none" w:sz="0" w:space="0" w:color="auto"/>
          </w:divBdr>
        </w:div>
        <w:div w:id="341668818">
          <w:marLeft w:val="0"/>
          <w:marRight w:val="0"/>
          <w:marTop w:val="0"/>
          <w:marBottom w:val="0"/>
          <w:divBdr>
            <w:top w:val="none" w:sz="0" w:space="0" w:color="auto"/>
            <w:left w:val="none" w:sz="0" w:space="0" w:color="auto"/>
            <w:bottom w:val="none" w:sz="0" w:space="0" w:color="auto"/>
            <w:right w:val="none" w:sz="0" w:space="0" w:color="auto"/>
          </w:divBdr>
        </w:div>
        <w:div w:id="1948004040">
          <w:marLeft w:val="0"/>
          <w:marRight w:val="0"/>
          <w:marTop w:val="0"/>
          <w:marBottom w:val="0"/>
          <w:divBdr>
            <w:top w:val="none" w:sz="0" w:space="0" w:color="auto"/>
            <w:left w:val="none" w:sz="0" w:space="0" w:color="auto"/>
            <w:bottom w:val="none" w:sz="0" w:space="0" w:color="auto"/>
            <w:right w:val="none" w:sz="0" w:space="0" w:color="auto"/>
          </w:divBdr>
        </w:div>
        <w:div w:id="884220559">
          <w:marLeft w:val="0"/>
          <w:marRight w:val="0"/>
          <w:marTop w:val="0"/>
          <w:marBottom w:val="180"/>
          <w:divBdr>
            <w:top w:val="none" w:sz="0" w:space="0" w:color="auto"/>
            <w:left w:val="none" w:sz="0" w:space="0" w:color="auto"/>
            <w:bottom w:val="none" w:sz="0" w:space="0" w:color="auto"/>
            <w:right w:val="none" w:sz="0" w:space="0" w:color="auto"/>
          </w:divBdr>
        </w:div>
        <w:div w:id="1271468062">
          <w:marLeft w:val="0"/>
          <w:marRight w:val="0"/>
          <w:marTop w:val="0"/>
          <w:marBottom w:val="0"/>
          <w:divBdr>
            <w:top w:val="none" w:sz="0" w:space="0" w:color="auto"/>
            <w:left w:val="none" w:sz="0" w:space="0" w:color="auto"/>
            <w:bottom w:val="none" w:sz="0" w:space="0" w:color="auto"/>
            <w:right w:val="none" w:sz="0" w:space="0" w:color="auto"/>
          </w:divBdr>
        </w:div>
        <w:div w:id="1723485222">
          <w:marLeft w:val="0"/>
          <w:marRight w:val="0"/>
          <w:marTop w:val="0"/>
          <w:marBottom w:val="240"/>
          <w:divBdr>
            <w:top w:val="none" w:sz="0" w:space="0" w:color="auto"/>
            <w:left w:val="none" w:sz="0" w:space="0" w:color="auto"/>
            <w:bottom w:val="none" w:sz="0" w:space="0" w:color="auto"/>
            <w:right w:val="none" w:sz="0" w:space="0" w:color="auto"/>
          </w:divBdr>
        </w:div>
        <w:div w:id="1520007297">
          <w:marLeft w:val="0"/>
          <w:marRight w:val="0"/>
          <w:marTop w:val="0"/>
          <w:marBottom w:val="0"/>
          <w:divBdr>
            <w:top w:val="none" w:sz="0" w:space="0" w:color="auto"/>
            <w:left w:val="none" w:sz="0" w:space="0" w:color="auto"/>
            <w:bottom w:val="none" w:sz="0" w:space="0" w:color="auto"/>
            <w:right w:val="none" w:sz="0" w:space="0" w:color="auto"/>
          </w:divBdr>
        </w:div>
        <w:div w:id="429859839">
          <w:marLeft w:val="0"/>
          <w:marRight w:val="0"/>
          <w:marTop w:val="0"/>
          <w:marBottom w:val="0"/>
          <w:divBdr>
            <w:top w:val="none" w:sz="0" w:space="0" w:color="auto"/>
            <w:left w:val="none" w:sz="0" w:space="0" w:color="auto"/>
            <w:bottom w:val="none" w:sz="0" w:space="0" w:color="auto"/>
            <w:right w:val="none" w:sz="0" w:space="0" w:color="auto"/>
          </w:divBdr>
        </w:div>
        <w:div w:id="212086640">
          <w:marLeft w:val="0"/>
          <w:marRight w:val="0"/>
          <w:marTop w:val="0"/>
          <w:marBottom w:val="0"/>
          <w:divBdr>
            <w:top w:val="none" w:sz="0" w:space="0" w:color="auto"/>
            <w:left w:val="none" w:sz="0" w:space="0" w:color="auto"/>
            <w:bottom w:val="none" w:sz="0" w:space="0" w:color="auto"/>
            <w:right w:val="none" w:sz="0" w:space="0" w:color="auto"/>
          </w:divBdr>
        </w:div>
        <w:div w:id="1911308367">
          <w:marLeft w:val="0"/>
          <w:marRight w:val="0"/>
          <w:marTop w:val="0"/>
          <w:marBottom w:val="240"/>
          <w:divBdr>
            <w:top w:val="none" w:sz="0" w:space="0" w:color="auto"/>
            <w:left w:val="none" w:sz="0" w:space="0" w:color="auto"/>
            <w:bottom w:val="none" w:sz="0" w:space="0" w:color="auto"/>
            <w:right w:val="none" w:sz="0" w:space="0" w:color="auto"/>
          </w:divBdr>
        </w:div>
      </w:divsChild>
    </w:div>
    <w:div w:id="1468812405">
      <w:bodyDiv w:val="1"/>
      <w:marLeft w:val="0"/>
      <w:marRight w:val="0"/>
      <w:marTop w:val="0"/>
      <w:marBottom w:val="0"/>
      <w:divBdr>
        <w:top w:val="none" w:sz="0" w:space="0" w:color="auto"/>
        <w:left w:val="none" w:sz="0" w:space="0" w:color="auto"/>
        <w:bottom w:val="none" w:sz="0" w:space="0" w:color="auto"/>
        <w:right w:val="none" w:sz="0" w:space="0" w:color="auto"/>
      </w:divBdr>
      <w:divsChild>
        <w:div w:id="1358965837">
          <w:marLeft w:val="0"/>
          <w:marRight w:val="0"/>
          <w:marTop w:val="0"/>
          <w:marBottom w:val="240"/>
          <w:divBdr>
            <w:top w:val="none" w:sz="0" w:space="0" w:color="auto"/>
            <w:left w:val="none" w:sz="0" w:space="0" w:color="auto"/>
            <w:bottom w:val="none" w:sz="0" w:space="0" w:color="auto"/>
            <w:right w:val="none" w:sz="0" w:space="0" w:color="auto"/>
          </w:divBdr>
        </w:div>
        <w:div w:id="512457585">
          <w:marLeft w:val="0"/>
          <w:marRight w:val="0"/>
          <w:marTop w:val="0"/>
          <w:marBottom w:val="240"/>
          <w:divBdr>
            <w:top w:val="none" w:sz="0" w:space="0" w:color="auto"/>
            <w:left w:val="none" w:sz="0" w:space="0" w:color="auto"/>
            <w:bottom w:val="none" w:sz="0" w:space="0" w:color="auto"/>
            <w:right w:val="none" w:sz="0" w:space="0" w:color="auto"/>
          </w:divBdr>
        </w:div>
        <w:div w:id="982198267">
          <w:marLeft w:val="0"/>
          <w:marRight w:val="0"/>
          <w:marTop w:val="0"/>
          <w:marBottom w:val="180"/>
          <w:divBdr>
            <w:top w:val="none" w:sz="0" w:space="0" w:color="auto"/>
            <w:left w:val="none" w:sz="0" w:space="0" w:color="auto"/>
            <w:bottom w:val="none" w:sz="0" w:space="0" w:color="auto"/>
            <w:right w:val="none" w:sz="0" w:space="0" w:color="auto"/>
          </w:divBdr>
        </w:div>
        <w:div w:id="1359428233">
          <w:marLeft w:val="0"/>
          <w:marRight w:val="0"/>
          <w:marTop w:val="0"/>
          <w:marBottom w:val="0"/>
          <w:divBdr>
            <w:top w:val="none" w:sz="0" w:space="0" w:color="auto"/>
            <w:left w:val="none" w:sz="0" w:space="0" w:color="auto"/>
            <w:bottom w:val="none" w:sz="0" w:space="0" w:color="auto"/>
            <w:right w:val="none" w:sz="0" w:space="0" w:color="auto"/>
          </w:divBdr>
        </w:div>
        <w:div w:id="577255878">
          <w:marLeft w:val="0"/>
          <w:marRight w:val="0"/>
          <w:marTop w:val="0"/>
          <w:marBottom w:val="0"/>
          <w:divBdr>
            <w:top w:val="none" w:sz="0" w:space="0" w:color="auto"/>
            <w:left w:val="none" w:sz="0" w:space="0" w:color="auto"/>
            <w:bottom w:val="none" w:sz="0" w:space="0" w:color="auto"/>
            <w:right w:val="none" w:sz="0" w:space="0" w:color="auto"/>
          </w:divBdr>
        </w:div>
        <w:div w:id="153187084">
          <w:marLeft w:val="0"/>
          <w:marRight w:val="0"/>
          <w:marTop w:val="0"/>
          <w:marBottom w:val="180"/>
          <w:divBdr>
            <w:top w:val="none" w:sz="0" w:space="0" w:color="auto"/>
            <w:left w:val="none" w:sz="0" w:space="0" w:color="auto"/>
            <w:bottom w:val="none" w:sz="0" w:space="0" w:color="auto"/>
            <w:right w:val="none" w:sz="0" w:space="0" w:color="auto"/>
          </w:divBdr>
        </w:div>
        <w:div w:id="1214653787">
          <w:marLeft w:val="0"/>
          <w:marRight w:val="0"/>
          <w:marTop w:val="0"/>
          <w:marBottom w:val="0"/>
          <w:divBdr>
            <w:top w:val="none" w:sz="0" w:space="0" w:color="auto"/>
            <w:left w:val="none" w:sz="0" w:space="0" w:color="auto"/>
            <w:bottom w:val="none" w:sz="0" w:space="0" w:color="auto"/>
            <w:right w:val="none" w:sz="0" w:space="0" w:color="auto"/>
          </w:divBdr>
        </w:div>
        <w:div w:id="423763479">
          <w:marLeft w:val="0"/>
          <w:marRight w:val="0"/>
          <w:marTop w:val="0"/>
          <w:marBottom w:val="0"/>
          <w:divBdr>
            <w:top w:val="none" w:sz="0" w:space="0" w:color="auto"/>
            <w:left w:val="none" w:sz="0" w:space="0" w:color="auto"/>
            <w:bottom w:val="none" w:sz="0" w:space="0" w:color="auto"/>
            <w:right w:val="none" w:sz="0" w:space="0" w:color="auto"/>
          </w:divBdr>
        </w:div>
        <w:div w:id="1616255491">
          <w:marLeft w:val="0"/>
          <w:marRight w:val="0"/>
          <w:marTop w:val="0"/>
          <w:marBottom w:val="180"/>
          <w:divBdr>
            <w:top w:val="none" w:sz="0" w:space="0" w:color="auto"/>
            <w:left w:val="none" w:sz="0" w:space="0" w:color="auto"/>
            <w:bottom w:val="none" w:sz="0" w:space="0" w:color="auto"/>
            <w:right w:val="none" w:sz="0" w:space="0" w:color="auto"/>
          </w:divBdr>
        </w:div>
        <w:div w:id="73282761">
          <w:marLeft w:val="0"/>
          <w:marRight w:val="0"/>
          <w:marTop w:val="0"/>
          <w:marBottom w:val="0"/>
          <w:divBdr>
            <w:top w:val="none" w:sz="0" w:space="0" w:color="auto"/>
            <w:left w:val="none" w:sz="0" w:space="0" w:color="auto"/>
            <w:bottom w:val="none" w:sz="0" w:space="0" w:color="auto"/>
            <w:right w:val="none" w:sz="0" w:space="0" w:color="auto"/>
          </w:divBdr>
        </w:div>
        <w:div w:id="510724114">
          <w:marLeft w:val="0"/>
          <w:marRight w:val="0"/>
          <w:marTop w:val="0"/>
          <w:marBottom w:val="240"/>
          <w:divBdr>
            <w:top w:val="none" w:sz="0" w:space="0" w:color="auto"/>
            <w:left w:val="none" w:sz="0" w:space="0" w:color="auto"/>
            <w:bottom w:val="none" w:sz="0" w:space="0" w:color="auto"/>
            <w:right w:val="none" w:sz="0" w:space="0" w:color="auto"/>
          </w:divBdr>
        </w:div>
        <w:div w:id="1753626502">
          <w:marLeft w:val="0"/>
          <w:marRight w:val="0"/>
          <w:marTop w:val="0"/>
          <w:marBottom w:val="0"/>
          <w:divBdr>
            <w:top w:val="none" w:sz="0" w:space="0" w:color="auto"/>
            <w:left w:val="none" w:sz="0" w:space="0" w:color="auto"/>
            <w:bottom w:val="none" w:sz="0" w:space="0" w:color="auto"/>
            <w:right w:val="none" w:sz="0" w:space="0" w:color="auto"/>
          </w:divBdr>
        </w:div>
        <w:div w:id="709767169">
          <w:marLeft w:val="0"/>
          <w:marRight w:val="0"/>
          <w:marTop w:val="0"/>
          <w:marBottom w:val="0"/>
          <w:divBdr>
            <w:top w:val="none" w:sz="0" w:space="0" w:color="auto"/>
            <w:left w:val="none" w:sz="0" w:space="0" w:color="auto"/>
            <w:bottom w:val="none" w:sz="0" w:space="0" w:color="auto"/>
            <w:right w:val="none" w:sz="0" w:space="0" w:color="auto"/>
          </w:divBdr>
        </w:div>
        <w:div w:id="1031027537">
          <w:marLeft w:val="0"/>
          <w:marRight w:val="0"/>
          <w:marTop w:val="0"/>
          <w:marBottom w:val="0"/>
          <w:divBdr>
            <w:top w:val="none" w:sz="0" w:space="0" w:color="auto"/>
            <w:left w:val="none" w:sz="0" w:space="0" w:color="auto"/>
            <w:bottom w:val="none" w:sz="0" w:space="0" w:color="auto"/>
            <w:right w:val="none" w:sz="0" w:space="0" w:color="auto"/>
          </w:divBdr>
        </w:div>
        <w:div w:id="77575075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 吴</dc:creator>
  <cp:keywords/>
  <dc:description/>
  <cp:lastModifiedBy>Ayy lovery</cp:lastModifiedBy>
  <cp:revision>8</cp:revision>
  <dcterms:created xsi:type="dcterms:W3CDTF">2025-09-18T01:49:00Z</dcterms:created>
  <dcterms:modified xsi:type="dcterms:W3CDTF">2025-11-11T12:01:00Z</dcterms:modified>
</cp:coreProperties>
</file>