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王者荣耀 装备与铭文数值建模系统</w:t>
      </w:r>
    </w:p>
    <w:p>
      <w:pPr>
        <w:jc w:val="center"/>
      </w:pPr>
      <w:r>
        <w:rPr>
          <w:rFonts w:ascii="微软雅黑" w:hAnsi="微软雅黑" w:eastAsia="微软雅黑"/>
          <w:color w:val="787878"/>
          <w:sz w:val="24"/>
        </w:rPr>
        <w:t>作品摘要 —— 本科毕业设计核心提炼与策划方法论沉淀</w:t>
      </w:r>
    </w:p>
    <w:p>
      <w:pPr>
        <w:jc w:val="center"/>
      </w:pPr>
      <w:r>
        <w:rPr>
          <w:rFonts w:ascii="微软雅黑" w:hAnsi="微软雅黑" w:eastAsia="微软雅黑"/>
          <w:sz w:val="20"/>
        </w:rPr>
        <w:t>作者：李伟翔 ｜ 专业：自动化 ｜ 工具：MATLAB</w:t>
        <w:br/>
      </w:r>
      <w:r>
        <w:rPr>
          <w:rFonts w:ascii="微软雅黑" w:hAnsi="微软雅黑" w:eastAsia="微软雅黑"/>
          <w:color w:val="828282"/>
          <w:sz w:val="18"/>
        </w:rPr>
        <w:t>对应作品：《基于数值建模的王者荣耀装备与铭文伤害系统分析》（本科毕业论文）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8"/>
        </w:rPr>
        <w:t>① 一句话定位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基于 MATLAB 搭建的 MOBA 装备与铭文——伤害数值仿真系统：把《王者荣耀》底层伤害公式拆解、量化重建，做成「可调参的直观伤害分析器」，用于定量评估任意「装备＋铭文＋英雄＋目标防御」组合的输出表现，把经验试错升级为数据驱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8"/>
        </w:rPr>
        <w:t>② 为什么做｜解决谁的什么问题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数值装备与铭文的选择，直接决定英雄输出上限，但目前研究多是主观经验、缺乏可量化、可复现的数据支撑。三方角色都面临数值决策困境：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一般玩家：</w:t>
      </w:r>
      <w:r>
        <w:rPr>
          <w:rFonts w:ascii="微软雅黑" w:hAnsi="微软雅黑" w:eastAsia="微软雅黑"/>
          <w:sz w:val="21"/>
        </w:rPr>
        <w:t>没有量化手段，出装备只能跟攻略或凭感觉；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职业战队：</w:t>
      </w:r>
      <w:r>
        <w:rPr>
          <w:rFonts w:ascii="微软雅黑" w:hAnsi="微软雅黑" w:eastAsia="微软雅黑"/>
          <w:sz w:val="21"/>
        </w:rPr>
        <w:t>赛前需基于当前版本制定禁用/选角与针对性出装策略；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游戏开发者：</w:t>
      </w:r>
      <w:r>
        <w:rPr>
          <w:rFonts w:ascii="微软雅黑" w:hAnsi="微软雅黑" w:eastAsia="微软雅黑"/>
          <w:sz w:val="21"/>
        </w:rPr>
        <w:t>识别「超模/弱势」组合、预判版本走向并做平衡性微调。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本论文定位的正是这套数据支撑：一套能算清「不同组合能打出多少伤害、值不值」的仿真方法论与工具。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8"/>
        </w:rPr>
        <w:t>③ 做了什么｜核心产出</w:t>
      </w:r>
    </w:p>
    <w:p>
      <w:pPr>
        <w:spacing w:after="60"/>
        <w:ind w:left="240"/>
      </w:pPr>
      <w:r>
        <w:rPr>
          <w:rFonts w:ascii="微软雅黑" w:hAnsi="微软雅黑" w:eastAsia="微软雅黑"/>
          <w:sz w:val="21"/>
        </w:rPr>
        <w:t>· 物理 / 法术 / 真实 三类伤害的完整计算流程建模，明确护甲减伤、属性穿透、暴击判定等核心公式；</w:t>
      </w:r>
    </w:p>
    <w:p>
      <w:pPr>
        <w:spacing w:after="60"/>
        <w:ind w:left="240"/>
      </w:pPr>
      <w:r>
        <w:rPr>
          <w:rFonts w:ascii="微软雅黑" w:hAnsi="微软雅黑" w:eastAsia="微软雅黑"/>
          <w:sz w:val="21"/>
        </w:rPr>
        <w:t>· 将英雄分为 物理爆发 / 物理持续 / 法术爆发 / 法术持续 / 真实伤害 五类，逐类建立伤害模型；</w:t>
      </w:r>
    </w:p>
    <w:p>
      <w:pPr>
        <w:spacing w:after="60"/>
        <w:ind w:left="240"/>
      </w:pPr>
      <w:r>
        <w:rPr>
          <w:rFonts w:ascii="微软雅黑" w:hAnsi="微软雅黑" w:eastAsia="微软雅黑"/>
          <w:sz w:val="21"/>
        </w:rPr>
        <w:t>· MATLAB 面向对象实现「数据层—模型层—分析层」三层架构、七大模块、可视化伤害分析器；</w:t>
      </w:r>
    </w:p>
    <w:p>
      <w:pPr>
        <w:spacing w:after="60"/>
        <w:ind w:left="240"/>
      </w:pPr>
      <w:r>
        <w:rPr>
          <w:rFonts w:ascii="微软雅黑" w:hAnsi="微软雅黑" w:eastAsia="微软雅黑"/>
          <w:sz w:val="21"/>
        </w:rPr>
        <w:t>· 实现三大算法：DPS 曲线生成、贪心装备优化器、全组合铭文搜索、蒙特卡洛暴击分布模拟。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8"/>
        </w:rPr>
        <w:t>④ 方法论沉淀｜策划视角最有价值的东西</w:t>
      </w:r>
    </w:p>
    <w:p>
      <w:pPr>
        <w:spacing w:before="100" w:after="80"/>
      </w:pPr>
      <w:r>
        <w:rPr>
          <w:rFonts w:ascii="微软雅黑" w:hAnsi="微软雅黑" w:eastAsia="微软雅黑"/>
          <w:b/>
          <w:color w:val="505050"/>
          <w:sz w:val="23"/>
        </w:rPr>
        <w:t>（一）减伤算法：双曲线「边际递减」＋有效生命「线性」</w:t>
      </w:r>
    </w:p>
    <w:p>
      <w:pPr>
        <w:spacing w:after="80"/>
        <w:ind w:left="200"/>
      </w:pPr>
      <w:r>
        <w:rPr>
          <w:rFonts w:ascii="微软雅黑" w:hAnsi="微软雅黑" w:eastAsia="微软雅黑"/>
          <w:b w:val="0"/>
          <w:sz w:val="21"/>
        </w:rPr>
        <w:t>减伤率 R = 防御 / (防御 + 602)，随防御提高增速放缓（边际收益递减，防止过高防御达成「无敌」）；但有效生命倍率 = 1/(1-R) 随防御线性增长，即「每一点防御对生存的贡献等价」。这是 MOBA 减伤数值的通用骨架。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防御值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减伤率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有效生命倍率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防御值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减伤率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有效生命倍率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1.00x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1000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62.4%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2.66x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33.2%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1.50x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1500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71.4%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3.50x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602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50.0%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2.00x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2000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76.8%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4.32x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505050"/>
          <w:sz w:val="23"/>
        </w:rPr>
        <w:t>（二）穿透两段式：先固定、后百分比；按目标防御动态选型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计算顺序：</w:t>
      </w:r>
      <w:r>
        <w:rPr>
          <w:rFonts w:ascii="微软雅黑" w:hAnsi="微软雅黑" w:eastAsia="微软雅黑"/>
          <w:sz w:val="21"/>
        </w:rPr>
        <w:t>先从护甲扣除固定穿透，再对剩余护甲应用百分比穿透（例：800甲－100固定－40%百分比→有效420→减伤约41.1%）；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选型铁律：</w:t>
      </w:r>
      <w:r>
        <w:rPr>
          <w:rFonts w:ascii="微软雅黑" w:hAnsi="微软雅黑" w:eastAsia="微软雅黑"/>
          <w:sz w:val="21"/>
        </w:rPr>
        <w:t>目标防御低→固定穿透收益高（暗影战斧180）；目标防御高→百分比穿透必带（破晓/虚无法杖）；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实证：</w:t>
      </w:r>
      <w:r>
        <w:rPr>
          <w:rFonts w:ascii="微软雅黑" w:hAnsi="微软雅黑" w:eastAsia="微软雅黑"/>
          <w:sz w:val="21"/>
        </w:rPr>
        <w:t>固定穿透收益随目标防御升高而递减（300甲时100穿透降减伤9.6pct，1000甲时仅4.6pct）。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505050"/>
          <w:sz w:val="23"/>
        </w:rPr>
        <w:t>（三）五类英雄输出画像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英雄类型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DPS 曲线形态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伤害构成（10s）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出装侧重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物理爆发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脉冲式尖峰—低谷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技能 72% / 被动·特效 20% / 普攻 8%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物攻 + 穿透 + 暴击伤害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物理持续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平稳带周期小波动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普攻 60% / 特效 30% / 技能 10%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攻速 + 暴击率 + 触发装(末世/电刀)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法术爆发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极短窗口冲高后归零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技能 75% / 特效 20% / 普攻 5%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法强 + 法穿 + 冷却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法术持续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阶梯式(DOT 层数上升)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技能 55% / DOT+特效 30%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法强 + 冷却 + 持续结算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真实伤害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不受抗性压制的稳定线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真伤 30%(随战斗时长提升)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真伤前置条件 + 生存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505050"/>
          <w:sz w:val="23"/>
        </w:rPr>
        <w:t>（四）数值指标方法论：把「手感」变成「口径」</w:t>
      </w:r>
    </w:p>
    <w:p>
      <w:pPr>
        <w:spacing w:after="60"/>
        <w:ind w:left="240"/>
      </w:pPr>
      <w:r>
        <w:rPr>
          <w:rFonts w:ascii="微软雅黑" w:hAnsi="微软雅黑" w:eastAsia="微软雅黑"/>
          <w:sz w:val="21"/>
        </w:rPr>
        <w:t>· DPCE＝每金币伤害增量，作为装备经济收益的统一口径（费用/实战收益双因素）；</w:t>
      </w:r>
    </w:p>
    <w:p>
      <w:pPr>
        <w:spacing w:after="60"/>
        <w:ind w:left="240"/>
      </w:pPr>
      <w:r>
        <w:rPr>
          <w:rFonts w:ascii="微软雅黑" w:hAnsi="微软雅黑" w:eastAsia="微软雅黑"/>
          <w:sz w:val="21"/>
        </w:rPr>
        <w:t>· 有效生命（EHP）、击杀时间（TTK）：量化攻防取舍与生存——输出时间内的存活率决定有效输出；</w:t>
      </w:r>
    </w:p>
    <w:p>
      <w:pPr>
        <w:spacing w:after="60"/>
        <w:ind w:left="240"/>
      </w:pPr>
      <w:r>
        <w:rPr>
          <w:rFonts w:ascii="微软雅黑" w:hAnsi="微软雅黑" w:eastAsia="微软雅黑"/>
          <w:sz w:val="21"/>
        </w:rPr>
        <w:t>· 峰值 DPS / 平均 DPS：爆发型看峰值、持续型看平均，分别代表「斩杀力」与「稳定性」。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8"/>
        </w:rPr>
        <w:t>⑤ 关键量化结论（可直接复用的数字）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铭文收益：</w:t>
      </w:r>
      <w:r>
        <w:rPr>
          <w:rFonts w:ascii="微软雅黑" w:hAnsi="微软雅黑" w:eastAsia="微软雅黑"/>
          <w:sz w:val="21"/>
        </w:rPr>
        <w:t>百穿铭文(异变+鹰眼+隐匿)让物理爆发前期伤害提升约 20%（兰陵王 DPS 280.4→336.5）；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铭文收益：</w:t>
      </w:r>
      <w:r>
        <w:rPr>
          <w:rFonts w:ascii="微软雅黑" w:hAnsi="微软雅黑" w:eastAsia="微软雅黑"/>
          <w:sz w:val="21"/>
        </w:rPr>
        <w:t>法穿铭文(梦魇+心眼+狩猎)让法术爆发伤害提升约 22%（干将莫邪）；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穿透收益：</w:t>
      </w:r>
      <w:r>
        <w:rPr>
          <w:rFonts w:ascii="微软雅黑" w:hAnsi="微软雅黑" w:eastAsia="微软雅黑"/>
          <w:sz w:val="21"/>
        </w:rPr>
        <w:t>高防目标(护甲1000)：破晓45%百分比穿透降减伤约14.7pct，伤害提升约28%，是打坦克的核心；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穿透选型：</w:t>
      </w:r>
      <w:r>
        <w:rPr>
          <w:rFonts w:ascii="微软雅黑" w:hAnsi="微软雅黑" w:eastAsia="微软雅黑"/>
          <w:sz w:val="21"/>
        </w:rPr>
        <w:t>目标护甲≦300固定穿透即可；400–600需固定+百分比结合；≧800百分比穿透必带；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爆发vs持续：</w:t>
      </w:r>
      <w:r>
        <w:rPr>
          <w:rFonts w:ascii="微软雅黑" w:hAnsi="微软雅黑" w:eastAsia="微软雅黑"/>
          <w:sz w:val="21"/>
        </w:rPr>
        <w:t>爆发型峰值/平均DPS=3~5、前3秒占60–70%；持续型峰值/平均=1.2~1.5、前3秒仅25–30%；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真实伤害：</w:t>
      </w:r>
      <w:r>
        <w:rPr>
          <w:rFonts w:ascii="微软雅黑" w:hAnsi="微软雅黑" w:eastAsia="微软雅黑"/>
          <w:sz w:val="21"/>
        </w:rPr>
        <w:t>无视抗性、占比随战斗时长提升，对高坦目标极有效（护甲600时真伤占40–50%）；</w:t>
      </w:r>
    </w:p>
    <w:p>
      <w:pPr>
        <w:spacing w:after="60"/>
        <w:ind w:left="240"/>
      </w:pPr>
      <w:r>
        <w:rPr>
          <w:rFonts w:ascii="微软雅黑" w:hAnsi="微软雅黑" w:eastAsia="微软雅黑"/>
          <w:b/>
          <w:sz w:val="21"/>
        </w:rPr>
        <w:t>· 机制约束：</w:t>
      </w:r>
      <w:r>
        <w:rPr>
          <w:rFonts w:ascii="微软雅黑" w:hAnsi="微软雅黑" w:eastAsia="微软雅黑"/>
          <w:sz w:val="21"/>
        </w:rPr>
        <w:t>攻速已删阈值、与普攻间隔严格线性；CDR上限40%；默认暴击伤害185%（无尽+40%）——建模硬约束。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8"/>
        </w:rPr>
        <w:t>⑥ 工程与工具落地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单次 10s 伤害仿真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0.1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蒙特卡洛模拟（1000 次）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30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贪心全装备组合搜索（预算内）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5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数据载入（DataLoader）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0.5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峰值内存占用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&lt; 200MB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基于面向对象设计（Hero 基类 ＋ 五类子类多态、Target 假人、DamageAnalyzer 分析引擎、公式静态模块），通过 CSV 统一管理英雄/装备/铭文数据，具备通用性与可扩展性。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8"/>
        </w:rPr>
        <w:t>⑦ 局限与下一步</w:t>
      </w:r>
    </w:p>
    <w:p>
      <w:pPr>
        <w:spacing w:after="60"/>
        <w:ind w:left="240"/>
      </w:pPr>
      <w:r>
        <w:rPr>
          <w:rFonts w:ascii="微软雅黑" w:hAnsi="微软雅黑" w:eastAsia="微软雅黑"/>
          <w:sz w:val="21"/>
        </w:rPr>
        <w:t>· 单目标站桩场景，未含走位/位移/控制/AOE；</w:t>
      </w:r>
    </w:p>
    <w:p>
      <w:pPr>
        <w:spacing w:after="60"/>
        <w:ind w:left="240"/>
      </w:pPr>
      <w:r>
        <w:rPr>
          <w:rFonts w:ascii="微软雅黑" w:hAnsi="微软雅黑" w:eastAsia="微软雅黑"/>
          <w:sz w:val="21"/>
        </w:rPr>
        <w:t>· 数据靠人工配表、版本更新时效性受限；</w:t>
      </w:r>
    </w:p>
    <w:p>
      <w:pPr>
        <w:spacing w:after="60"/>
        <w:ind w:left="240"/>
      </w:pPr>
      <w:r>
        <w:rPr>
          <w:rFonts w:ascii="微软雅黑" w:hAnsi="微软雅黑" w:eastAsia="微软雅黑"/>
          <w:sz w:val="21"/>
        </w:rPr>
        <w:t>· 贪心算法忽略装备协同，非全局最优。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未来方向：多目标团队伤害与协同、实时对局数据解析、机器学习驱动协同搜索、以及跨 MOBA（LOL手游/DOTA2/平安京）方法论迁移。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864"/>
          <w:sz w:val="28"/>
        </w:rPr>
        <w:t>⑧ 对系统 / 数值策划岗位的价值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这套作品证明的不只是「会算」，更是系统策划的核心能力闭环：把抽象游戏规则翻译成可计算模型 → 用工具量化验证 → 输出可落地的配表与调优决策（穿透分档、铭文套装、装备 DPCE 排序、版本预判）。它不是纯学术论文，而是一套能直接迁移到任何数值/配置/平衡工作场景的方法论与工具。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