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1A75D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41959620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《软件工程（课程设计）  产出 D-01》</w:t>
      </w:r>
    </w:p>
    <w:p w14:paraId="5FF40DBD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项目开题报告</w:t>
      </w:r>
    </w:p>
    <w:p w14:paraId="3E28FBF4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Course Design Deliverable Template</w:t>
      </w:r>
    </w:p>
    <w:p w14:paraId="7203EE21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4"/>
        </w:rPr>
        <w:t>—— Course Design Specification &amp; Templates ——</w:t>
      </w:r>
    </w:p>
    <w:p w14:paraId="6C63BE9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01AE2BD"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602812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编号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01B63B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D-01</w:t>
            </w:r>
          </w:p>
        </w:tc>
      </w:tr>
      <w:tr w14:paraId="67E7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DF4C9A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ABA8B4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项目开题报告</w:t>
            </w:r>
          </w:p>
        </w:tc>
      </w:tr>
      <w:tr w14:paraId="7AA22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B03A38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类型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47A8AC6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产出</w:t>
            </w:r>
          </w:p>
        </w:tc>
      </w:tr>
      <w:tr w14:paraId="6D013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AD2B5C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版本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C41375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5E888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E583F41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小组 / 组号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DCFA297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</w:t>
            </w:r>
          </w:p>
        </w:tc>
      </w:tr>
      <w:tr w14:paraId="3B81F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82626D2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7B98675">
            <w:pPr>
              <w:spacing w:after="4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计算机23 / 231002113 / 罗正青</w:t>
            </w:r>
          </w:p>
        </w:tc>
      </w:tr>
      <w:tr w14:paraId="0A15C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686500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完成日期</w:t>
            </w:r>
          </w:p>
        </w:tc>
        <w:tc>
          <w:tcPr>
            <w:tcW w:w="708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61C3DEC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</w:t>
            </w:r>
            <w:r>
              <w:rPr>
                <w:rFonts w:hint="eastAsia"/>
                <w:b w:val="0"/>
                <w:color w:val="2B2B2B"/>
                <w:sz w:val="21"/>
                <w:lang w:val="en-US" w:eastAsia="zh-CN"/>
              </w:rPr>
              <w:t>14</w:t>
            </w:r>
          </w:p>
        </w:tc>
      </w:tr>
    </w:tbl>
    <w:p w14:paraId="08792790"/>
    <w:p w14:paraId="523AEC3B">
      <w:r>
        <w:br w:type="page"/>
      </w:r>
    </w:p>
    <w:p w14:paraId="1182898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使用说明</w:t>
      </w:r>
    </w:p>
    <w:p w14:paraId="1C3F2B4F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立项阶段的纲领性文件。须能让评审在 5 分钟内回答："这组要做什么？为什么值得做？怎么做？多久能做完？"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03A4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8" w:space="0"/>
              <w:left w:val="single" w:color="B8D8C2" w:sz="8" w:space="0"/>
              <w:bottom w:val="single" w:color="B8D8C2" w:sz="8" w:space="0"/>
              <w:right w:val="single" w:color="B8D8C2" w:sz="8" w:space="0"/>
            </w:tcBorders>
            <w:shd w:val="clear" w:color="auto" w:fill="EAF4EC"/>
          </w:tcPr>
          <w:p w14:paraId="576EC0F0">
            <w:pPr>
              <w:spacing w:after="40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 xml:space="preserve">📌 填写指引 </w:t>
            </w:r>
          </w:p>
          <w:p w14:paraId="39AAA27F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 w14:paraId="5E14F41F"/>
    <w:p w14:paraId="0EE8D78D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1  项目基本信息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3F55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1745C95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6803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5C557B4A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 w14:paraId="4426D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76EFF3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项目中文名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9F0C14B"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SwapCampus 校园闲置物品交易平台</w:t>
            </w:r>
          </w:p>
        </w:tc>
      </w:tr>
      <w:tr w14:paraId="07268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92A47D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项目英文名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6B7DFADA"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SwapCampus Campus Idle Goods Trading Platform</w:t>
            </w:r>
          </w:p>
        </w:tc>
      </w:tr>
      <w:tr w14:paraId="496DE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747423F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选题编号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0E58E40">
            <w:pPr>
              <w:spacing w:before="40" w:after="40"/>
              <w:jc w:val="left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T-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（自拟选题填 SELF）</w:t>
            </w:r>
          </w:p>
        </w:tc>
      </w:tr>
      <w:tr w14:paraId="1E325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1BF9C37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小组组号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96B2DFC"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 4 组</w:t>
            </w:r>
          </w:p>
        </w:tc>
      </w:tr>
      <w:tr w14:paraId="1AE86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661EE2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指导教师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9E20C62">
            <w:pPr>
              <w:spacing w:before="40" w:after="4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王升</w:t>
            </w:r>
          </w:p>
        </w:tc>
      </w:tr>
      <w:tr w14:paraId="70E91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2D3EFF5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计划起讫</w:t>
            </w:r>
          </w:p>
        </w:tc>
        <w:tc>
          <w:tcPr>
            <w:tcW w:w="6803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66CE74D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2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026</w:t>
            </w: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-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-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2</w:t>
            </w: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 xml:space="preserve">  至  20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-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6</w:t>
            </w:r>
            <w:r>
              <w:rPr>
                <w:rFonts w:ascii="微软雅黑" w:hAnsi="微软雅黑" w:eastAsia="微软雅黑"/>
                <w:b w:val="0"/>
                <w:color w:val="2B2B2B"/>
                <w:sz w:val="19"/>
              </w:rPr>
              <w:t>-</w:t>
            </w:r>
            <w:r>
              <w:rPr>
                <w:rFonts w:hint="eastAsia"/>
                <w:b w:val="0"/>
                <w:color w:val="2B2B2B"/>
                <w:sz w:val="19"/>
                <w:lang w:val="en-US" w:eastAsia="zh-CN"/>
              </w:rPr>
              <w:t>14</w:t>
            </w:r>
          </w:p>
        </w:tc>
      </w:tr>
    </w:tbl>
    <w:p w14:paraId="1224EA2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B271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33D5729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本项目面向北京林业大学校内师生闲置物品交易场景，建设一个覆盖商品发布、检索沟通、下单支付、交付确认、评价信用和后台治理的 Web 平台。系统以“实名可信、交易闭环、治理可追溯”为核心，将分散在微信群和朋友圈中的交易行为沉淀为可检索、可审核、可统计的校园服务。</w:t>
            </w:r>
          </w:p>
        </w:tc>
      </w:tr>
    </w:tbl>
    <w:p w14:paraId="438C06C5"/>
    <w:p w14:paraId="531EE2EC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2  立项背景与意义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8DB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294B655">
            <w:pPr>
              <w:spacing w:after="3200"/>
            </w:pPr>
            <w:r>
              <w:rPr>
                <w:rFonts w:ascii="宋体" w:hAnsi="宋体" w:eastAsia="宋体"/>
                <w:b w:val="0"/>
                <w:sz w:val="21"/>
              </w:rPr>
              <w:t>校园内教材、电子产品、生活用品、运动用品等闲置物品流转频繁，但现有方式多依赖微信群、朋友圈或线下口口相传，存在信息过期、搜索困难、交易信用难追溯、纠纷缺少凭证、违规商品难以及时处理等问题。SwapCampus 对学生买家、卖家和管理者都有直接价值：买家能快速找到可信商品，卖家能规范发布并完成交易，管理员能通过审核、举报和审计机制维护平台秩序。课程周期内完成该系统，也能完整覆盖需求、设计、编码、测试、部署和文档交付的工程训练目标。</w:t>
            </w:r>
          </w:p>
        </w:tc>
      </w:tr>
    </w:tbl>
    <w:p w14:paraId="0C5ACAA4"/>
    <w:p w14:paraId="768B1CA2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3  选题论证（自拟选题须扩展为 ≥ 1500 字）</w:t>
      </w:r>
    </w:p>
    <w:p w14:paraId="1CBD969E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3.1  现状调研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4F6973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0"/>
              <w:gridCol w:w="2100"/>
              <w:gridCol w:w="2700"/>
              <w:gridCol w:w="2700"/>
            </w:tblGrid>
            <w:tr w14:paraId="7722C0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shd w:val="clear" w:color="auto" w:fill="E8EEF5"/>
                  <w:vAlign w:val="center"/>
                </w:tcPr>
                <w:p w14:paraId="3048F18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同类系统</w:t>
                  </w:r>
                </w:p>
              </w:tc>
              <w:tc>
                <w:tcPr>
                  <w:tcW w:w="2100" w:type="dxa"/>
                  <w:shd w:val="clear" w:color="auto" w:fill="E8EEF5"/>
                  <w:vAlign w:val="center"/>
                </w:tcPr>
                <w:p w14:paraId="4314939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主要特点</w:t>
                  </w:r>
                </w:p>
              </w:tc>
              <w:tc>
                <w:tcPr>
                  <w:tcW w:w="2700" w:type="dxa"/>
                  <w:shd w:val="clear" w:color="auto" w:fill="E8EEF5"/>
                  <w:vAlign w:val="center"/>
                </w:tcPr>
                <w:p w14:paraId="081DB92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不足或差距</w:t>
                  </w:r>
                </w:p>
              </w:tc>
              <w:tc>
                <w:tcPr>
                  <w:tcW w:w="2700" w:type="dxa"/>
                  <w:shd w:val="clear" w:color="auto" w:fill="E8EEF5"/>
                  <w:vAlign w:val="center"/>
                </w:tcPr>
                <w:p w14:paraId="5BD05A0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对本项目启示</w:t>
                  </w:r>
                </w:p>
              </w:tc>
            </w:tr>
            <w:tr w14:paraId="3D1E0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4C18522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闲鱼</w:t>
                  </w:r>
                </w:p>
              </w:tc>
              <w:tc>
                <w:tcPr>
                  <w:tcW w:w="2100" w:type="dxa"/>
                  <w:vAlign w:val="center"/>
                </w:tcPr>
                <w:p w14:paraId="2B7D3C2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用户规模大，商品类目完整，评价和支付体系成熟</w:t>
                  </w:r>
                </w:p>
              </w:tc>
              <w:tc>
                <w:tcPr>
                  <w:tcW w:w="2700" w:type="dxa"/>
                  <w:vAlign w:val="center"/>
                </w:tcPr>
                <w:p w14:paraId="0A5E9CE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面向公网，校内身份和同校交易约束弱，校园治理颗粒度不足</w:t>
                  </w:r>
                </w:p>
              </w:tc>
              <w:tc>
                <w:tcPr>
                  <w:tcW w:w="2700" w:type="dxa"/>
                  <w:vAlign w:val="center"/>
                </w:tcPr>
                <w:p w14:paraId="4E3ECEF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保留商品流转体验，但强化学号实名、校内范围和管理员治理</w:t>
                  </w:r>
                </w:p>
              </w:tc>
            </w:tr>
            <w:tr w14:paraId="64B6C4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0D1CCBA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微信群/朋友圈</w:t>
                  </w:r>
                </w:p>
              </w:tc>
              <w:tc>
                <w:tcPr>
                  <w:tcW w:w="2100" w:type="dxa"/>
                  <w:vAlign w:val="center"/>
                </w:tcPr>
                <w:p w14:paraId="711B8ED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使用门槛低，消息传播快</w:t>
                  </w:r>
                </w:p>
              </w:tc>
              <w:tc>
                <w:tcPr>
                  <w:tcW w:w="2700" w:type="dxa"/>
                  <w:vAlign w:val="center"/>
                </w:tcPr>
                <w:p w14:paraId="7CAE1FE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信息沉没快，无法结构化检索，交易记录和信用难追溯</w:t>
                  </w:r>
                </w:p>
              </w:tc>
              <w:tc>
                <w:tcPr>
                  <w:tcW w:w="2700" w:type="dxa"/>
                  <w:vAlign w:val="center"/>
                </w:tcPr>
                <w:p w14:paraId="6FECFC0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将商品、沟通、订单和评价结构化沉淀</w:t>
                  </w:r>
                </w:p>
              </w:tc>
            </w:tr>
            <w:tr w14:paraId="2DE722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0" w:type="dxa"/>
                  <w:vAlign w:val="center"/>
                </w:tcPr>
                <w:p w14:paraId="0533B1F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校内论坛/表白墙</w:t>
                  </w:r>
                </w:p>
              </w:tc>
              <w:tc>
                <w:tcPr>
                  <w:tcW w:w="2100" w:type="dxa"/>
                  <w:vAlign w:val="center"/>
                </w:tcPr>
                <w:p w14:paraId="298594C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有校园用户基础，适合发布信息</w:t>
                  </w:r>
                </w:p>
              </w:tc>
              <w:tc>
                <w:tcPr>
                  <w:tcW w:w="2700" w:type="dxa"/>
                  <w:vAlign w:val="center"/>
                </w:tcPr>
                <w:p w14:paraId="3F7DFAF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缺少订单、支付、评价、举报闭环</w:t>
                  </w:r>
                </w:p>
              </w:tc>
              <w:tc>
                <w:tcPr>
                  <w:tcW w:w="2700" w:type="dxa"/>
                  <w:vAlign w:val="center"/>
                </w:tcPr>
                <w:p w14:paraId="1E9700A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补足交易状态机、信用分和后台审核</w:t>
                  </w:r>
                </w:p>
              </w:tc>
            </w:tr>
          </w:tbl>
          <w:p w14:paraId="354AEAD4"/>
          <w:p w14:paraId="4B914AE5">
            <w:pPr>
              <w:spacing w:after="4000"/>
            </w:pPr>
            <w:r>
              <w:rPr>
                <w:rFonts w:ascii="宋体" w:hAnsi="宋体" w:eastAsia="宋体"/>
                <w:b w:val="0"/>
                <w:sz w:val="21"/>
              </w:rPr>
              <w:t>调研结论：已有工具要么交易能力强但校园身份弱，要么校园属性强但交易闭环弱。SwapCampus 的切入点是把校内身份、商品治理和交易闭环组合起来，服务课程可实现规模。</w:t>
            </w:r>
          </w:p>
        </w:tc>
      </w:tr>
    </w:tbl>
    <w:p w14:paraId="00760357">
      <w:pPr>
        <w:rPr>
          <w:rFonts w:hint="eastAsia" w:eastAsia="微软雅黑"/>
          <w:lang w:eastAsia="zh-CN"/>
        </w:rPr>
      </w:pPr>
    </w:p>
    <w:p w14:paraId="08870AA3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3.2  本项目独特价值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586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55C329A"/>
          <w:p w14:paraId="1C452034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校内实名与信用分结合：注册登录后需完成学号实名验证，信用变化写入流水，增强交易可信度。</w:t>
            </w:r>
          </w:p>
          <w:p w14:paraId="763BA903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交易主流程闭环：从商品审核、买卖沟通、下单、Mock 支付、面交/柜机交付到评价，形成可演示链路。</w:t>
            </w:r>
          </w:p>
          <w:p w14:paraId="332CCF80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治理可追溯：举报、商品审核、用户禁言/封禁和审计日志支撑平台治理。</w:t>
            </w:r>
          </w:p>
          <w:p w14:paraId="01932D53">
            <w:pPr>
              <w:spacing w:after="2400"/>
            </w:pPr>
            <w:r>
              <w:rPr>
                <w:rFonts w:ascii="宋体" w:hAnsi="宋体" w:eastAsia="宋体"/>
                <w:sz w:val="21"/>
              </w:rPr>
              <w:t>可扩展适配器：支付、柜机、AI 建议均以 Mock Adapter 起步，后续可替换真实服务。</w:t>
            </w:r>
          </w:p>
        </w:tc>
      </w:tr>
    </w:tbl>
    <w:p w14:paraId="11179A9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8F16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52C608CD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项目采用前后端分离和模块化单体架构。前端提供用户端与管理端页面，后端按 auth、user、product、order、payment、delivery、chat、review、report、admin、ai、points、audit 等模块划分，数据库使用 SQL Server，文件存储使用 MinIO，并通过 Docker Compose 编排基础设施和应用。</w:t>
            </w:r>
          </w:p>
        </w:tc>
      </w:tr>
    </w:tbl>
    <w:p w14:paraId="597A02E0"/>
    <w:p w14:paraId="0A2EE03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4  总体目标与功能范围（MVP）</w:t>
      </w:r>
    </w:p>
    <w:p w14:paraId="1F6221B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4.1  总体目标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CA0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3C3A18C">
            <w:pPr>
              <w:spacing w:after="120" w:line="276" w:lineRule="auto"/>
            </w:pPr>
            <w:r>
              <w:rPr>
                <w:rFonts w:ascii="宋体" w:hAnsi="宋体" w:eastAsia="宋体"/>
                <w:b/>
                <w:sz w:val="21"/>
              </w:rPr>
              <w:t>总体目标：在 14 天课程设计周期内完成一个可运行、可演示、可测试、可部署的校园闲置物品交易平台。</w:t>
            </w:r>
          </w:p>
          <w:p w14:paraId="621D64C4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完成用户体系、商品发布、商品检索、交易流程、站内通讯、后台管理 6 个必做模块。</w:t>
            </w:r>
          </w:p>
          <w:p w14:paraId="47A34649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实现买家、卖家、商品审核员/系统管理员等角色权限与前端路由守卫。</w:t>
            </w:r>
          </w:p>
          <w:p w14:paraId="15787814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支撑“实名认证 -&gt; 发布审核 -&gt; 搜索沟通 -&gt; 下单支付 -&gt; 交付评价 -&gt; 举报处理”的最小演示路径。</w:t>
            </w:r>
          </w:p>
          <w:p w14:paraId="01001CD7">
            <w:pPr>
              <w:spacing w:after="2000"/>
            </w:pPr>
            <w:r>
              <w:rPr>
                <w:rFonts w:ascii="宋体" w:hAnsi="宋体" w:eastAsia="宋体"/>
                <w:sz w:val="21"/>
              </w:rPr>
              <w:t>提供 SQL Server 迁移脚本、种子数据、Docker Compose 一键启动和基础自动化测试。</w:t>
            </w:r>
          </w:p>
        </w:tc>
      </w:tr>
    </w:tbl>
    <w:p w14:paraId="10D06604"/>
    <w:p w14:paraId="7B91CA0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4.2  功能范围（MoSCoW）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C5E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00"/>
              <w:gridCol w:w="8000"/>
            </w:tblGrid>
            <w:tr w14:paraId="3EF564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shd w:val="clear" w:color="auto" w:fill="E8EEF5"/>
                  <w:vAlign w:val="center"/>
                </w:tcPr>
                <w:p w14:paraId="7C159E2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优先级</w:t>
                  </w:r>
                </w:p>
              </w:tc>
              <w:tc>
                <w:tcPr>
                  <w:tcW w:w="8000" w:type="dxa"/>
                  <w:shd w:val="clear" w:color="auto" w:fill="E8EEF5"/>
                  <w:vAlign w:val="center"/>
                </w:tcPr>
                <w:p w14:paraId="6208898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功能项</w:t>
                  </w:r>
                </w:p>
              </w:tc>
            </w:tr>
            <w:tr w14:paraId="2F5D19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7DBE157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8000" w:type="dxa"/>
                  <w:vAlign w:val="center"/>
                </w:tcPr>
                <w:p w14:paraId="1DF9298A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注册登录、JWT 鉴权、学号实名验证、个人资料与信用分流水</w:t>
                  </w:r>
                </w:p>
              </w:tc>
            </w:tr>
            <w:tr w14:paraId="0F7EEF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347493A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8000" w:type="dxa"/>
                  <w:vAlign w:val="center"/>
                </w:tcPr>
                <w:p w14:paraId="3421D43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商品发布、编辑、图片、分类标签、上下架和管理员审核</w:t>
                  </w:r>
                </w:p>
              </w:tc>
            </w:tr>
            <w:tr w14:paraId="65CBAE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0FD3B6D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8000" w:type="dxa"/>
                  <w:vAlign w:val="center"/>
                </w:tcPr>
                <w:p w14:paraId="7847414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商品搜索、筛选、详情、收藏和浏览记录</w:t>
                  </w:r>
                </w:p>
              </w:tc>
            </w:tr>
            <w:tr w14:paraId="48F726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0273EC9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8000" w:type="dxa"/>
                  <w:vAlign w:val="center"/>
                </w:tcPr>
                <w:p w14:paraId="4D037D2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订单创建、卖家确认/拒绝、取消、完成与状态流转</w:t>
                  </w:r>
                </w:p>
              </w:tc>
            </w:tr>
            <w:tr w14:paraId="391D36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5EE653F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8000" w:type="dxa"/>
                  <w:vAlign w:val="center"/>
                </w:tcPr>
                <w:p w14:paraId="429E215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站内聊天会话、文本/图片/表情消息、未读数和 WebSocket 推送</w:t>
                  </w:r>
                </w:p>
              </w:tc>
            </w:tr>
            <w:tr w14:paraId="6E4D42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1575F33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Must</w:t>
                  </w:r>
                </w:p>
              </w:tc>
              <w:tc>
                <w:tcPr>
                  <w:tcW w:w="8000" w:type="dxa"/>
                  <w:vAlign w:val="center"/>
                </w:tcPr>
                <w:p w14:paraId="65C624E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后台商品审核、举报处理、用户禁言/封禁、数据看板</w:t>
                  </w:r>
                </w:p>
              </w:tc>
            </w:tr>
            <w:tr w14:paraId="68B638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32F4947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Should</w:t>
                  </w:r>
                </w:p>
              </w:tc>
              <w:tc>
                <w:tcPr>
                  <w:tcW w:w="8000" w:type="dxa"/>
                  <w:vAlign w:val="center"/>
                </w:tcPr>
                <w:p w14:paraId="0470832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Mock 支付、Mock 柜机交付、交易评价与信用分联动</w:t>
                  </w:r>
                </w:p>
              </w:tc>
            </w:tr>
            <w:tr w14:paraId="02CB33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53AE0C3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Should</w:t>
                  </w:r>
                </w:p>
              </w:tc>
              <w:tc>
                <w:tcPr>
                  <w:tcW w:w="8000" w:type="dxa"/>
                  <w:vAlign w:val="center"/>
                </w:tcPr>
                <w:p w14:paraId="751EC3B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Docker Compose 一键启动与 Swagger 接口调试</w:t>
                  </w:r>
                </w:p>
              </w:tc>
            </w:tr>
            <w:tr w14:paraId="4ACD51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2C4F3A5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Could</w:t>
                  </w:r>
                </w:p>
              </w:tc>
              <w:tc>
                <w:tcPr>
                  <w:tcW w:w="8000" w:type="dxa"/>
                  <w:vAlign w:val="center"/>
                </w:tcPr>
                <w:p w14:paraId="6EF27CF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个性化推荐、AI 分类定价建议、积分签到和兑换</w:t>
                  </w:r>
                </w:p>
              </w:tc>
            </w:tr>
            <w:tr w14:paraId="2C813C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00" w:type="dxa"/>
                  <w:vAlign w:val="center"/>
                </w:tcPr>
                <w:p w14:paraId="53A7D15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Won't</w:t>
                  </w:r>
                </w:p>
              </w:tc>
              <w:tc>
                <w:tcPr>
                  <w:tcW w:w="8000" w:type="dxa"/>
                  <w:vAlign w:val="center"/>
                </w:tcPr>
                <w:p w14:paraId="242B785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课程阶段不接入真实支付、真实柜机硬件和公网生产级合规审计</w:t>
                  </w:r>
                </w:p>
              </w:tc>
            </w:tr>
          </w:tbl>
          <w:p w14:paraId="3F027780">
            <w:pPr>
              <w:spacing w:after="4000"/>
            </w:pPr>
          </w:p>
        </w:tc>
      </w:tr>
    </w:tbl>
    <w:p w14:paraId="158F49E1"/>
    <w:p w14:paraId="540353B5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4.3  非功能性要求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337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30"/>
            </w:tblGrid>
            <w:tr w14:paraId="7D4F54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746" w:type="dxa"/>
                  <w:tcBorders>
                    <w:top w:val="single" w:color="B8D8C2" w:sz="4" w:space="0"/>
                    <w:left w:val="single" w:color="B8D8C2" w:sz="4" w:space="0"/>
                    <w:bottom w:val="single" w:color="B8D8C2" w:sz="4" w:space="0"/>
                    <w:right w:val="single" w:color="B8D8C2" w:sz="4" w:space="0"/>
                  </w:tcBorders>
                  <w:shd w:val="clear" w:color="auto" w:fill="FBFDFB"/>
                  <w:vAlign w:val="top"/>
                </w:tcPr>
                <w:p w14:paraId="184FEF0E"/>
                <w:tbl>
                  <w:tblPr>
                    <w:tblStyle w:val="3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389"/>
                    <w:gridCol w:w="7915"/>
                  </w:tblGrid>
                  <w:tr w14:paraId="35FBF09E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shd w:val="clear" w:color="auto" w:fill="E8EEF5"/>
                        <w:vAlign w:val="center"/>
                      </w:tcPr>
                      <w:p w14:paraId="75C26966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类别</w:t>
                        </w:r>
                      </w:p>
                    </w:tc>
                    <w:tc>
                      <w:tcPr>
                        <w:tcW w:w="7960" w:type="dxa"/>
                        <w:shd w:val="clear" w:color="auto" w:fill="E8EEF5"/>
                        <w:vAlign w:val="center"/>
                      </w:tcPr>
                      <w:p w14:paraId="1C02C475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目标</w:t>
                        </w:r>
                      </w:p>
                    </w:tc>
                  </w:tr>
                  <w:tr w14:paraId="02F4FAFB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39734A4B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性能</w:t>
                        </w:r>
                      </w:p>
                    </w:tc>
                    <w:tc>
                      <w:tcPr>
                        <w:tcW w:w="7960" w:type="dxa"/>
                        <w:vAlign w:val="center"/>
                      </w:tcPr>
                      <w:p w14:paraId="3744F6E0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商品列表接口 P95 响应时间目标不超过 500ms；聊天单页面消息延迟目标不超过 200ms。</w:t>
                        </w:r>
                      </w:p>
                    </w:tc>
                  </w:tr>
                  <w:tr w14:paraId="4549A17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5D0AE638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安全</w:t>
                        </w:r>
                      </w:p>
                    </w:tc>
                    <w:tc>
                      <w:tcPr>
                        <w:tcW w:w="7960" w:type="dxa"/>
                        <w:vAlign w:val="center"/>
                      </w:tcPr>
                      <w:p w14:paraId="36D0438E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密码 BCrypt 加密；JWT Bearer Token 鉴权；管理端按角色授权；实名与联系方式脱敏展示。</w:t>
                        </w:r>
                      </w:p>
                    </w:tc>
                  </w:tr>
                  <w:tr w14:paraId="7E6B3FF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4644A2F5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可用性</w:t>
                        </w:r>
                      </w:p>
                    </w:tc>
                    <w:tc>
                      <w:tcPr>
                        <w:tcW w:w="7960" w:type="dxa"/>
                        <w:vAlign w:val="center"/>
                      </w:tcPr>
                      <w:p w14:paraId="23379E04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主流程在桌面浏览器完整可用，移动端支持浏览、搜索、下单等基础操作。</w:t>
                        </w:r>
                      </w:p>
                    </w:tc>
                  </w:tr>
                  <w:tr w14:paraId="3B06FEE4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7593719A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可维护性</w:t>
                        </w:r>
                      </w:p>
                    </w:tc>
                    <w:tc>
                      <w:tcPr>
                        <w:tcW w:w="7960" w:type="dxa"/>
                        <w:vAlign w:val="center"/>
                      </w:tcPr>
                      <w:p w14:paraId="608BF4F3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后端以 Controller/Service/Mapper/Entity/DTO/VO 分层，跨模块调用优先通过 Service 或 Adapter。</w:t>
                        </w:r>
                      </w:p>
                    </w:tc>
                  </w:tr>
                  <w:tr w14:paraId="344D91B2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584DD3A5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可测试性</w:t>
                        </w:r>
                      </w:p>
                    </w:tc>
                    <w:tc>
                      <w:tcPr>
                        <w:tcW w:w="7960" w:type="dxa"/>
                        <w:vAlign w:val="center"/>
                      </w:tcPr>
                      <w:p w14:paraId="6E928C15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后端 JUnit 5 + Mockito 覆盖核心服务，前端执行 TypeScript 与 Vite 构建检查。</w:t>
                        </w:r>
                      </w:p>
                    </w:tc>
                  </w:tr>
                </w:tbl>
                <w:p w14:paraId="1C4B7DDB"/>
              </w:tc>
            </w:tr>
          </w:tbl>
          <w:p w14:paraId="4773684A">
            <w:pPr>
              <w:spacing w:after="2000"/>
            </w:pPr>
          </w:p>
        </w:tc>
      </w:tr>
    </w:tbl>
    <w:p w14:paraId="4DDA86A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1912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4941DF1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技术路线以课程可控、团队熟悉、便于演示为原则：前端 Vue 3 + Vite + TypeScript + Element Plus + Pinia + Vue Router；后端 Spring Boot 3 + Spring Security + JWT + MyBatis-Plus；数据库 SQL Server 2022；对象存储 MinIO；实时通讯 Spring WebSocket；部署 Docker Compose；测试使用 JUnit 5、Mockito、JaCoCo、前端构建检查和接口测试。</w:t>
            </w:r>
          </w:p>
        </w:tc>
      </w:tr>
    </w:tbl>
    <w:p w14:paraId="20A9A8B6"/>
    <w:p w14:paraId="1770AAF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5  技术路线初步选型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C42D8DA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tbl>
            <w:tblPr>
              <w:tblStyle w:val="32"/>
              <w:tblW w:w="0" w:type="auto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30"/>
            </w:tblGrid>
            <w:tr w14:paraId="082D83C1">
              <w:trPr>
                <w:jc w:val="center"/>
              </w:trPr>
              <w:tc>
                <w:tcPr>
                  <w:tcW w:w="9746" w:type="dxa"/>
                  <w:tcBorders>
                    <w:top w:val="single" w:color="B8D8C2" w:sz="4" w:space="0"/>
                    <w:left w:val="single" w:color="B8D8C2" w:sz="4" w:space="0"/>
                    <w:bottom w:val="single" w:color="B8D8C2" w:sz="4" w:space="0"/>
                    <w:right w:val="single" w:color="B8D8C2" w:sz="4" w:space="0"/>
                  </w:tcBorders>
                  <w:shd w:val="clear" w:color="auto" w:fill="FBFDFB"/>
                  <w:vAlign w:val="top"/>
                </w:tcPr>
                <w:p w14:paraId="7A6F4F06"/>
                <w:tbl>
                  <w:tblPr>
                    <w:tblStyle w:val="3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392"/>
                    <w:gridCol w:w="2589"/>
                    <w:gridCol w:w="5323"/>
                  </w:tblGrid>
                  <w:tr w14:paraId="284FC56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shd w:val="clear" w:color="auto" w:fill="E8EEF5"/>
                        <w:vAlign w:val="center"/>
                      </w:tcPr>
                      <w:p w14:paraId="1ECA7862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层次</w:t>
                        </w:r>
                      </w:p>
                    </w:tc>
                    <w:tc>
                      <w:tcPr>
                        <w:tcW w:w="2600" w:type="dxa"/>
                        <w:shd w:val="clear" w:color="auto" w:fill="E8EEF5"/>
                        <w:vAlign w:val="center"/>
                      </w:tcPr>
                      <w:p w14:paraId="494FF37F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选型</w:t>
                        </w:r>
                      </w:p>
                    </w:tc>
                    <w:tc>
                      <w:tcPr>
                        <w:tcW w:w="5360" w:type="dxa"/>
                        <w:shd w:val="clear" w:color="auto" w:fill="E8EEF5"/>
                        <w:vAlign w:val="center"/>
                      </w:tcPr>
                      <w:p w14:paraId="70B76A60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/>
                            <w:sz w:val="19"/>
                          </w:rPr>
                          <w:t>理由</w:t>
                        </w:r>
                      </w:p>
                    </w:tc>
                  </w:tr>
                  <w:tr w14:paraId="045ACC4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61CB53F2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前端</w:t>
                        </w:r>
                      </w:p>
                    </w:tc>
                    <w:tc>
                      <w:tcPr>
                        <w:tcW w:w="2600" w:type="dxa"/>
                        <w:vAlign w:val="center"/>
                      </w:tcPr>
                      <w:p w14:paraId="6AEE9D19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Vue 3、Vite、TypeScript、Element Plus、Pinia、Vue Router</w:t>
                        </w:r>
                      </w:p>
                    </w:tc>
                    <w:tc>
                      <w:tcPr>
                        <w:tcW w:w="5360" w:type="dxa"/>
                        <w:vAlign w:val="center"/>
                      </w:tcPr>
                      <w:p w14:paraId="549FD211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开发效率高、组件生态成熟、适合课程团队并行页面开发。</w:t>
                        </w:r>
                      </w:p>
                    </w:tc>
                  </w:tr>
                  <w:tr w14:paraId="3D44410D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1AB1E2D8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后端</w:t>
                        </w:r>
                      </w:p>
                    </w:tc>
                    <w:tc>
                      <w:tcPr>
                        <w:tcW w:w="2600" w:type="dxa"/>
                        <w:vAlign w:val="center"/>
                      </w:tcPr>
                      <w:p w14:paraId="02283641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Spring Boot 3、Spring Security、JWT、MyBatis-Plus</w:t>
                        </w:r>
                      </w:p>
                    </w:tc>
                    <w:tc>
                      <w:tcPr>
                        <w:tcW w:w="5360" w:type="dxa"/>
                        <w:vAlign w:val="center"/>
                      </w:tcPr>
                      <w:p w14:paraId="02D96A7C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企业级生态稳定，适合模块化单体和 REST API 快速实现。</w:t>
                        </w:r>
                      </w:p>
                    </w:tc>
                  </w:tr>
                  <w:tr w14:paraId="5EBC75E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5A604FCA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数据库</w:t>
                        </w:r>
                      </w:p>
                    </w:tc>
                    <w:tc>
                      <w:tcPr>
                        <w:tcW w:w="2600" w:type="dxa"/>
                        <w:vAlign w:val="center"/>
                      </w:tcPr>
                      <w:p w14:paraId="0BF0278B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SQL Server 2022</w:t>
                        </w:r>
                      </w:p>
                    </w:tc>
                    <w:tc>
                      <w:tcPr>
                        <w:tcW w:w="5360" w:type="dxa"/>
                        <w:vAlign w:val="center"/>
                      </w:tcPr>
                      <w:p w14:paraId="57491AB9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符合课程环境和 SSMS 管理要求，支持事务与关系模型。</w:t>
                        </w:r>
                      </w:p>
                    </w:tc>
                  </w:tr>
                  <w:tr w14:paraId="3ECDE08C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1F9614F7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对象存储</w:t>
                        </w:r>
                      </w:p>
                    </w:tc>
                    <w:tc>
                      <w:tcPr>
                        <w:tcW w:w="2600" w:type="dxa"/>
                        <w:vAlign w:val="center"/>
                      </w:tcPr>
                      <w:p w14:paraId="78D780D3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MinIO，本地静态资源降级</w:t>
                        </w:r>
                      </w:p>
                    </w:tc>
                    <w:tc>
                      <w:tcPr>
                        <w:tcW w:w="5360" w:type="dxa"/>
                        <w:vAlign w:val="center"/>
                      </w:tcPr>
                      <w:p w14:paraId="1C70E488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方便处理商品/聊天图片，并降低外部依赖风险。</w:t>
                        </w:r>
                      </w:p>
                    </w:tc>
                  </w:tr>
                  <w:tr w14:paraId="61DC1FB0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jc w:val="center"/>
                    </w:trPr>
                    <w:tc>
                      <w:tcPr>
                        <w:tcW w:w="1400" w:type="dxa"/>
                        <w:vAlign w:val="center"/>
                      </w:tcPr>
                      <w:p w14:paraId="01613EF2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部署</w:t>
                        </w:r>
                      </w:p>
                    </w:tc>
                    <w:tc>
                      <w:tcPr>
                        <w:tcW w:w="2600" w:type="dxa"/>
                        <w:vAlign w:val="center"/>
                      </w:tcPr>
                      <w:p w14:paraId="5B70A607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Docker Compose</w:t>
                        </w:r>
                      </w:p>
                    </w:tc>
                    <w:tc>
                      <w:tcPr>
                        <w:tcW w:w="5360" w:type="dxa"/>
                        <w:vAlign w:val="center"/>
                      </w:tcPr>
                      <w:p w14:paraId="1D9BA96E">
                        <w:pPr>
                          <w:spacing w:after="0" w:line="240" w:lineRule="auto"/>
                        </w:pPr>
                        <w:r>
                          <w:rPr>
                            <w:rFonts w:ascii="宋体" w:hAnsi="宋体" w:eastAsia="宋体"/>
                            <w:b w:val="0"/>
                            <w:sz w:val="19"/>
                          </w:rPr>
                          <w:t>统一 SQL Server、MinIO、后端和前端启动方式，便于验收复现。</w:t>
                        </w:r>
                      </w:p>
                    </w:tc>
                  </w:tr>
                </w:tbl>
                <w:p w14:paraId="3045503A"/>
              </w:tc>
            </w:tr>
          </w:tbl>
          <w:p w14:paraId="4C6A8A47">
            <w:pPr>
              <w:spacing w:after="3200"/>
            </w:pPr>
          </w:p>
        </w:tc>
      </w:tr>
    </w:tbl>
    <w:p w14:paraId="50115B14"/>
    <w:p w14:paraId="191DB0B4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6  项目计划</w:t>
      </w:r>
    </w:p>
    <w:p w14:paraId="4E6D104D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6.1  甘特图（按 D1-D14 分阶段）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6D79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6B83CEF0">
            <w:pPr>
              <w:spacing w:after="4000"/>
              <w:rPr>
                <w:rFonts w:hint="eastAsia" w:eastAsia="微软雅黑"/>
                <w:lang w:eastAsia="zh-CN"/>
              </w:rPr>
            </w:pPr>
            <w:bookmarkStart w:id="0" w:name="_GoBack"/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6035040" cy="2688590"/>
                  <wp:effectExtent l="0" t="0" r="10160" b="3810"/>
                  <wp:docPr id="1" name="图片 1" descr="D-01_项目计划甘特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D-01_项目计划甘特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4BE79912"/>
    <w:p w14:paraId="72C21F1C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6.2  里程碑与责任人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2729D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050E54CA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00"/>
              <w:gridCol w:w="1000"/>
              <w:gridCol w:w="4300"/>
              <w:gridCol w:w="2500"/>
            </w:tblGrid>
            <w:tr w14:paraId="78A123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shd w:val="clear" w:color="auto" w:fill="E8EEF5"/>
                  <w:vAlign w:val="center"/>
                </w:tcPr>
                <w:p w14:paraId="10385D1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里程碑</w:t>
                  </w:r>
                </w:p>
              </w:tc>
              <w:tc>
                <w:tcPr>
                  <w:tcW w:w="1000" w:type="dxa"/>
                  <w:shd w:val="clear" w:color="auto" w:fill="E8EEF5"/>
                  <w:vAlign w:val="center"/>
                </w:tcPr>
                <w:p w14:paraId="6CD4538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时间</w:t>
                  </w:r>
                </w:p>
              </w:tc>
              <w:tc>
                <w:tcPr>
                  <w:tcW w:w="4300" w:type="dxa"/>
                  <w:shd w:val="clear" w:color="auto" w:fill="E8EEF5"/>
                  <w:vAlign w:val="center"/>
                </w:tcPr>
                <w:p w14:paraId="355D19A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验收物</w:t>
                  </w:r>
                </w:p>
              </w:tc>
              <w:tc>
                <w:tcPr>
                  <w:tcW w:w="2500" w:type="dxa"/>
                  <w:shd w:val="clear" w:color="auto" w:fill="E8EEF5"/>
                  <w:vAlign w:val="center"/>
                </w:tcPr>
                <w:p w14:paraId="618B7FD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负责人</w:t>
                  </w:r>
                </w:p>
              </w:tc>
            </w:tr>
            <w:tr w14:paraId="0D7477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vAlign w:val="center"/>
                </w:tcPr>
                <w:p w14:paraId="3DA017D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M1 立项通过</w:t>
                  </w:r>
                </w:p>
              </w:tc>
              <w:tc>
                <w:tcPr>
                  <w:tcW w:w="1000" w:type="dxa"/>
                  <w:vAlign w:val="center"/>
                </w:tcPr>
                <w:p w14:paraId="21DCBBC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D1</w:t>
                  </w:r>
                </w:p>
              </w:tc>
              <w:tc>
                <w:tcPr>
                  <w:tcW w:w="4300" w:type="dxa"/>
                  <w:vAlign w:val="center"/>
                </w:tcPr>
                <w:p w14:paraId="7BAD8B2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选题申报表、开题报告</w:t>
                  </w:r>
                </w:p>
              </w:tc>
              <w:tc>
                <w:tcPr>
                  <w:tcW w:w="2500" w:type="dxa"/>
                  <w:vAlign w:val="center"/>
                </w:tcPr>
                <w:p w14:paraId="0FB204E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罗正青</w:t>
                  </w:r>
                </w:p>
              </w:tc>
            </w:tr>
            <w:tr w14:paraId="15042E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vAlign w:val="center"/>
                </w:tcPr>
                <w:p w14:paraId="31EE108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M2 需求冻结</w:t>
                  </w:r>
                </w:p>
              </w:tc>
              <w:tc>
                <w:tcPr>
                  <w:tcW w:w="1000" w:type="dxa"/>
                  <w:vAlign w:val="center"/>
                </w:tcPr>
                <w:p w14:paraId="2D336B1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D3</w:t>
                  </w:r>
                </w:p>
              </w:tc>
              <w:tc>
                <w:tcPr>
                  <w:tcW w:w="4300" w:type="dxa"/>
                  <w:vAlign w:val="center"/>
                </w:tcPr>
                <w:p w14:paraId="7BEA2342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SRS、用例流程、原型</w:t>
                  </w:r>
                </w:p>
              </w:tc>
              <w:tc>
                <w:tcPr>
                  <w:tcW w:w="2500" w:type="dxa"/>
                  <w:vAlign w:val="center"/>
                </w:tcPr>
                <w:p w14:paraId="6032403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周济</w:t>
                  </w:r>
                </w:p>
              </w:tc>
            </w:tr>
            <w:tr w14:paraId="3E8350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vAlign w:val="center"/>
                </w:tcPr>
                <w:p w14:paraId="6E8AC7DF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M3 架构与数据设计完成</w:t>
                  </w:r>
                </w:p>
              </w:tc>
              <w:tc>
                <w:tcPr>
                  <w:tcW w:w="1000" w:type="dxa"/>
                  <w:vAlign w:val="center"/>
                </w:tcPr>
                <w:p w14:paraId="43AB475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D5</w:t>
                  </w:r>
                </w:p>
              </w:tc>
              <w:tc>
                <w:tcPr>
                  <w:tcW w:w="4300" w:type="dxa"/>
                  <w:vAlign w:val="center"/>
                </w:tcPr>
                <w:p w14:paraId="0157FCF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概要设计、详细设计、数据库脚本</w:t>
                  </w:r>
                </w:p>
              </w:tc>
              <w:tc>
                <w:tcPr>
                  <w:tcW w:w="2500" w:type="dxa"/>
                  <w:vAlign w:val="center"/>
                </w:tcPr>
                <w:p w14:paraId="2A0AF05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李泰合</w:t>
                  </w:r>
                </w:p>
              </w:tc>
            </w:tr>
            <w:tr w14:paraId="27E3B5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vAlign w:val="center"/>
                </w:tcPr>
                <w:p w14:paraId="57B7C23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M4 核心闭环跑通</w:t>
                  </w:r>
                </w:p>
              </w:tc>
              <w:tc>
                <w:tcPr>
                  <w:tcW w:w="1000" w:type="dxa"/>
                  <w:vAlign w:val="center"/>
                </w:tcPr>
                <w:p w14:paraId="67557CB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D10</w:t>
                  </w:r>
                </w:p>
              </w:tc>
              <w:tc>
                <w:tcPr>
                  <w:tcW w:w="4300" w:type="dxa"/>
                  <w:vAlign w:val="center"/>
                </w:tcPr>
                <w:p w14:paraId="62F516B5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注册、发布、审核、下单、支付、聊天、评价</w:t>
                  </w:r>
                </w:p>
              </w:tc>
              <w:tc>
                <w:tcPr>
                  <w:tcW w:w="2500" w:type="dxa"/>
                  <w:vAlign w:val="center"/>
                </w:tcPr>
                <w:p w14:paraId="3F790AA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全组</w:t>
                  </w:r>
                </w:p>
              </w:tc>
            </w:tr>
            <w:tr w14:paraId="0766FD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vAlign w:val="center"/>
                </w:tcPr>
                <w:p w14:paraId="3E3ABCD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M5 测试与部署完成</w:t>
                  </w:r>
                </w:p>
              </w:tc>
              <w:tc>
                <w:tcPr>
                  <w:tcW w:w="1000" w:type="dxa"/>
                  <w:vAlign w:val="center"/>
                </w:tcPr>
                <w:p w14:paraId="29769900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D12</w:t>
                  </w:r>
                </w:p>
              </w:tc>
              <w:tc>
                <w:tcPr>
                  <w:tcW w:w="4300" w:type="dxa"/>
                  <w:vAlign w:val="center"/>
                </w:tcPr>
                <w:p w14:paraId="390AABD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测试报告、Docker 启动、种子数据</w:t>
                  </w:r>
                </w:p>
              </w:tc>
              <w:tc>
                <w:tcPr>
                  <w:tcW w:w="2500" w:type="dxa"/>
                  <w:vAlign w:val="center"/>
                </w:tcPr>
                <w:p w14:paraId="6EA3FBD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罗宇</w:t>
                  </w:r>
                </w:p>
              </w:tc>
            </w:tr>
            <w:tr w14:paraId="4309AE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00" w:type="dxa"/>
                  <w:vAlign w:val="center"/>
                </w:tcPr>
                <w:p w14:paraId="46C1BDB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M6 答辩材料完成</w:t>
                  </w:r>
                </w:p>
              </w:tc>
              <w:tc>
                <w:tcPr>
                  <w:tcW w:w="1000" w:type="dxa"/>
                  <w:vAlign w:val="center"/>
                </w:tcPr>
                <w:p w14:paraId="6402151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D14</w:t>
                  </w:r>
                </w:p>
              </w:tc>
              <w:tc>
                <w:tcPr>
                  <w:tcW w:w="4300" w:type="dxa"/>
                  <w:vAlign w:val="center"/>
                </w:tcPr>
                <w:p w14:paraId="4296A83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PPT、视频脚本、总结报告</w:t>
                  </w:r>
                </w:p>
              </w:tc>
              <w:tc>
                <w:tcPr>
                  <w:tcW w:w="2500" w:type="dxa"/>
                  <w:vAlign w:val="center"/>
                </w:tcPr>
                <w:p w14:paraId="427E700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董浩田</w:t>
                  </w:r>
                </w:p>
              </w:tc>
            </w:tr>
          </w:tbl>
          <w:p w14:paraId="3DA5867E">
            <w:pPr>
              <w:spacing w:after="3200"/>
            </w:pPr>
          </w:p>
        </w:tc>
      </w:tr>
    </w:tbl>
    <w:p w14:paraId="739EEC5F"/>
    <w:p w14:paraId="55712DC4">
      <w:pPr>
        <w:keepNext/>
        <w:pBdr>
          <w:bottom w:val="single" w:color="4DB872" w:sz="4" w:space="4"/>
        </w:pBdr>
        <w:spacing w:before="200" w:after="120"/>
      </w:pPr>
      <w:r>
        <w:rPr>
          <w:rFonts w:ascii="微软雅黑" w:hAnsi="微软雅黑" w:eastAsia="微软雅黑"/>
          <w:b/>
          <w:color w:val="1A7A3D"/>
          <w:sz w:val="30"/>
        </w:rPr>
        <w:t>6.3  团队分工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FD52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4C6B6E53"/>
          <w:tbl>
            <w:tblPr>
              <w:tblStyle w:val="3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200"/>
              <w:gridCol w:w="4300"/>
              <w:gridCol w:w="2260"/>
            </w:tblGrid>
            <w:tr w14:paraId="633598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shd w:val="clear" w:color="auto" w:fill="E8EEF5"/>
                  <w:vAlign w:val="center"/>
                </w:tcPr>
                <w:p w14:paraId="11E6259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角色</w:t>
                  </w:r>
                </w:p>
              </w:tc>
              <w:tc>
                <w:tcPr>
                  <w:tcW w:w="1200" w:type="dxa"/>
                  <w:shd w:val="clear" w:color="auto" w:fill="E8EEF5"/>
                  <w:vAlign w:val="center"/>
                </w:tcPr>
                <w:p w14:paraId="15B4636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姓名</w:t>
                  </w:r>
                </w:p>
              </w:tc>
              <w:tc>
                <w:tcPr>
                  <w:tcW w:w="4300" w:type="dxa"/>
                  <w:shd w:val="clear" w:color="auto" w:fill="E8EEF5"/>
                  <w:vAlign w:val="center"/>
                </w:tcPr>
                <w:p w14:paraId="3AE275D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主要任务</w:t>
                  </w:r>
                </w:p>
              </w:tc>
              <w:tc>
                <w:tcPr>
                  <w:tcW w:w="2260" w:type="dxa"/>
                  <w:shd w:val="clear" w:color="auto" w:fill="E8EEF5"/>
                  <w:vAlign w:val="center"/>
                </w:tcPr>
                <w:p w14:paraId="2999ABF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/>
                      <w:sz w:val="19"/>
                    </w:rPr>
                    <w:t>备份人</w:t>
                  </w:r>
                </w:p>
              </w:tc>
            </w:tr>
            <w:tr w14:paraId="65B515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325342C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组长/后端统筹</w:t>
                  </w:r>
                </w:p>
              </w:tc>
              <w:tc>
                <w:tcPr>
                  <w:tcW w:w="1200" w:type="dxa"/>
                  <w:vAlign w:val="center"/>
                </w:tcPr>
                <w:p w14:paraId="586B58C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罗正青</w:t>
                  </w:r>
                </w:p>
              </w:tc>
              <w:tc>
                <w:tcPr>
                  <w:tcW w:w="4300" w:type="dxa"/>
                  <w:vAlign w:val="center"/>
                </w:tcPr>
                <w:p w14:paraId="59B56231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项目协调、auth/user/order/payment、接口联调</w:t>
                  </w:r>
                </w:p>
              </w:tc>
              <w:tc>
                <w:tcPr>
                  <w:tcW w:w="2260" w:type="dxa"/>
                  <w:vAlign w:val="center"/>
                </w:tcPr>
                <w:p w14:paraId="1B4AC98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李泰合</w:t>
                  </w:r>
                </w:p>
              </w:tc>
            </w:tr>
            <w:tr w14:paraId="67A1D2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482C04B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需求与测试</w:t>
                  </w:r>
                </w:p>
              </w:tc>
              <w:tc>
                <w:tcPr>
                  <w:tcW w:w="1200" w:type="dxa"/>
                  <w:vAlign w:val="center"/>
                </w:tcPr>
                <w:p w14:paraId="1908991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周济</w:t>
                  </w:r>
                </w:p>
              </w:tc>
              <w:tc>
                <w:tcPr>
                  <w:tcW w:w="4300" w:type="dxa"/>
                  <w:vAlign w:val="center"/>
                </w:tcPr>
                <w:p w14:paraId="043C954B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SRS、用例、测试计划、聊天/举报流程验收</w:t>
                  </w:r>
                </w:p>
              </w:tc>
              <w:tc>
                <w:tcPr>
                  <w:tcW w:w="2260" w:type="dxa"/>
                  <w:vAlign w:val="center"/>
                </w:tcPr>
                <w:p w14:paraId="5B9E84E4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董浩田</w:t>
                  </w:r>
                </w:p>
              </w:tc>
            </w:tr>
            <w:tr w14:paraId="5FC18B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4CE7463D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数据库与商品</w:t>
                  </w:r>
                </w:p>
              </w:tc>
              <w:tc>
                <w:tcPr>
                  <w:tcW w:w="1200" w:type="dxa"/>
                  <w:vAlign w:val="center"/>
                </w:tcPr>
                <w:p w14:paraId="42D7E4EC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李泰合</w:t>
                  </w:r>
                </w:p>
              </w:tc>
              <w:tc>
                <w:tcPr>
                  <w:tcW w:w="4300" w:type="dxa"/>
                  <w:vAlign w:val="center"/>
                </w:tcPr>
                <w:p w14:paraId="6CD08A1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SQL Server 表结构、商品/搜索/推荐数据模型</w:t>
                  </w:r>
                </w:p>
              </w:tc>
              <w:tc>
                <w:tcPr>
                  <w:tcW w:w="2260" w:type="dxa"/>
                  <w:vAlign w:val="center"/>
                </w:tcPr>
                <w:p w14:paraId="4D1F7068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罗正青</w:t>
                  </w:r>
                </w:p>
              </w:tc>
            </w:tr>
            <w:tr w14:paraId="09BCD2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7CB8B5E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部署与运维</w:t>
                  </w:r>
                </w:p>
              </w:tc>
              <w:tc>
                <w:tcPr>
                  <w:tcW w:w="1200" w:type="dxa"/>
                  <w:vAlign w:val="center"/>
                </w:tcPr>
                <w:p w14:paraId="41508FB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罗宇</w:t>
                  </w:r>
                </w:p>
              </w:tc>
              <w:tc>
                <w:tcPr>
                  <w:tcW w:w="4300" w:type="dxa"/>
                  <w:vAlign w:val="center"/>
                </w:tcPr>
                <w:p w14:paraId="5FA69A37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Docker Compose、MinIO、环境脚本、部署手册</w:t>
                  </w:r>
                </w:p>
              </w:tc>
              <w:tc>
                <w:tcPr>
                  <w:tcW w:w="2260" w:type="dxa"/>
                  <w:vAlign w:val="center"/>
                </w:tcPr>
                <w:p w14:paraId="54FEA083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周济</w:t>
                  </w:r>
                </w:p>
              </w:tc>
            </w:tr>
            <w:tr w14:paraId="6D4566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600" w:type="dxa"/>
                  <w:vAlign w:val="center"/>
                </w:tcPr>
                <w:p w14:paraId="65EEB16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前端与展示</w:t>
                  </w:r>
                </w:p>
              </w:tc>
              <w:tc>
                <w:tcPr>
                  <w:tcW w:w="1200" w:type="dxa"/>
                  <w:vAlign w:val="center"/>
                </w:tcPr>
                <w:p w14:paraId="19F133F6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董浩田</w:t>
                  </w:r>
                </w:p>
              </w:tc>
              <w:tc>
                <w:tcPr>
                  <w:tcW w:w="4300" w:type="dxa"/>
                  <w:vAlign w:val="center"/>
                </w:tcPr>
                <w:p w14:paraId="755F819E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Vue 页面、管理端、演示脚本与答辩素材</w:t>
                  </w:r>
                </w:p>
              </w:tc>
              <w:tc>
                <w:tcPr>
                  <w:tcW w:w="2260" w:type="dxa"/>
                  <w:vAlign w:val="center"/>
                </w:tcPr>
                <w:p w14:paraId="396274C9">
                  <w:pPr>
                    <w:spacing w:after="0" w:line="240" w:lineRule="auto"/>
                  </w:pPr>
                  <w:r>
                    <w:rPr>
                      <w:rFonts w:ascii="宋体" w:hAnsi="宋体" w:eastAsia="宋体"/>
                      <w:b w:val="0"/>
                      <w:sz w:val="19"/>
                    </w:rPr>
                    <w:t>罗宇</w:t>
                  </w:r>
                </w:p>
              </w:tc>
            </w:tr>
          </w:tbl>
          <w:p w14:paraId="761A4B94">
            <w:pPr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</w:p>
        </w:tc>
      </w:tr>
    </w:tbl>
    <w:p w14:paraId="5B4307B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B63F12F"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2D11E7A6">
            <w:pPr>
              <w:spacing w:after="1600"/>
            </w:pPr>
            <w:r>
              <w:rPr>
                <w:rFonts w:ascii="宋体" w:hAnsi="宋体" w:eastAsia="宋体"/>
                <w:b w:val="0"/>
                <w:sz w:val="21"/>
              </w:rPr>
              <w:t>风险登记册按影响业务闭环的程度排序，优先处理会阻塞演示的风险。支付、柜机、AI 等外部依赖均采用 Mock 实现，并保留 Adapter 接口。</w:t>
            </w:r>
          </w:p>
        </w:tc>
      </w:tr>
    </w:tbl>
    <w:p w14:paraId="0949D515"/>
    <w:p w14:paraId="34283459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7  风险登记册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2367"/>
        <w:gridCol w:w="1311"/>
        <w:gridCol w:w="1311"/>
        <w:gridCol w:w="2343"/>
        <w:gridCol w:w="1312"/>
      </w:tblGrid>
      <w:tr w14:paraId="6477E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368CB13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w="2835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09765CF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风险描述</w:t>
            </w:r>
          </w:p>
        </w:tc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73A4558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可能性</w:t>
            </w:r>
          </w:p>
        </w:tc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1557F82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w="2835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32B06490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  <w:tc>
          <w:tcPr>
            <w:tcW w:w="850" w:type="dxa"/>
            <w:tcBorders>
              <w:top w:val="single" w:color="1A7A3D" w:sz="4" w:space="0"/>
              <w:left w:val="single" w:color="1A7A3D" w:sz="4" w:space="0"/>
              <w:bottom w:val="single" w:color="1A7A3D" w:sz="4" w:space="0"/>
              <w:right w:val="single" w:color="1A7A3D" w:sz="4" w:space="0"/>
            </w:tcBorders>
            <w:shd w:val="clear" w:color="auto" w:fill="1A7A3D"/>
            <w:vAlign w:val="center"/>
          </w:tcPr>
          <w:p w14:paraId="06B03E9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 w14:paraId="6BCEC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411AF87">
            <w:r>
              <w:rPr>
                <w:rFonts w:ascii="宋体" w:hAnsi="宋体" w:eastAsia="宋体"/>
                <w:b w:val="0"/>
                <w:sz w:val="18"/>
              </w:rPr>
              <w:t>R-01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E77D99C">
            <w:r>
              <w:rPr>
                <w:rFonts w:ascii="宋体" w:hAnsi="宋体" w:eastAsia="宋体"/>
                <w:b w:val="0"/>
                <w:sz w:val="18"/>
              </w:rPr>
              <w:t>WebSocket 聊天联调复杂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7C6EBB3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DBB286F"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CCA8CAA">
            <w:r>
              <w:rPr>
                <w:rFonts w:ascii="宋体" w:hAnsi="宋体" w:eastAsia="宋体"/>
                <w:b w:val="0"/>
                <w:sz w:val="18"/>
              </w:rPr>
              <w:t>优先保证文本消息；图片/表情作为增强；保留 HTTP 轮询降级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281AD6A">
            <w:r>
              <w:rPr>
                <w:rFonts w:ascii="宋体" w:hAnsi="宋体" w:eastAsia="宋体"/>
                <w:b w:val="0"/>
                <w:sz w:val="18"/>
              </w:rPr>
              <w:t>周济</w:t>
            </w:r>
          </w:p>
        </w:tc>
      </w:tr>
      <w:tr w14:paraId="275BF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6796406C">
            <w:r>
              <w:rPr>
                <w:rFonts w:ascii="宋体" w:hAnsi="宋体" w:eastAsia="宋体"/>
                <w:b w:val="0"/>
                <w:sz w:val="18"/>
              </w:rPr>
              <w:t>R-02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41E2CE6F">
            <w:r>
              <w:rPr>
                <w:rFonts w:ascii="宋体" w:hAnsi="宋体" w:eastAsia="宋体"/>
                <w:b w:val="0"/>
                <w:sz w:val="18"/>
              </w:rPr>
              <w:t>图片上传和 MinIO 访问路径不稳定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380A580B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7EEE8067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2835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514E5131">
            <w:r>
              <w:rPr>
                <w:rFonts w:ascii="宋体" w:hAnsi="宋体" w:eastAsia="宋体"/>
                <w:b w:val="0"/>
                <w:sz w:val="18"/>
              </w:rPr>
              <w:t>限制图片大小和数量；本地静态资源作为备选</w:t>
            </w:r>
          </w:p>
        </w:tc>
        <w:tc>
          <w:tcPr>
            <w:tcW w:w="85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2F8F4"/>
            <w:vAlign w:val="center"/>
          </w:tcPr>
          <w:p w14:paraId="211BB163">
            <w:r>
              <w:rPr>
                <w:rFonts w:ascii="宋体" w:hAnsi="宋体" w:eastAsia="宋体"/>
                <w:b w:val="0"/>
                <w:sz w:val="18"/>
              </w:rPr>
              <w:t>罗宇</w:t>
            </w:r>
          </w:p>
        </w:tc>
      </w:tr>
      <w:tr w14:paraId="3A43D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</w:tcPr>
          <w:p w14:paraId="76C34948">
            <w:r>
              <w:rPr>
                <w:rFonts w:ascii="宋体" w:hAnsi="宋体" w:eastAsia="宋体"/>
                <w:b w:val="0"/>
                <w:sz w:val="18"/>
              </w:rPr>
              <w:t>R-03</w:t>
            </w:r>
          </w:p>
        </w:tc>
        <w:tc>
          <w:tcPr>
            <w:tcW w:w="1624" w:type="dxa"/>
          </w:tcPr>
          <w:p w14:paraId="570C17B7">
            <w:r>
              <w:rPr>
                <w:rFonts w:ascii="宋体" w:hAnsi="宋体" w:eastAsia="宋体"/>
                <w:b w:val="0"/>
                <w:sz w:val="18"/>
              </w:rPr>
              <w:t>订单状态机边界多</w:t>
            </w:r>
          </w:p>
        </w:tc>
        <w:tc>
          <w:tcPr>
            <w:tcW w:w="1624" w:type="dxa"/>
          </w:tcPr>
          <w:p w14:paraId="635DA287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1624" w:type="dxa"/>
          </w:tcPr>
          <w:p w14:paraId="6E9E41EC"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1624" w:type="dxa"/>
          </w:tcPr>
          <w:p w14:paraId="43ECC504">
            <w:r>
              <w:rPr>
                <w:rFonts w:ascii="宋体" w:hAnsi="宋体" w:eastAsia="宋体"/>
                <w:b w:val="0"/>
                <w:sz w:val="18"/>
              </w:rPr>
              <w:t>固定状态枚举和合法流转规则，重点写单元测试</w:t>
            </w:r>
          </w:p>
        </w:tc>
        <w:tc>
          <w:tcPr>
            <w:tcW w:w="1624" w:type="dxa"/>
          </w:tcPr>
          <w:p w14:paraId="73750983">
            <w:r>
              <w:rPr>
                <w:rFonts w:ascii="宋体" w:hAnsi="宋体" w:eastAsia="宋体"/>
                <w:b w:val="0"/>
                <w:sz w:val="18"/>
              </w:rPr>
              <w:t>罗正青</w:t>
            </w:r>
          </w:p>
        </w:tc>
      </w:tr>
      <w:tr w14:paraId="3D57A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</w:tcPr>
          <w:p w14:paraId="0265BD34">
            <w:r>
              <w:rPr>
                <w:rFonts w:ascii="宋体" w:hAnsi="宋体" w:eastAsia="宋体"/>
                <w:b w:val="0"/>
                <w:sz w:val="18"/>
              </w:rPr>
              <w:t>R-04</w:t>
            </w:r>
          </w:p>
        </w:tc>
        <w:tc>
          <w:tcPr>
            <w:tcW w:w="1624" w:type="dxa"/>
          </w:tcPr>
          <w:p w14:paraId="7B0DBC5F">
            <w:r>
              <w:rPr>
                <w:rFonts w:ascii="宋体" w:hAnsi="宋体" w:eastAsia="宋体"/>
                <w:b w:val="0"/>
                <w:sz w:val="18"/>
              </w:rPr>
              <w:t>信用分和积分规则膨胀</w:t>
            </w:r>
          </w:p>
        </w:tc>
        <w:tc>
          <w:tcPr>
            <w:tcW w:w="1624" w:type="dxa"/>
          </w:tcPr>
          <w:p w14:paraId="305D9902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1624" w:type="dxa"/>
          </w:tcPr>
          <w:p w14:paraId="521E0C82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1624" w:type="dxa"/>
          </w:tcPr>
          <w:p w14:paraId="3E55C007">
            <w:r>
              <w:rPr>
                <w:rFonts w:ascii="宋体" w:hAnsi="宋体" w:eastAsia="宋体"/>
                <w:b w:val="0"/>
                <w:sz w:val="18"/>
              </w:rPr>
              <w:t>只保留可追溯核心规则，复杂玩法列入 Could</w:t>
            </w:r>
          </w:p>
        </w:tc>
        <w:tc>
          <w:tcPr>
            <w:tcW w:w="1624" w:type="dxa"/>
          </w:tcPr>
          <w:p w14:paraId="664A5713">
            <w:r>
              <w:rPr>
                <w:rFonts w:ascii="宋体" w:hAnsi="宋体" w:eastAsia="宋体"/>
                <w:b w:val="0"/>
                <w:sz w:val="18"/>
              </w:rPr>
              <w:t>李泰合</w:t>
            </w:r>
          </w:p>
        </w:tc>
      </w:tr>
      <w:tr w14:paraId="35F5D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dxa"/>
          </w:tcPr>
          <w:p w14:paraId="4F8A65B0">
            <w:r>
              <w:rPr>
                <w:rFonts w:ascii="宋体" w:hAnsi="宋体" w:eastAsia="宋体"/>
                <w:b w:val="0"/>
                <w:sz w:val="18"/>
              </w:rPr>
              <w:t>R-05</w:t>
            </w:r>
          </w:p>
        </w:tc>
        <w:tc>
          <w:tcPr>
            <w:tcW w:w="1624" w:type="dxa"/>
          </w:tcPr>
          <w:p w14:paraId="638CD3F5">
            <w:r>
              <w:rPr>
                <w:rFonts w:ascii="宋体" w:hAnsi="宋体" w:eastAsia="宋体"/>
                <w:b w:val="0"/>
                <w:sz w:val="18"/>
              </w:rPr>
              <w:t>文档与代码不同步</w:t>
            </w:r>
          </w:p>
        </w:tc>
        <w:tc>
          <w:tcPr>
            <w:tcW w:w="1624" w:type="dxa"/>
          </w:tcPr>
          <w:p w14:paraId="21EB3CCA"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w="1624" w:type="dxa"/>
          </w:tcPr>
          <w:p w14:paraId="362AF78B"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w="1624" w:type="dxa"/>
          </w:tcPr>
          <w:p w14:paraId="4EC9542A">
            <w:r>
              <w:rPr>
                <w:rFonts w:ascii="宋体" w:hAnsi="宋体" w:eastAsia="宋体"/>
                <w:b w:val="0"/>
                <w:sz w:val="18"/>
              </w:rPr>
              <w:t>以 README、数据库脚本和当前代码为准每日复审</w:t>
            </w:r>
          </w:p>
        </w:tc>
        <w:tc>
          <w:tcPr>
            <w:tcW w:w="1624" w:type="dxa"/>
          </w:tcPr>
          <w:p w14:paraId="171972EA">
            <w:r>
              <w:rPr>
                <w:rFonts w:ascii="宋体" w:hAnsi="宋体" w:eastAsia="宋体"/>
                <w:b w:val="0"/>
                <w:sz w:val="18"/>
              </w:rPr>
              <w:t>董浩田</w:t>
            </w:r>
          </w:p>
        </w:tc>
      </w:tr>
    </w:tbl>
    <w:p w14:paraId="73AF9F2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22A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C849498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业务真实：来源于校内二手交易高频场景，目标用户明确。</w:t>
            </w:r>
          </w:p>
          <w:p w14:paraId="63F8982D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规模合适：必做模块能覆盖课程要求，附加项通过 Mock 或规则实现控制范围。</w:t>
            </w:r>
          </w:p>
          <w:p w14:paraId="6AC530B0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技术可行：所选技术栈均已有工程骨架和运行说明，Docker Compose 可复现环境。</w:t>
            </w:r>
          </w:p>
          <w:p w14:paraId="0B974B1B">
            <w:pPr>
              <w:pStyle w:val="16"/>
              <w:spacing w:after="60"/>
            </w:pPr>
            <w:r>
              <w:rPr>
                <w:rFonts w:ascii="宋体" w:hAnsi="宋体" w:eastAsia="宋体"/>
                <w:sz w:val="21"/>
              </w:rPr>
              <w:t>团队胜任：成员可按前端、后端、数据库、部署、测试文档并行推进。</w:t>
            </w:r>
          </w:p>
          <w:p w14:paraId="574F4143">
            <w:pPr>
              <w:spacing w:after="1600"/>
            </w:pPr>
            <w:r>
              <w:rPr>
                <w:rFonts w:ascii="宋体" w:hAnsi="宋体" w:eastAsia="宋体"/>
                <w:sz w:val="21"/>
              </w:rPr>
              <w:t>验收可量化：以 6 个模块、200 条种子数据、核心流程演示、测试和部署结果作为验收依据。</w:t>
            </w:r>
          </w:p>
        </w:tc>
      </w:tr>
    </w:tbl>
    <w:p w14:paraId="00C9EF3B"/>
    <w:p w14:paraId="7B7FDC4A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8  立项答辩自评清单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ED9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68FD5D2">
            <w:pPr>
              <w:spacing w:after="2400"/>
            </w:pPr>
            <w:r>
              <w:rPr>
                <w:rFonts w:ascii="宋体" w:hAnsi="宋体" w:eastAsia="宋体"/>
                <w:b w:val="0"/>
                <w:sz w:val="21"/>
              </w:rPr>
              <w:t>自查结论：本项目选题聚焦、技术路径清晰、风险已有降级策略，能够在课程周期内完成一个具备真实业务价值的可运行原型。</w:t>
            </w:r>
          </w:p>
        </w:tc>
      </w:tr>
    </w:tbl>
    <w:p w14:paraId="6A659604"/>
    <w:p w14:paraId="30B5FA8D">
      <w:pPr>
        <w:spacing w:before="200" w:after="80" w:line="336" w:lineRule="auto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 xml:space="preserve"> 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7F49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E8A52B" w:sz="8" w:space="0"/>
              <w:left w:val="single" w:color="E8A52B" w:sz="8" w:space="0"/>
              <w:bottom w:val="single" w:color="E8A52B" w:sz="8" w:space="0"/>
              <w:right w:val="single" w:color="E8A52B" w:sz="8" w:space="0"/>
            </w:tcBorders>
            <w:shd w:val="clear" w:color="auto" w:fill="FDF4E3"/>
          </w:tcPr>
          <w:p w14:paraId="7450D9D0">
            <w:pPr>
              <w:spacing w:after="40"/>
            </w:pPr>
            <w:r>
              <w:rPr>
                <w:rFonts w:ascii="微软雅黑" w:hAnsi="微软雅黑" w:eastAsia="微软雅黑"/>
                <w:b/>
                <w:color w:val="C98B21"/>
                <w:sz w:val="21"/>
              </w:rPr>
              <w:t xml:space="preserve">✍ 备注 </w:t>
            </w:r>
          </w:p>
          <w:p w14:paraId="36EA1094">
            <w:pPr>
              <w:spacing w:after="40" w:line="336" w:lineRule="auto"/>
            </w:pPr>
            <w:r>
              <w:rPr>
                <w:rFonts w:ascii="微软雅黑" w:hAnsi="微软雅黑" w:eastAsia="微软雅黑"/>
                <w:b w:val="0"/>
                <w:color w:val="2B2B2B"/>
                <w:sz w:val="20"/>
              </w:rPr>
              <w:t>本文件须于 D1 立项答辩前上传，作为答辩材料；通过后方可正式立项。</w:t>
            </w:r>
          </w:p>
        </w:tc>
      </w:tr>
    </w:tbl>
    <w:p w14:paraId="1379D1EA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58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798</Words>
  <Characters>1053</Characters>
  <Lines>0</Lines>
  <Paragraphs>0</Paragraphs>
  <TotalTime>3</TotalTime>
  <ScaleCrop>false</ScaleCrop>
  <LinksUpToDate>false</LinksUpToDate>
  <CharactersWithSpaces>1181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lyuuuuuuu</cp:lastModifiedBy>
  <dcterms:modified xsi:type="dcterms:W3CDTF">2026-06-15T11:58:53Z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eyJoZGlkIjoiMWQ4Y2NlZTg4MDdmMjYwNjIzNzE4ZWQ0NmQ1MDkxOTAiLCJ1c2VySWQiOiIxNTQ4MjM0ODY2In0=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5B2F040D2AAB459C8DA29133C3007CD2_13</vt:lpwstr>
  </property>
</Properties>
</file>