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6C87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5B57AF2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D-06》</w:t>
      </w:r>
    </w:p>
    <w:p w14:paraId="2011EACE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软件测试计划与测试报告</w:t>
      </w:r>
    </w:p>
    <w:p w14:paraId="33C0790B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000198E4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70253BF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3D977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2D6B6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5B9187D">
            <w:r>
              <w:rPr>
                <w:rFonts w:ascii="微软雅黑" w:hAnsi="微软雅黑" w:eastAsia="微软雅黑"/>
                <w:b w:val="0"/>
                <w:sz w:val="19"/>
              </w:rPr>
              <w:t>D-06</w:t>
            </w:r>
          </w:p>
        </w:tc>
      </w:tr>
      <w:tr w14:paraId="03940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0AAB79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95A9ED7">
            <w:r>
              <w:rPr>
                <w:rFonts w:ascii="微软雅黑" w:hAnsi="微软雅黑" w:eastAsia="微软雅黑"/>
                <w:b w:val="0"/>
                <w:sz w:val="19"/>
              </w:rPr>
              <w:t>软件测试计划与测试报告</w:t>
            </w:r>
          </w:p>
        </w:tc>
      </w:tr>
      <w:tr w14:paraId="1BB47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F899AD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0331980">
            <w:r>
              <w:rPr>
                <w:rFonts w:ascii="微软雅黑" w:hAnsi="微软雅黑" w:eastAsia="微软雅黑"/>
                <w:b w:val="0"/>
                <w:sz w:val="19"/>
              </w:rPr>
              <w:t>产出</w:t>
            </w:r>
          </w:p>
        </w:tc>
      </w:tr>
      <w:tr w14:paraId="203E5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E10943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287A3D9">
            <w:r>
              <w:rPr>
                <w:rFonts w:ascii="微软雅黑" w:hAnsi="微软雅黑" w:eastAsia="微软雅黑"/>
                <w:b w:val="0"/>
                <w:sz w:val="19"/>
              </w:rPr>
              <w:t>v1.0  ·  2026-06-15</w:t>
            </w:r>
          </w:p>
        </w:tc>
      </w:tr>
      <w:tr w14:paraId="25A91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C07869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57CB36D">
            <w:r>
              <w:rPr>
                <w:rFonts w:ascii="微软雅黑" w:hAnsi="微软雅黑" w:eastAsia="微软雅黑"/>
                <w:b w:val="0"/>
                <w:sz w:val="19"/>
              </w:rPr>
              <w:t>SwapCampus 项目组（T-02）</w:t>
            </w:r>
          </w:p>
        </w:tc>
      </w:tr>
      <w:tr w14:paraId="25706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89DAD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01F498D">
            <w:r>
              <w:rPr>
                <w:rFonts w:ascii="微软雅黑" w:hAnsi="微软雅黑" w:eastAsia="微软雅黑"/>
                <w:b w:val="0"/>
                <w:sz w:val="19"/>
              </w:rPr>
              <w:t>见 T-02 团队组建申报表</w:t>
            </w:r>
          </w:p>
        </w:tc>
      </w:tr>
      <w:tr w14:paraId="035AC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1262F0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0723159">
            <w:r>
              <w:rPr>
                <w:rFonts w:ascii="微软雅黑" w:hAnsi="微软雅黑" w:eastAsia="微软雅黑"/>
                <w:b w:val="0"/>
                <w:sz w:val="19"/>
              </w:rPr>
              <w:t>2026-06-15</w:t>
            </w:r>
          </w:p>
        </w:tc>
      </w:tr>
    </w:tbl>
    <w:p w14:paraId="56B2AE2A"/>
    <w:p w14:paraId="273D411A">
      <w:r>
        <w:br w:type="page"/>
      </w:r>
    </w:p>
    <w:p w14:paraId="41D51C6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288EBC5E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本文件分两部分：上半部分为"测试计划"（测试前编写），下半部分为"测试报告"（测试完成后填写）。两部分共用一个文档，便于追溯。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928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17538">
            <w:pPr>
              <w:spacing w:after="0"/>
            </w:pPr>
          </w:p>
          <w:p w14:paraId="66BE257A">
            <w:pPr>
              <w:spacing w:after="60" w:line="300" w:lineRule="auto"/>
              <w:rPr>
                <w:color w:val="145F30"/>
              </w:rPr>
            </w:pPr>
            <w:r>
              <w:rPr>
                <w:rFonts w:ascii="微软雅黑" w:hAnsi="微软雅黑" w:eastAsia="微软雅黑"/>
                <w:b/>
                <w:color w:val="145F30"/>
                <w:sz w:val="22"/>
              </w:rPr>
              <w:t>文档说明</w:t>
            </w:r>
          </w:p>
          <w:p w14:paraId="38DC1AA4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本报告覆盖 SwapCampus v1.0 的测试计划、执行记录、覆盖率、缺陷风险与交付附件。数据来自仓库测试代码、2026-06-15 前的项目执行记录以及本次文档编制时的前端构建和 Docker Compose 配置复验。</w:t>
            </w:r>
          </w:p>
        </w:tc>
      </w:tr>
    </w:tbl>
    <w:p w14:paraId="188C57A8"/>
    <w:p w14:paraId="5B89817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测试计</w:t>
      </w:r>
      <w:r>
        <w:rPr>
          <w:rFonts w:ascii="微软雅黑" w:hAnsi="微软雅黑" w:eastAsia="微软雅黑"/>
          <w:b/>
          <w:color w:val="145F30"/>
          <w:sz w:val="36"/>
        </w:rPr>
        <w:t>划：测</w:t>
      </w:r>
      <w:r>
        <w:rPr>
          <w:rFonts w:ascii="微软雅黑" w:hAnsi="微软雅黑" w:eastAsia="微软雅黑"/>
          <w:b/>
          <w:color w:val="588467"/>
          <w:sz w:val="36"/>
        </w:rPr>
        <w:t>试目标与范围</w:t>
      </w:r>
    </w:p>
    <w:p w14:paraId="12E2867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5486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B52BA">
            <w:pPr>
              <w:spacing w:after="0"/>
            </w:pPr>
          </w:p>
          <w:p w14:paraId="71814A89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验证注册登录、实名、商品、订单、聊天、举报、积分等核心业务能够形成演示闭环。</w:t>
            </w:r>
          </w:p>
          <w:p w14:paraId="4E7E193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重点验证订单状态流转、商品锁定、信用分与积分扣减等关键规则。</w:t>
            </w:r>
          </w:p>
          <w:p w14:paraId="4C5FA50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确认前端 TypeScript 类型检查和生产构建通过，Compose 配置可解析。</w:t>
            </w:r>
          </w:p>
          <w:p w14:paraId="36B554A0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形成可复现的测试命令、覆盖率口径和遗留风险清单。</w:t>
            </w:r>
          </w:p>
        </w:tc>
      </w:tr>
    </w:tbl>
    <w:p w14:paraId="7F29BB3C"/>
    <w:p w14:paraId="63FB1DF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测试范围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DE54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42DC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6"/>
              <w:gridCol w:w="2232"/>
              <w:gridCol w:w="5472"/>
            </w:tblGrid>
            <w:tr w14:paraId="7D9545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93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0A7C650">
                  <w:pPr>
                    <w:spacing w:after="0" w:line="240" w:lineRule="auto"/>
                    <w:jc w:val="center"/>
                  </w:pPr>
                  <w:bookmarkStart w:id="0" w:name="_GoBack" w:colFirst="0" w:colLast="2"/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范围</w:t>
                  </w:r>
                </w:p>
              </w:tc>
              <w:tc>
                <w:tcPr>
                  <w:tcW w:w="223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F551C9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模块</w:t>
                  </w:r>
                </w:p>
              </w:tc>
              <w:tc>
                <w:tcPr>
                  <w:tcW w:w="547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4E51425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重点</w:t>
                  </w:r>
                </w:p>
              </w:tc>
            </w:tr>
            <w:bookmarkEnd w:id="0"/>
            <w:tr w14:paraId="614231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E1226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BB614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Auth / User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59511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注册登录、JWT、实名、用户状态</w:t>
                  </w:r>
                </w:p>
              </w:tc>
            </w:tr>
            <w:tr w14:paraId="21CFF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EEBDA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1ECE6D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Product / Search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D37A1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发布、审核、检索、收藏、浏览历史</w:t>
                  </w:r>
                </w:p>
              </w:tc>
            </w:tr>
            <w:tr w14:paraId="160A92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FEDE4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7B1355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Order / Payment / Delivery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90C282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下单、状态机、Mock 支付、面交与柜机</w:t>
                  </w:r>
                </w:p>
              </w:tc>
            </w:tr>
            <w:tr w14:paraId="633FFF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75B69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68B22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Chat / Report / Admin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0C0E0D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消息、未读、举报、审核、封禁与审计</w:t>
                  </w:r>
                </w:p>
              </w:tc>
            </w:tr>
            <w:tr w14:paraId="5B0733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770ACD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70E30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Points / Credit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84300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签到、兑换、积分与信用流水</w:t>
                  </w:r>
                </w:p>
              </w:tc>
            </w:tr>
            <w:tr w14:paraId="149AD1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BC532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不包含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9E2C6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真实支付与真实柜机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E24181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仅验证 Adapter/Mock 契约，不发起真实外部交易</w:t>
                  </w:r>
                </w:p>
              </w:tc>
            </w:tr>
            <w:tr w14:paraId="40EB4E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3B48A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不包含</w:t>
                  </w:r>
                </w:p>
              </w:tc>
              <w:tc>
                <w:tcPr>
                  <w:tcW w:w="22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E7ABB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大规模压测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D92FE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课程环境未配置独立压测机，保留 k6 计划</w:t>
                  </w:r>
                </w:p>
              </w:tc>
            </w:tr>
          </w:tbl>
          <w:p w14:paraId="4497E00F"/>
        </w:tc>
      </w:tr>
    </w:tbl>
    <w:p w14:paraId="65DC06F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92E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512EB">
            <w:pPr>
              <w:spacing w:after="0"/>
            </w:pPr>
          </w:p>
          <w:p w14:paraId="185C86DA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测试依据</w:t>
            </w:r>
          </w:p>
          <w:p w14:paraId="4854D1BB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需求与设计：D-02 至 D-05 交付文档及数据库初始化脚本。</w:t>
            </w:r>
          </w:p>
          <w:p w14:paraId="3585D98B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实现依据：Controller、Service、Adapter、Vue 路由与 API 封装。</w:t>
            </w:r>
          </w:p>
          <w:p w14:paraId="2800438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质量门禁：后端测试通过、前端构建通过、Compose 配置可解析、核心流程无阻断缺陷。</w:t>
            </w:r>
          </w:p>
        </w:tc>
      </w:tr>
    </w:tbl>
    <w:p w14:paraId="42AA06E4"/>
    <w:p w14:paraId="1295105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测试计划：测试策略</w:t>
      </w:r>
    </w:p>
    <w:p w14:paraId="78CAC97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测试金字塔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A939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B0235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52"/>
              <w:gridCol w:w="5904"/>
              <w:gridCol w:w="1584"/>
            </w:tblGrid>
            <w:tr w14:paraId="7889F6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15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377DF2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层级</w:t>
                  </w:r>
                </w:p>
              </w:tc>
              <w:tc>
                <w:tcPr>
                  <w:tcW w:w="590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F3F5EA1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策略</w:t>
                  </w:r>
                </w:p>
              </w:tc>
              <w:tc>
                <w:tcPr>
                  <w:tcW w:w="158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0AB9BEF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数量预算</w:t>
                  </w:r>
                </w:p>
              </w:tc>
            </w:tr>
            <w:tr w14:paraId="00FF3F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209035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单元</w:t>
                  </w:r>
                </w:p>
              </w:tc>
              <w:tc>
                <w:tcPr>
                  <w:tcW w:w="59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46163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JUnit 5 + Mockito，覆盖 Service、规则与 Adapter</w:t>
                  </w:r>
                </w:p>
              </w:tc>
              <w:tc>
                <w:tcPr>
                  <w:tcW w:w="15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3FBA0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不少于 50</w:t>
                  </w:r>
                </w:p>
              </w:tc>
            </w:tr>
            <w:tr w14:paraId="12BA70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7E98E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集成</w:t>
                  </w:r>
                </w:p>
              </w:tc>
              <w:tc>
                <w:tcPr>
                  <w:tcW w:w="59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2E0E42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REST 接口与 SQL Server 数据读写冒烟</w:t>
                  </w:r>
                </w:p>
              </w:tc>
              <w:tc>
                <w:tcPr>
                  <w:tcW w:w="15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8F1FC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核心接口 14 条</w:t>
                  </w:r>
                </w:p>
              </w:tc>
            </w:tr>
            <w:tr w14:paraId="748931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DB04A5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E2E</w:t>
                  </w:r>
                </w:p>
              </w:tc>
              <w:tc>
                <w:tcPr>
                  <w:tcW w:w="59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0777F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浏览器执行最小演示路径</w:t>
                  </w:r>
                </w:p>
              </w:tc>
              <w:tc>
                <w:tcPr>
                  <w:tcW w:w="15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2EA2A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主流程 1 条</w:t>
                  </w:r>
                </w:p>
              </w:tc>
            </w:tr>
          </w:tbl>
          <w:p w14:paraId="5F609774"/>
        </w:tc>
      </w:tr>
    </w:tbl>
    <w:p w14:paraId="761D9A0D"/>
    <w:p w14:paraId="767D980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测试类型与工具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3FB3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ED81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52"/>
              <w:gridCol w:w="3168"/>
              <w:gridCol w:w="4320"/>
            </w:tblGrid>
            <w:tr w14:paraId="01E703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15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7BEDFE8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类型</w:t>
                  </w:r>
                </w:p>
              </w:tc>
              <w:tc>
                <w:tcPr>
                  <w:tcW w:w="316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2DD452D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工具/方式</w:t>
                  </w:r>
                </w:p>
              </w:tc>
              <w:tc>
                <w:tcPr>
                  <w:tcW w:w="432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B1BCEB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关注指标</w:t>
                  </w:r>
                </w:p>
              </w:tc>
            </w:tr>
            <w:tr w14:paraId="1A71A8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B7775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功能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9AEAD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JUnit、Mockito、Swagger、手工流程</w:t>
                  </w:r>
                </w:p>
              </w:tc>
              <w:tc>
                <w:tcPr>
                  <w:tcW w:w="43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DE214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状态、权限、错误码、数据一致性</w:t>
                  </w:r>
                </w:p>
              </w:tc>
            </w:tr>
            <w:tr w14:paraId="3C0FD6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665D5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构建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56F4C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Maven、vue-tsc、Vite</w:t>
                  </w:r>
                </w:p>
              </w:tc>
              <w:tc>
                <w:tcPr>
                  <w:tcW w:w="43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83841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编译成功、无类型错误</w:t>
                  </w:r>
                </w:p>
              </w:tc>
            </w:tr>
            <w:tr w14:paraId="274190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C60F1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性能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EDA80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k6 预留、浏览器观察</w:t>
                  </w:r>
                </w:p>
              </w:tc>
              <w:tc>
                <w:tcPr>
                  <w:tcW w:w="43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353CB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响应时间、错误率、并发稳定性</w:t>
                  </w:r>
                </w:p>
              </w:tc>
            </w:tr>
            <w:tr w14:paraId="69AD34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67340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安全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D411D33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Spring Security、依赖审计预留</w:t>
                  </w:r>
                </w:p>
              </w:tc>
              <w:tc>
                <w:tcPr>
                  <w:tcW w:w="43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3C1F3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越权、鉴权、敏感信息</w:t>
                  </w:r>
                </w:p>
              </w:tc>
            </w:tr>
            <w:tr w14:paraId="44A506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3344B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兼容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28DB00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Chrome/Edge，桌面端优先</w:t>
                  </w:r>
                </w:p>
              </w:tc>
              <w:tc>
                <w:tcPr>
                  <w:tcW w:w="43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CEB16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页面可用、布局与交互</w:t>
                  </w:r>
                </w:p>
              </w:tc>
            </w:tr>
          </w:tbl>
          <w:p w14:paraId="741F8196"/>
        </w:tc>
      </w:tr>
    </w:tbl>
    <w:p w14:paraId="6C33BFCE"/>
    <w:p w14:paraId="0A70C4D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测试环境矩阵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42CC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D1ACE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3744"/>
              <w:gridCol w:w="3600"/>
            </w:tblGrid>
            <w:tr w14:paraId="28715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29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0AB9F4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环境</w:t>
                  </w:r>
                </w:p>
              </w:tc>
              <w:tc>
                <w:tcPr>
                  <w:tcW w:w="374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25828FF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配置</w:t>
                  </w:r>
                </w:p>
              </w:tc>
              <w:tc>
                <w:tcPr>
                  <w:tcW w:w="360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ACFAB25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数据</w:t>
                  </w:r>
                </w:p>
              </w:tc>
            </w:tr>
            <w:tr w14:paraId="3F11E5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0E804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开发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905D01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Windows 11；JDK 17；Node 20+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07611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SQL Server 2022 + 演示种子</w:t>
                  </w:r>
                </w:p>
              </w:tc>
            </w:tr>
            <w:tr w14:paraId="39D582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C0DBF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容器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52FC0E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Docker Desktop；Compose app profile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7EBE9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启动时重建 SwapCampus 库</w:t>
                  </w:r>
                </w:p>
              </w:tc>
            </w:tr>
            <w:tr w14:paraId="0068A0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40B61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15B97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Vue 3 / TypeScript / Vite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9BBBD68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 REST 与 WebSocket 访问后端</w:t>
                  </w:r>
                </w:p>
              </w:tc>
            </w:tr>
            <w:tr w14:paraId="3F4182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71B98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对象存储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0BD95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2E83BD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swapcampus bucket，演示图片</w:t>
                  </w:r>
                </w:p>
              </w:tc>
            </w:tr>
          </w:tbl>
          <w:p w14:paraId="0998A2CC"/>
        </w:tc>
      </w:tr>
    </w:tbl>
    <w:p w14:paraId="019ABEC4"/>
    <w:p w14:paraId="125C01A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2.4  退出准则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A23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3C435">
            <w:pPr>
              <w:spacing w:after="0"/>
            </w:pPr>
          </w:p>
          <w:p w14:paraId="2C2715ED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所有 P0/P1 缺陷关闭，核心交易路径不存在阻断。</w:t>
            </w:r>
          </w:p>
          <w:p w14:paraId="0DAC25CA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后端自动化测试全通过，JaCoCo 行覆盖率达到课程目标 60%。</w:t>
            </w:r>
          </w:p>
          <w:p w14:paraId="70E199C8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前端生产构建与 Compose 配置校验通过。</w:t>
            </w:r>
          </w:p>
          <w:p w14:paraId="48A9BEF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未执行项必须给出原因、风险和后续补测方案。</w:t>
            </w:r>
          </w:p>
        </w:tc>
      </w:tr>
    </w:tbl>
    <w:p w14:paraId="52E0D07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036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2A96F">
            <w:pPr>
              <w:spacing w:after="0"/>
            </w:pPr>
          </w:p>
          <w:p w14:paraId="52DB939D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进入/暂停条件</w:t>
            </w:r>
          </w:p>
          <w:p w14:paraId="1107EC13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进入条件：数据库脚本可重建、演示账号可用、前后端能够启动。暂停条件：数据库不可用、认证服务异常或基础数据缺失导致 30% 以上用例阻塞。</w:t>
            </w:r>
          </w:p>
        </w:tc>
      </w:tr>
      <w:tr w14:paraId="63277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E29C3">
            <w:pPr>
              <w:keepNext/>
              <w:pBdr>
                <w:bottom w:val="single" w:color="1A7A3D" w:sz="8" w:space="4"/>
              </w:pBdr>
              <w:spacing w:before="280" w:after="120"/>
            </w:pPr>
            <w:r>
              <w:rPr>
                <w:rFonts w:ascii="微软雅黑" w:hAnsi="微软雅黑" w:eastAsia="微软雅黑"/>
                <w:b/>
                <w:color w:val="1A7A3D"/>
                <w:sz w:val="36"/>
              </w:rPr>
              <w:t>3  测试计划：测试用例清单</w:t>
            </w:r>
          </w:p>
          <w:p w14:paraId="1D4E4594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0"/>
              <w:gridCol w:w="2880"/>
              <w:gridCol w:w="4680"/>
            </w:tblGrid>
            <w:tr w14:paraId="282341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08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DCF2E7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编号</w:t>
                  </w:r>
                </w:p>
              </w:tc>
              <w:tc>
                <w:tcPr>
                  <w:tcW w:w="288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4CB23E2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场景</w:t>
                  </w:r>
                </w:p>
              </w:tc>
              <w:tc>
                <w:tcPr>
                  <w:tcW w:w="468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D2B478B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预期结果</w:t>
                  </w:r>
                </w:p>
              </w:tc>
            </w:tr>
            <w:tr w14:paraId="47801C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1B25C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TC-01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70F7F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用户登录与 JWT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7C17C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返回令牌和用户信息；受保护接口可访问</w:t>
                  </w:r>
                </w:p>
              </w:tc>
            </w:tr>
            <w:tr w14:paraId="18EC7F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7FB49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TC-02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84E7C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学号实名验证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35CCEF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实名状态更新；重复绑定被限制</w:t>
                  </w:r>
                </w:p>
              </w:tc>
            </w:tr>
            <w:tr w14:paraId="54D66F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7505E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TC-03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ACCC0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卖家发布商品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34EA6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商品进入待审核状态</w:t>
                  </w:r>
                </w:p>
              </w:tc>
            </w:tr>
            <w:tr w14:paraId="53B89D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B1742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TC-04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BE37C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管理员审核商品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3A523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通过后上架；拒绝时记录原因</w:t>
                  </w:r>
                </w:p>
              </w:tc>
            </w:tr>
            <w:tr w14:paraId="071F48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B47F1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TC-05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48D37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搜索、筛选与收藏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B458A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结果匹配条件；收藏状态持久化</w:t>
                  </w:r>
                </w:p>
              </w:tc>
            </w:tr>
            <w:tr w14:paraId="2C35DC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FA66B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TC-06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A9650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聊天与未读消息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ABE18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消息保存并推送；未读数正确</w:t>
                  </w:r>
                </w:p>
              </w:tc>
            </w:tr>
            <w:tr w14:paraId="5B584C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B54BA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TC-07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227DD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买家下单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4AB30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生成订单并锁定商品</w:t>
                  </w:r>
                </w:p>
              </w:tc>
            </w:tr>
            <w:tr w14:paraId="02D54C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0F42B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TC-08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5046E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Mock 支付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505A3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支付成功，订单状态推进</w:t>
                  </w:r>
                </w:p>
              </w:tc>
            </w:tr>
            <w:tr w14:paraId="2C5FC9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DF8F9A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TC-09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09D83B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交付与确认收货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F1051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双方确认后订单完成、商品售出</w:t>
                  </w:r>
                </w:p>
              </w:tc>
            </w:tr>
            <w:tr w14:paraId="3D399E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08E4A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TC-10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84401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评价与信用流水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620FB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评价保存并产生信用记录</w:t>
                  </w:r>
                </w:p>
              </w:tc>
            </w:tr>
            <w:tr w14:paraId="039302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0215C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TC-11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EE18E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举报与后台处置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5FE10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状态和动作记录更新，必要时处罚</w:t>
                  </w:r>
                </w:p>
              </w:tc>
            </w:tr>
            <w:tr w14:paraId="2B6C80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BCC92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TC-12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22A564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签到与积分兑换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71E7A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积分增减正确，重复操作受限</w:t>
                  </w:r>
                </w:p>
              </w:tc>
            </w:tr>
            <w:tr w14:paraId="0E5A74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B2A6D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TC-13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D6BE2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权限隔离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01AA98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普通用户不能访问后台；角色菜单正确</w:t>
                  </w:r>
                </w:p>
              </w:tc>
            </w:tr>
            <w:tr w14:paraId="123CB1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78081D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TC-14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CCABB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异常与幂等</w:t>
                  </w:r>
                </w:p>
              </w:tc>
              <w:tc>
                <w:tcPr>
                  <w:tcW w:w="4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D811EB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非法状态流转被拒绝且不产生脏数据</w:t>
                  </w:r>
                </w:p>
              </w:tc>
            </w:tr>
          </w:tbl>
          <w:p w14:paraId="19287152"/>
        </w:tc>
      </w:tr>
    </w:tbl>
    <w:p w14:paraId="456EE80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测试报告：执行情况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14:paraId="432DA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E2AE23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52FE4E0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计划数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64958F6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执行数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20DA344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通过数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5B7C7A4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失败数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BDA254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阻塞数</w:t>
            </w:r>
          </w:p>
        </w:tc>
        <w:tc>
          <w:tcPr>
            <w:tcW w:w="113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45F459E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通过率</w:t>
            </w:r>
          </w:p>
        </w:tc>
      </w:tr>
      <w:tr w14:paraId="3F454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A26914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单元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CA6810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06581F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55D561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738E97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9834C0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0FEF9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</w:tr>
      <w:tr w14:paraId="24DB4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605F144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集成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C926C2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0126A1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513333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18D809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2EC5E4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47ABA9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N/A</w:t>
            </w:r>
          </w:p>
        </w:tc>
      </w:tr>
      <w:tr w14:paraId="029D1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6CAC61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E2E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A0574E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6CBB26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84C906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2D162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8606ED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DF354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N/A</w:t>
            </w:r>
          </w:p>
        </w:tc>
      </w:tr>
      <w:tr w14:paraId="218EE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7D325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32CA81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A1524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2B45C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C69978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EDED9A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B75015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N/A</w:t>
            </w:r>
          </w:p>
        </w:tc>
      </w:tr>
      <w:tr w14:paraId="6F42F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E800A6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5947E8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C27997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BB2A48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FBF1F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877D9D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13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540173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N/A</w:t>
            </w:r>
          </w:p>
        </w:tc>
      </w:tr>
    </w:tbl>
    <w:p w14:paraId="4149D3D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CCF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3312F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2520"/>
              <w:gridCol w:w="1080"/>
              <w:gridCol w:w="3600"/>
            </w:tblGrid>
            <w:tr w14:paraId="15322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44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D085844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日期</w:t>
                  </w:r>
                </w:p>
              </w:tc>
              <w:tc>
                <w:tcPr>
                  <w:tcW w:w="252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346A1FF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检查项</w:t>
                  </w:r>
                </w:p>
              </w:tc>
              <w:tc>
                <w:tcPr>
                  <w:tcW w:w="108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01298E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结果</w:t>
                  </w:r>
                </w:p>
              </w:tc>
              <w:tc>
                <w:tcPr>
                  <w:tcW w:w="360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8400F8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说明</w:t>
                  </w:r>
                </w:p>
              </w:tc>
            </w:tr>
            <w:tr w14:paraId="035A27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20958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2026-06-15</w:t>
                  </w:r>
                </w:p>
              </w:tc>
              <w:tc>
                <w:tcPr>
                  <w:tcW w:w="25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66A635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 npm run build</w:t>
                  </w:r>
                </w:p>
              </w:tc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10780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537CA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vue-tsc 与 Vite 成功；存在第三方注解和大 chunk 警告</w:t>
                  </w:r>
                </w:p>
              </w:tc>
            </w:tr>
            <w:tr w14:paraId="058E0F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93001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2026-06-15</w:t>
                  </w:r>
                </w:p>
              </w:tc>
              <w:tc>
                <w:tcPr>
                  <w:tcW w:w="25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A3C227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Compose config --quiet</w:t>
                  </w:r>
                </w:p>
              </w:tc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FD9B1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7166D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配置可解析；沙箱无法读取用户 Docker config 警告不影响结果</w:t>
                  </w:r>
                </w:p>
              </w:tc>
            </w:tr>
            <w:tr w14:paraId="7CE751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98B603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既有记录</w:t>
                  </w:r>
                </w:p>
              </w:tc>
              <w:tc>
                <w:tcPr>
                  <w:tcW w:w="25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C2BD2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 mvn verify</w:t>
                  </w:r>
                </w:p>
              </w:tc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085F9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A377E5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项目记录为 56 个测试通过并生成 JaCoCo 报告</w:t>
                  </w:r>
                </w:p>
              </w:tc>
            </w:tr>
            <w:tr w14:paraId="4060BC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B5319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本次环境</w:t>
                  </w:r>
                </w:p>
              </w:tc>
              <w:tc>
                <w:tcPr>
                  <w:tcW w:w="252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DA25E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 mvn verify</w:t>
                  </w:r>
                </w:p>
              </w:tc>
              <w:tc>
                <w:tcPr>
                  <w:tcW w:w="10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ADC79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未复验</w:t>
                  </w:r>
                </w:p>
              </w:tc>
              <w:tc>
                <w:tcPr>
                  <w:tcW w:w="360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E9B21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执行环境未安装 Maven；不将其误记为失败</w:t>
                  </w:r>
                </w:p>
              </w:tc>
            </w:tr>
          </w:tbl>
          <w:p w14:paraId="39AEB8B4"/>
        </w:tc>
      </w:tr>
    </w:tbl>
    <w:p w14:paraId="598C1F3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ADD6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56DBE">
            <w:pPr>
              <w:keepNext/>
              <w:pBdr>
                <w:bottom w:val="single" w:color="1A7A3D" w:sz="8" w:space="4"/>
              </w:pBdr>
              <w:spacing w:before="280" w:after="120"/>
            </w:pPr>
            <w:r>
              <w:rPr>
                <w:rFonts w:ascii="微软雅黑" w:hAnsi="微软雅黑" w:eastAsia="微软雅黑"/>
                <w:b/>
                <w:color w:val="1A7A3D"/>
                <w:sz w:val="36"/>
              </w:rPr>
              <w:t>5  测试报告：覆盖率</w:t>
            </w:r>
          </w:p>
          <w:p w14:paraId="17F2D69F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1440"/>
              <w:gridCol w:w="5760"/>
            </w:tblGrid>
            <w:tr w14:paraId="5A1A04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44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28EC9B6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指标</w:t>
                  </w:r>
                </w:p>
              </w:tc>
              <w:tc>
                <w:tcPr>
                  <w:tcW w:w="144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18DFEC4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覆盖率</w:t>
                  </w:r>
                </w:p>
              </w:tc>
              <w:tc>
                <w:tcPr>
                  <w:tcW w:w="57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84FF465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结论</w:t>
                  </w:r>
                </w:p>
              </w:tc>
            </w:tr>
            <w:tr w14:paraId="31F038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1E867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指令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E6257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57.04%</w:t>
                  </w:r>
                </w:p>
              </w:tc>
              <w:tc>
                <w:tcPr>
                  <w:tcW w:w="57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19784D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基础业务逻辑已有覆盖</w:t>
                  </w:r>
                </w:p>
              </w:tc>
            </w:tr>
            <w:tr w14:paraId="302C3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61F33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行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D9DB8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61.80%</w:t>
                  </w:r>
                </w:p>
              </w:tc>
              <w:tc>
                <w:tcPr>
                  <w:tcW w:w="57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61DECE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达到选题指南不低于 60% 的目标</w:t>
                  </w:r>
                </w:p>
              </w:tc>
            </w:tr>
            <w:tr w14:paraId="3694CC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C51DC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分支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3FD39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31.64%</w:t>
                  </w:r>
                </w:p>
              </w:tc>
              <w:tc>
                <w:tcPr>
                  <w:tcW w:w="57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3FEDB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异常与边界分支仍需加强</w:t>
                  </w:r>
                </w:p>
              </w:tc>
            </w:tr>
            <w:tr w14:paraId="01C485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47316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方法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EA531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77.80%</w:t>
                  </w:r>
                </w:p>
              </w:tc>
              <w:tc>
                <w:tcPr>
                  <w:tcW w:w="57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D21D48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主要 Service 方法已进入测试范围</w:t>
                  </w:r>
                </w:p>
              </w:tc>
            </w:tr>
          </w:tbl>
          <w:p w14:paraId="4D59C349"/>
          <w:p w14:paraId="3528ECCD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报告路径：backend/target/site/jacoco/index.html。覆盖率数值采用 2026-06-15 项目既有执行记录。</w:t>
            </w:r>
          </w:p>
        </w:tc>
      </w:tr>
    </w:tbl>
    <w:p w14:paraId="5C9531F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570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8E202">
            <w:pPr>
              <w:keepNext/>
              <w:pBdr>
                <w:bottom w:val="single" w:color="1A7A3D" w:sz="8" w:space="4"/>
              </w:pBdr>
              <w:spacing w:before="280" w:after="120"/>
            </w:pPr>
            <w:r>
              <w:rPr>
                <w:rFonts w:ascii="微软雅黑" w:hAnsi="微软雅黑" w:eastAsia="微软雅黑"/>
                <w:b/>
                <w:color w:val="1A7A3D"/>
                <w:sz w:val="36"/>
              </w:rPr>
              <w:t>6  测试报告：性能数据</w:t>
            </w:r>
          </w:p>
          <w:p w14:paraId="5FD8CD4E">
            <w:pPr>
              <w:spacing w:after="0"/>
            </w:pPr>
          </w:p>
          <w:p w14:paraId="0C29BD86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N/A：尚未形成正式性能曲线</w:t>
            </w:r>
          </w:p>
          <w:p w14:paraId="33BD1955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课程环境未配置独立压测机，本轮未输出 RT/TPS/错误率曲线。建议在最终验收前使用 k6 对商品列表、聊天轮询/推送和下单接口执行 20-50 并发、持续 5 分钟的基线测试；目标为错误率 &lt; 1%，P95 &lt; 800 ms。</w:t>
            </w:r>
          </w:p>
        </w:tc>
      </w:tr>
    </w:tbl>
    <w:p w14:paraId="54155E9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测试报告：安全扫描</w:t>
      </w:r>
    </w:p>
    <w:p w14:paraId="0DD9A9A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002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BA1C9">
            <w:pPr>
              <w:spacing w:after="0"/>
            </w:pPr>
          </w:p>
          <w:p w14:paraId="01229132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N/A：未执行专用安全扫描</w:t>
            </w:r>
          </w:p>
          <w:p w14:paraId="608BE8DD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当前已通过 Spring Security、JWT、角色路由守卫和后端权限控制降低常见越权风险，但尚未提交 OWASP ZAP、Trivy 或依赖漏洞扫描报告。最终归档前应补充镜像与依赖扫描，并确认日志、配置和文档中不含真实 Token、Cookie 或生产凭证。</w:t>
            </w:r>
          </w:p>
        </w:tc>
      </w:tr>
    </w:tbl>
    <w:p w14:paraId="2C5DBCB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测试报告：缺陷统计</w:t>
      </w:r>
    </w:p>
    <w:p w14:paraId="35D6BCE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BDD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76A7E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2160"/>
              <w:gridCol w:w="2160"/>
              <w:gridCol w:w="2160"/>
            </w:tblGrid>
            <w:tr w14:paraId="2DD978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7D64860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严重度</w:t>
                  </w:r>
                </w:p>
              </w:tc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72BD645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已发现</w:t>
                  </w:r>
                </w:p>
              </w:tc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E0895D3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已关闭</w:t>
                  </w:r>
                </w:p>
              </w:tc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42CF23E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遗留</w:t>
                  </w:r>
                </w:p>
              </w:tc>
            </w:tr>
            <w:tr w14:paraId="70839D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25D4A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P0 阻断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14A1C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65A8D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ACBE1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</w:tr>
            <w:tr w14:paraId="06828C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78394F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P1 严重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B7D410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02CA4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42A61D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</w:tr>
            <w:tr w14:paraId="4C4D6F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837A4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P2 一般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656F1E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44551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BD5F7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</w:t>
                  </w:r>
                </w:p>
              </w:tc>
            </w:tr>
            <w:tr w14:paraId="35BBDC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F46DAD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P3 提示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93313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43FB7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0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6453B9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</w:t>
                  </w:r>
                </w:p>
              </w:tc>
            </w:tr>
          </w:tbl>
          <w:p w14:paraId="1E0B48B0"/>
          <w:p w14:paraId="54389CD2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P2：缺少接口/E2E 自动化资产、分支覆盖率偏低。P3：前端生产包大于 500 kB，建议按路由拆包。</w:t>
            </w:r>
          </w:p>
        </w:tc>
      </w:tr>
    </w:tbl>
    <w:p w14:paraId="582BDBF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9  测试报告：风险与建议</w:t>
      </w:r>
    </w:p>
    <w:p w14:paraId="782C70E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D9A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800D4">
            <w:pPr>
              <w:spacing w:after="0"/>
            </w:pPr>
          </w:p>
          <w:p w14:paraId="6ACE0364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补录 Postman/Apifox 集合并覆盖登录、商品、订单、举报主流程。</w:t>
            </w:r>
          </w:p>
          <w:p w14:paraId="6136F747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补充支付、交付、推荐和异常状态分支测试，提高分支覆盖率。</w:t>
            </w:r>
          </w:p>
          <w:p w14:paraId="560BD7C9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邀请至少 3 名同学执行灰度试用，记录可用性问题和修复结果。</w:t>
            </w:r>
          </w:p>
          <w:p w14:paraId="263A9DC7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上线建议：仅用于课程演示环境；真实支付、真实柜机和生产密钥管理须另行实现。</w:t>
            </w:r>
          </w:p>
        </w:tc>
      </w:tr>
    </w:tbl>
    <w:p w14:paraId="50C4EB8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10  附件清单</w:t>
      </w:r>
    </w:p>
    <w:p w14:paraId="7841A9B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7CC58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F9A52">
            <w:pPr>
              <w:spacing w:after="0"/>
            </w:pPr>
          </w:p>
          <w:p w14:paraId="0B2E8B9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自动化测试代码：backend/src/test/java/com/swapcampus/</w:t>
            </w:r>
          </w:p>
          <w:p w14:paraId="3E0706C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覆盖率报告：backend/target/site/jacoco/index.html</w:t>
            </w:r>
          </w:p>
          <w:p w14:paraId="65679093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跨模块测试资产目录：tests/</w:t>
            </w:r>
          </w:p>
          <w:p w14:paraId="63413B58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部署编排：docker-compose.yml</w:t>
            </w:r>
          </w:p>
          <w:p w14:paraId="3BC0738A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数据库结构与种子：db/migrations/、db/seeds/</w:t>
            </w:r>
          </w:p>
        </w:tc>
      </w:tr>
    </w:tbl>
    <w:p w14:paraId="7FC02514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E7DBD"/>
    <w:rsid w:val="34F2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1395</Words>
  <Characters>1933</Characters>
  <Lines>0</Lines>
  <Paragraphs>0</Paragraphs>
  <TotalTime>0</TotalTime>
  <ScaleCrop>false</ScaleCrop>
  <LinksUpToDate>false</LinksUpToDate>
  <CharactersWithSpaces>2064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古德赖可</cp:lastModifiedBy>
  <dcterms:modified xsi:type="dcterms:W3CDTF">2026-06-15T12:10:21Z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eyJoZGlkIjoiMzEwNTM5NzYwMDRjMzkwZTVkZjY2ODkwMGIxNGU0OTUiLCJ1c2VySWQiOiIxNTMyNzkxNjAzIn0=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27FF12BD39DF4C4596170349A568AB1E_12</vt:lpwstr>
  </property>
</Properties>
</file>