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637E78E7">
      <w:pPr>
        <w:spacing w:after="360"/>
        <w:jc w:val="center"/>
      </w:pP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竞赛提交材料</w:t>
      </w:r>
      <w:r>
        <w:rPr>
          <w:rFonts w:ascii="PingFang SC" w:hAnsi="PingFang SC"/>
          <w:color w:val="6B7280"/>
          <w:sz w:val="18"/>
        </w:rPr>
        <w:t xml:space="preserve"> ·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设计依据说明</w:t>
      </w:r>
    </w:p>
    <w:p w14:paraId="46FCF1CF">
      <w:pPr>
        <w:pStyle w:val="000008"/>
        <w:spacing w:after="480" w:line="336" w:lineRule="auto"/>
        <w:jc w:val="center"/>
      </w:pPr>
      <w:r>
        <w:rPr>
          <w:rFonts w:hint="eastAsia" w:ascii="微软雅黑" w:hAnsi="微软雅黑" w:eastAsia="微软雅黑" w:cs="微软雅黑"/>
          <w:b w:val="1"/>
          <w:color w:val="111827"/>
          <w:sz w:val="48"/>
          <w:lang w:eastAsia="zh-CN"/>
        </w:rPr>
        <w:t>老友 · 适老化设计依据说明书</w:t>
      </w:r>
    </w:p>
    <w:p w14:paraId="0512BAD6">
      <w:pPr>
        <w:spacing w:after="520"/>
        <w:jc w:val="center"/>
      </w:pPr>
      <w:r>
        <w:rPr>
          <w:rFonts w:hint="eastAsia" w:ascii="微软雅黑" w:hAnsi="微软雅黑" w:eastAsia="微软雅黑" w:cs="微软雅黑"/>
          <w:color w:val="111827"/>
          <w:sz w:val="26"/>
          <w:lang w:eastAsia="zh-CN"/>
        </w:rPr>
        <w:t>面向老年用户的界面设计决策与量化验证</w:t>
      </w:r>
    </w:p>
    <w:p w14:paraId="4A65ABFF">
      <w:pPr>
        <w:spacing w:after="110"/>
        <w:jc w:val="center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浙江传媒学院</w:t>
      </w:r>
      <w:r>
        <w:rPr>
          <w:rFonts w:ascii="PingFang SC" w:hAnsi="PingFang SC"/>
          <w:color w:val="111827"/>
          <w:sz w:val="22"/>
        </w:rPr>
        <w:t xml:space="preserve"> ·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老友项目组</w:t>
      </w:r>
    </w:p>
    <w:p w14:paraId="16800A0A">
      <w:pPr>
        <w:jc w:val="center"/>
      </w:pPr>
      <w:r>
        <w:rPr>
          <w:rFonts w:ascii="PingFang SC" w:hAnsi="PingFang SC"/>
          <w:color w:val="6B7280"/>
          <w:sz w:val="18"/>
        </w:rPr>
        <w:t xml:space="preserve">2026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年</w:t>
      </w:r>
      <w:r>
        <w:rPr>
          <w:rFonts w:ascii="PingFang SC" w:hAnsi="PingFang SC"/>
          <w:color w:val="6B7280"/>
          <w:sz w:val="18"/>
        </w:rPr>
        <w:t xml:space="preserve"> 9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月</w:t>
      </w:r>
    </w:p>
    <w:p w14:paraId="56396CD5">
      <w:pPr>
        <w:spacing w:before="360"/>
        <w:jc w:val="center"/>
      </w:pP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适用范围：</w:t>
      </w:r>
      <w:r>
        <w:rPr>
          <w:rFonts w:ascii="PingFang SC" w:hAnsi="PingFang SC"/>
          <w:color w:val="6B7280"/>
          <w:sz w:val="18"/>
        </w:rPr>
        <w:t xml:space="preserve">Web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总控端（老人端</w:t>
      </w:r>
      <w:r>
        <w:rPr>
          <w:rFonts w:ascii="PingFang SC" w:hAnsi="PingFang SC"/>
          <w:color w:val="6B7280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家属端）、</w:t>
      </w:r>
      <w:r>
        <w:rPr>
          <w:rFonts w:ascii="PingFang SC" w:hAnsi="PingFang SC"/>
          <w:color w:val="6B7280"/>
          <w:sz w:val="18"/>
        </w:rPr>
        <w:t>Android APP</w:t>
      </w:r>
    </w:p>
    <w:p w14:paraId="74F240D6">
      <w:pPr>
        <w:sectPr>
          <w:type w:val="nextPage"/>
          <w:pgSz w:w="11906" w:h="16838"/>
          <w:pgMar w:top="1440" w:right="1797" w:bottom="1440" w:left="1797"/>
        </w:sectPr>
      </w:pPr>
    </w:p>
    <w:p w14:paraId="4F12EED7">
      <w:pPr>
        <w:spacing w:after="120"/>
        <w:jc w:val="left"/>
      </w:pPr>
      <w:r>
        <w:rPr>
          <w:rFonts w:hint="eastAsia" w:ascii="PingFang SC" w:hAnsi="PingFang SC" w:eastAsia="PingFang SC"/>
          <w:b w:val="1"/>
          <w:color w:val="111827"/>
          <w:sz w:val="24"/>
        </w:rPr>
        <w:t>目录</w:t>
      </w:r>
    </w:p>
    <w:p w14:paraId="5BECA10D"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一、一句话结论与三条设计立场</w:t>
      </w:r>
      <w:r>
        <w:fldChar w:fldCharType="end" w:fldLock="0" w:dirty="0"/>
      </w:r>
    </w:p>
    <w:p w14:paraId="4BBCA43B"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二、依据一：视觉生理 —— 对比敏感度（CSF）的系统性下降</w:t>
      </w:r>
      <w:r>
        <w:fldChar w:fldCharType="end" w:fldLock="0" w:dirty="0"/>
      </w:r>
    </w:p>
    <w:p w14:paraId="41493D57"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三、依据二：色彩感知 —— 蓝黄通道衰退与易混淆色对</w:t>
      </w:r>
      <w:r>
        <w:fldChar w:fldCharType="end" w:fldLock="0" w:dirty="0"/>
      </w:r>
    </w:p>
    <w:p w14:paraId="03A7AC8D"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四、配色决策：我们为什么最终决定保留蓝色</w:t>
      </w:r>
      <w:r>
        <w:fldChar w:fldCharType="end" w:fldLock="0" w:dirty="0"/>
      </w:r>
    </w:p>
    <w:p w14:paraId="1F6CCFEB"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五、依据三：运动控制 —— 手部精细动作的衰退</w:t>
      </w:r>
      <w:r>
        <w:fldChar w:fldCharType="end" w:fldLock="0" w:dirty="0"/>
      </w:r>
    </w:p>
    <w:p w14:paraId="35806356"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六、依据四：认知与心理 —— 认知负荷、注意力与放弃率</w:t>
      </w:r>
      <w:r>
        <w:fldChar w:fldCharType="end" w:fldLock="0" w:dirty="0"/>
      </w:r>
    </w:p>
    <w:p w14:paraId="389E2E0C">
      <w:r>
        <w:instrText>HYPERLINK \l "_Toc_section_7"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七、规范映射：条款 → 我们的实现值</w:t>
      </w:r>
      <w:r>
        <w:fldChar w:fldCharType="end" w:fldLock="0" w:dirty="0"/>
      </w:r>
    </w:p>
    <w:p w14:paraId="0313E657">
      <w:r>
        <w:instrText>HYPERLINK \l "_Toc_section_8"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八、改造前后：实测数据与界面对照</w:t>
      </w:r>
      <w:r>
        <w:fldChar w:fldCharType="end" w:fldLock="0" w:dirty="0"/>
      </w:r>
    </w:p>
    <w:p w14:paraId="00000002">
      <w:pPr>
        <w:pStyle w:val="000002"/>
        <w:rPr>
          <w:rFonts w:ascii="PingFang SC" w:hAnsi="PingFang SC" w:eastAsia="PingFang SC"/>
          <w:color w:val="111827"/>
          <w:sz w:val="22"/>
        </w:rPr>
      </w:pPr>
      <w:r>
        <w:rPr>
          <w:rFonts w:hint="eastAsia" w:ascii="PingFang SC" w:hAnsi="PingFang SC" w:eastAsia="PingFang SC"/>
          <w:color w:val="000000"/>
          <w:sz w:val="22"/>
        </w:rPr>
        <w:t>九、多主题与用户自选外观</w:t>
      </w:r>
    </w:p>
    <w:p w14:paraId="561D9A13">
      <w:r>
        <w:rPr>
          <w:rFonts w:hint="eastAsia"/>
          <w:color w:val="000000"/>
          <w:u w:val="none"/>
        </w:rPr>
        <w:t>十</w:t>
      </w:r>
      <w:r>
        <w:rPr>
          <w:rFonts w:hint="eastAsia"/>
          <w:color w:val="000000"/>
          <w:u w:val="none"/>
        </w:rPr>
        <w:t>、边界与可复核性</w:t>
      </w:r>
      <w:r>
        <w:fldChar w:fldCharType="end" w:fldLock="0" w:dirty="0"/>
      </w:r>
    </w:p>
    <w:p w14:paraId="115DC270">
      <w:r>
        <w:instrText>HYPERLINK \l "_Toc_section_10"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主要参考来源</w:t>
      </w:r>
      <w:r>
        <w:fldChar w:fldCharType="end" w:fldLock="0" w:dirty="0"/>
      </w:r>
    </w:p>
    <w:p w14:paraId="54E4A149">
      <w:pPr>
        <w:pStyle w:val="00000a"/>
        <w:spacing w:before="600" w:after="150" w:line="312" w:lineRule="auto"/>
        <w:jc w:val="left"/>
      </w:pPr>
      <w:bookmarkStart w:id="1" w:name="section-1"/>
      <w:bookmarkEnd w:id="1"/>
      <w:bookmarkStart w:id="2" w:name="_Toc_section_1"/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一、一句话结论与三条设计立场</w:t>
      </w:r>
      <w:bookmarkEnd w:id="2"/>
    </w:p>
    <w:p w14:paraId="3BECDB2F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我们把「老友」两端界面（</w:t>
      </w:r>
      <w:r>
        <w:rPr>
          <w:rFonts w:ascii="PingFang SC" w:hAnsi="PingFang SC"/>
          <w:color w:val="111827"/>
          <w:sz w:val="22"/>
        </w:rPr>
        <w:t xml:space="preserve">Web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总控端、</w:t>
      </w:r>
      <w:r>
        <w:rPr>
          <w:rFonts w:ascii="PingFang SC" w:hAnsi="PingFang SC"/>
          <w:color w:val="111827"/>
          <w:sz w:val="22"/>
        </w:rPr>
        <w:t>Android APP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）按老年用户的真实生理与认知条件重做了一遍。这项工作与「把字调大一点」的本质区别在于：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每一项改动都能追溯到一条权威依据，每一个数值都能被脚本复算。</w:t>
      </w:r>
    </w:p>
    <w:p w14:paraId="2A2D8533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四组关键数字：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56E3109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指标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A004D87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改造前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33E8419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改造后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32E173C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小于  16px  的文字声明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7B67C51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74  处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C81C7F6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0 处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A73B8DD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正文对比度达标数（ ≥7:1 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12BAD63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0  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7DCDE26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全部达标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B9D9A0E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非文本元素对比度硬性不达标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CECD309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3  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7F61B73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0 项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600C35C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可操作控件小于  48×48px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B79B8F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6  类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265B24D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0 类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C80DDD4">
            <w:pPr>
              <w:spacing w:before="45" w:after="45" w:line="240" w:lineRule="auto"/>
              <w:jc w:val="left"/>
            </w:pPr>
            <w:r>
              <w:rPr>
                <w:rFonts w:hint="eastAsia"/>
              </w:rPr>
              <w:t>可选的界面主题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79391B5">
            <w:pPr>
              <w:spacing w:before="45" w:after="45" w:line="240" w:lineRule="auto"/>
              <w:jc w:val="left"/>
            </w:pPr>
            <w:r>
              <w:rPr>
                <w:rFonts w:hint="eastAsia"/>
              </w:rPr>
              <w:t>1 套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565E785">
            <w:pPr>
              <w:spacing w:before="45" w:after="45" w:line="240" w:lineRule="auto"/>
              <w:jc w:val="left"/>
            </w:pPr>
            <w:r>
              <w:rPr>
                <w:rFonts w:hint="eastAsia"/>
              </w:rPr>
              <w:t>12 套（6 主题 × 明暗）＋ 任意自定义主色</w:t>
            </w:r>
          </w:p>
        </w:tc>
      </w:tr>
    </w:tbl>
    <w:p w14:paraId="099E160C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上述数字背后是三条贯穿全案的设计立场：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第一，老年人的核心问题是「对比敏感度下降」而非「看不清小字」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，因此提高亮度对比的收益大于单纯放大字号</w:t>
      </w:r>
      <w:r>
        <w:rPr>
          <w:rFonts w:ascii="PingFang SC" w:hAnsi="PingFang SC"/>
          <w:color w:val="111827"/>
          <w:sz w:val="22"/>
        </w:rPr>
        <w:t>——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我们做的第一件事是重新解算全部颜色，而不是先把字号表乘一个系数。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第二，适老不等于换暖色。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流行说法是「老年人喜欢红橙黄」，这个说法有依据但被过度简化了；我们最终仍然保留蓝色作为主色，理由见第四节，这是本方案中最能体现专业判断的一步。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第三，颜色不得作为唯一的信息载体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，这是强制性规范条款，也是老年用户辨色能力下降时的兜底</w:t>
      </w:r>
      <w:r>
        <w:rPr>
          <w:rFonts w:ascii="PingFang SC" w:hAnsi="PingFang SC"/>
          <w:color w:val="111827"/>
          <w:sz w:val="22"/>
        </w:rPr>
        <w:t>——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我们对每一个用颜色表达的状态都补了第二种编码。</w:t>
      </w:r>
    </w:p>
    <w:p w14:paraId="3116E94C">
      <w:pPr>
        <w:pStyle w:val="00000a"/>
        <w:spacing w:before="600" w:after="150" w:line="312" w:lineRule="auto"/>
        <w:jc w:val="left"/>
      </w:pPr>
      <w:bookmarkStart w:id="3" w:name="section-2"/>
      <w:bookmarkEnd w:id="3"/>
      <w:bookmarkStart w:id="4" w:name="_Toc_section_2"/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二、依据一：视觉生理 —— 对比敏感度（CSF）的系统性下降</w:t>
      </w:r>
      <w:bookmarkEnd w:id="4"/>
    </w:p>
    <w:p w14:paraId="505C76C5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老年人视觉衰退最关键的机制不是「看不清楚」，而是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对低对比度物体的分辨能力系统性下降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，且下降在中高空间频率（细节、细线、小字）上最严重。以下数据构成了本项目全部对比度决策的出发点。</w:t>
      </w:r>
    </w:p>
    <w:p w14:paraId="461DB6B9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（一）关键数据</w:t>
      </w:r>
    </w:p>
    <w:p w14:paraId="57E46776">
      <w:pPr>
        <w:pStyle w:val="00002c"/>
        <w:spacing w:after="88"/>
        <w:jc w:val="left"/>
      </w:pPr>
      <w:r>
        <w:rPr>
          <w:rFonts w:ascii="PingFang SC" w:hAnsi="PingFang SC"/>
          <w:color w:val="111827"/>
          <w:sz w:val="22"/>
        </w:rPr>
        <w:t xml:space="preserve">20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岁与</w:t>
      </w:r>
      <w:r>
        <w:rPr>
          <w:rFonts w:ascii="PingFang SC" w:hAnsi="PingFang SC"/>
          <w:color w:val="111827"/>
          <w:sz w:val="22"/>
        </w:rPr>
        <w:t xml:space="preserve"> 70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岁观察者在</w:t>
      </w:r>
      <w:r>
        <w:rPr>
          <w:rFonts w:ascii="PingFang SC" w:hAnsi="PingFang SC"/>
          <w:color w:val="111827"/>
          <w:sz w:val="22"/>
        </w:rPr>
        <w:t xml:space="preserve"> 8 cycles/degree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处的对比敏感度差异为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0.2–0.57 log units，平均约 0.3 log units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（</w:t>
      </w:r>
      <w:r>
        <w:rPr>
          <w:rFonts w:ascii="PingFang SC" w:hAnsi="PingFang SC"/>
          <w:color w:val="111827"/>
          <w:sz w:val="22"/>
        </w:rPr>
        <w:t xml:space="preserve">Owsley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综述汇总</w:t>
      </w:r>
      <w:r>
        <w:rPr>
          <w:rFonts w:ascii="PingFang SC" w:hAnsi="PingFang SC"/>
          <w:color w:val="111827"/>
          <w:sz w:val="22"/>
        </w:rPr>
        <w:t xml:space="preserve"> Elliott 1987/1990/2009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Kline et al. 1983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Owsley et al. 1983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）。</w:t>
      </w:r>
    </w:p>
    <w:p w14:paraId="1A8089CF">
      <w:pPr>
        <w:pStyle w:val="00002c"/>
        <w:spacing w:after="88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日本</w:t>
      </w:r>
      <w:r>
        <w:rPr>
          <w:rFonts w:ascii="PingFang SC" w:hAnsi="PingFang SC"/>
          <w:color w:val="111827"/>
          <w:sz w:val="22"/>
        </w:rPr>
        <w:t xml:space="preserve"> NILS-LSA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纵向研究（</w:t>
      </w:r>
      <w:r>
        <w:rPr>
          <w:rFonts w:ascii="PingFang SC" w:hAnsi="PingFang SC"/>
          <w:color w:val="111827"/>
          <w:sz w:val="22"/>
        </w:rPr>
        <w:t xml:space="preserve">40–79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岁社区人群）：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即使矫正视力达到 1.0，70–79 岁组中仍有 21.1% 的人在高空间频率（18 cpd）处对比敏感度为零。</w:t>
      </w:r>
    </w:p>
    <w:p w14:paraId="7DB33FAF">
      <w:pPr>
        <w:pStyle w:val="00002c"/>
        <w:spacing w:after="88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该研究的结论原话是：「仅靠视力检查无法评估老年人群的视觉功能。」</w:t>
      </w:r>
    </w:p>
    <w:p w14:paraId="14F9A095">
      <w:pPr>
        <w:pBdr>
          <w:left w:val="single" w:color="2563EB" w:sz="18" w:space="0"/>
        </w:pBdr>
        <w:shd w:val="clear" w:color="auto" w:fill="F3F6FA"/>
        <w:spacing w:after="220"/>
        <w:jc w:val="left"/>
      </w:pPr>
      <w:r>
        <w:rPr>
          <w:rFonts w:ascii="PingFang SC" w:hAnsi="PingFang SC"/>
          <w:color w:val="111827"/>
          <w:sz w:val="22"/>
        </w:rPr>
        <w:t>  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操作含义：视力表正常不等于界面看得清。</w:t>
      </w:r>
    </w:p>
    <w:p w14:paraId="0B008D99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（二）机制分解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224ED9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因素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978A9DD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后果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0965A4B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瞳孔缩小（约  60  岁后趋于稳定）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511FBD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进光量下降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BB8A425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晶状体密度增加、黄化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564118D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进光量下降，短波长（蓝）被吸收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549A93D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眼内散射增加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B9E4626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对比度被「雾化」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9AF776B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视网膜照度下降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2A43FBD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低亮度条件下进一步恶化</w:t>
            </w:r>
          </w:p>
        </w:tc>
      </w:tr>
    </w:tbl>
    <w:p w14:paraId="7D933281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综合效果：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进入老年眼睛的光量下降 28%–43%，相当于常年戴一副墨镜看屏幕。</w:t>
      </w:r>
    </w:p>
    <w:p w14:paraId="06EDFB13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（三）由此确定的设计约束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FC99B19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约束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02D331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取值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96EC35D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依据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96408D5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正文亮度对比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195FE3C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≥ 7:1 （不停留在  4.5:1 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F5BBE0B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WCAG 2.2 SC 1.4.6  增强级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76E48E6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非文本元素对比（边框、图形、控件边界）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3F6C865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≥ 3:1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7589243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WCAG 2.2 SC 1.4.11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801F369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颜色不得作为唯一手段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57B701E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必须同时用图标／文字／形状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E2405B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WCAG 2.2 SC 1.4.1 ；工信部规范  1.4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C00A8D3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适老版主要文字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EB7F447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≥ 18dp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925742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工信部《适老化通用设计规范》</w:t>
            </w:r>
          </w:p>
        </w:tc>
      </w:tr>
    </w:tbl>
    <w:p w14:paraId="6EA5F524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这里需要说明一个常被忽略的区别：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4.5:1 是 WCAG 的最低要求（AA），它衡量的是年轻眼睛的阈值。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我们把全站文字统一提到</w:t>
      </w:r>
      <w:r>
        <w:rPr>
          <w:rFonts w:ascii="PingFang SC" w:hAnsi="PingFang SC"/>
          <w:color w:val="111827"/>
          <w:sz w:val="22"/>
        </w:rPr>
        <w:t xml:space="preserve"> 7:1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（</w:t>
      </w:r>
      <w:r>
        <w:rPr>
          <w:rFonts w:ascii="PingFang SC" w:hAnsi="PingFang SC"/>
          <w:color w:val="111827"/>
          <w:sz w:val="22"/>
        </w:rPr>
        <w:t>AAA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，增强级），而不是停在最低线上。</w:t>
      </w:r>
    </w:p>
    <w:p w14:paraId="1E926E87">
      <w:pPr>
        <w:pStyle w:val="00000a"/>
        <w:spacing w:before="600" w:after="150" w:line="312" w:lineRule="auto"/>
        <w:jc w:val="left"/>
      </w:pPr>
      <w:bookmarkStart w:id="5" w:name="section-3"/>
      <w:bookmarkEnd w:id="5"/>
      <w:bookmarkStart w:id="6" w:name="_Toc_section_3"/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三、依据二：色彩感知 —— 蓝黄通道衰退与易混淆色对</w:t>
      </w:r>
      <w:bookmarkEnd w:id="6"/>
    </w:p>
    <w:p w14:paraId="236C60E8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晶状体随年龄变厚变黄，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选择性吸收短波长（蓝紫）光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。由此产生两个后果：一是色相感知偏移，画面整体偏黄，主观「黄视感」在</w:t>
      </w:r>
      <w:r>
        <w:rPr>
          <w:rFonts w:ascii="PingFang SC" w:hAnsi="PingFang SC"/>
          <w:color w:val="111827"/>
          <w:sz w:val="22"/>
        </w:rPr>
        <w:t xml:space="preserve"> 75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岁以上人群中显著；二是人眼三种锥细胞中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蓝锥数量最少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，蓝通道本身最脆弱。色对比敏感度研究（</w:t>
      </w:r>
      <w:r>
        <w:rPr>
          <w:rFonts w:ascii="PingFang SC" w:hAnsi="PingFang SC"/>
          <w:color w:val="111827"/>
          <w:sz w:val="22"/>
        </w:rPr>
        <w:t>Hardy et al. 2005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）显示，老年观察者在所有空间频率、两种色觉通道上均表现出更低的敏感度，控制眼介质密度差异后差异仍然存在，说明光学术与神经因素共同作用。</w:t>
      </w:r>
    </w:p>
    <w:p w14:paraId="44F99064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针对</w:t>
      </w:r>
      <w:r>
        <w:rPr>
          <w:rFonts w:ascii="PingFang SC" w:hAnsi="PingFang SC"/>
          <w:color w:val="111827"/>
          <w:sz w:val="22"/>
        </w:rPr>
        <w:t xml:space="preserve"> 80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岁以上被试的色觉判断实验与黄化镜片模拟研究，给出以下易混淆组合：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178B196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易混淆色对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F80B588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风险等级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DFBB88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老友界面是否涉及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3CA246A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黄  /  白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4926E65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高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3A6D771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涉及（天气图标、警示底色）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15626C1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蓝  /  绿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AFFF04B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高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3E42928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曾涉及（历史主色为绿，改造期存在混用风险）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748B89B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深蓝  /  黑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8E47A02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高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8C8AB19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涉及（深品牌蓝与正文黑均为深色）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C7538AA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紫  /  暗红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1D87A72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中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EB6E5B6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不涉及</w:t>
            </w:r>
          </w:p>
        </w:tc>
      </w:tr>
    </w:tbl>
    <w:p w14:paraId="65C86132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同一研究也指出：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红-橙-黄等长波长色因能穿透黄化晶状体，保留最好。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这正是「暖色更适合老年人」这一说法的来源。</w:t>
      </w:r>
    </w:p>
    <w:p w14:paraId="5879A153">
      <w:pPr>
        <w:pStyle w:val="00000a"/>
        <w:spacing w:before="600" w:after="150" w:line="312" w:lineRule="auto"/>
        <w:jc w:val="left"/>
      </w:pPr>
      <w:bookmarkStart w:id="7" w:name="section-4"/>
      <w:bookmarkEnd w:id="7"/>
      <w:bookmarkStart w:id="8" w:name="_Toc_section_4"/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四、配色决策：我们为什么最终决定保留蓝色</w:t>
      </w:r>
      <w:bookmarkEnd w:id="8"/>
    </w:p>
    <w:p w14:paraId="484BBD91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这是整份方案里最容易做错、也最能体现专业判断的一步，因此单独说明。表面证据其实全部指向「不该用蓝色」，但我们最终没有换色相。</w:t>
      </w:r>
    </w:p>
    <w:p w14:paraId="2C01DC53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（一）表面上的证据全部指向「不该用蓝」</w:t>
      </w:r>
    </w:p>
    <w:p w14:paraId="275BA28F">
      <w:pPr>
        <w:pStyle w:val="00002c"/>
        <w:spacing w:after="88"/>
        <w:jc w:val="left"/>
      </w:pPr>
      <w:r>
        <w:rPr>
          <w:rFonts w:ascii="PingFang SC" w:hAnsi="PingFang SC"/>
          <w:color w:val="111827"/>
          <w:sz w:val="22"/>
        </w:rPr>
        <w:t xml:space="preserve">Nielsen Norman Group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面向老年用户的设计指南中明确写着：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「在重要的互动界面元素上避免使用蓝色。」</w:t>
      </w:r>
    </w:p>
    <w:p w14:paraId="59C85324">
      <w:pPr>
        <w:pStyle w:val="00002c"/>
        <w:spacing w:after="88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蓝</w:t>
      </w:r>
      <w:r>
        <w:rPr>
          <w:rFonts w:ascii="PingFang SC" w:hAnsi="PingFang SC"/>
          <w:color w:val="111827"/>
          <w:sz w:val="22"/>
        </w:rPr>
        <w:t>/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绿、深蓝</w:t>
      </w:r>
      <w:r>
        <w:rPr>
          <w:rFonts w:ascii="PingFang SC" w:hAnsi="PingFang SC"/>
          <w:color w:val="111827"/>
          <w:sz w:val="22"/>
        </w:rPr>
        <w:t>/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黑都是实证易混淆色对。</w:t>
      </w:r>
    </w:p>
    <w:p w14:paraId="7E9F7A4B">
      <w:pPr>
        <w:pStyle w:val="00002c"/>
        <w:spacing w:after="88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蓝色在白底上的对比度，对老化眼睛感知偏低。</w:t>
      </w:r>
    </w:p>
    <w:p w14:paraId="5B816E08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只看这三条，结论就是「把主色换成暖色」。我们最初的判断也是如此。</w:t>
      </w:r>
    </w:p>
    <w:p w14:paraId="7BA3BF33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（二）但我们没有这么做，有四条理由</w:t>
      </w:r>
    </w:p>
    <w:p w14:paraId="5B67F757">
      <w:pPr>
        <w:spacing w:after="110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第一，决定可读性的是亮度对比，不是色相。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老年人对比敏感度下降带来的问题，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可以通过提高亮度对比来补偿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。蓝色之所以「不好」，是因为常见蓝色（如链接蓝</w:t>
      </w:r>
      <w:r>
        <w:rPr>
          <w:rFonts w:ascii="PingFang SC" w:hAnsi="PingFang SC"/>
          <w:color w:val="111827"/>
          <w:sz w:val="22"/>
        </w:rPr>
        <w:t xml:space="preserve"> #0066CC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）亮度太低。把蓝色加深到足够对比度之后，可读性即可回到安全区。色相本身不是变量，亮度才是。</w:t>
      </w:r>
    </w:p>
    <w:p w14:paraId="315DA64D">
      <w:pPr>
        <w:spacing w:after="110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第二，改用暖色主色会引入更严重的问题——语义冲突。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老友的状态语义已经占用了暖色：橙色表示「待提醒／需留意」，红色表示「异常／挂断／错误」。如果品牌主色也变成暖色，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「品牌色」与「警示色」的语义就重叠了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，用户将无法靠颜色判断「这是按钮还是警告」。这直接违反强制性条款「颜色不得作为唯一信息手段」。</w:t>
      </w:r>
    </w:p>
    <w:p w14:paraId="15B55CC0">
      <w:pPr>
        <w:spacing w:after="110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第三，大面积高饱和暖色对老年人并不友好。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红橙黄穿透黄化晶状体确实最好，但大面积使用会产生眩光感与视觉疲劳。暖色的优势在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小面积强调</w:t>
      </w:r>
      <w:r>
        <w:rPr>
          <w:rFonts w:ascii="PingFang SC" w:hAnsi="PingFang SC"/>
          <w:color w:val="111827"/>
          <w:sz w:val="22"/>
        </w:rPr>
        <w:t>——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这正是它适合做警示色、而不适合做大面积主色的原因。</w:t>
      </w:r>
    </w:p>
    <w:p w14:paraId="72F153BA">
      <w:pPr>
        <w:spacing w:after="110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第四，蓝色作为「低饱和、大面积、非语义」的装饰色是安全的。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真正危险的只是「蓝色作为唯一语义载体」，例如仅靠颜色区分的链接或按钮。这一点我们用冗余编码解决，而不是靠换色相解决。</w:t>
      </w:r>
    </w:p>
    <w:p w14:paraId="79D82AE6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（三）所以我们实际做的事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137CD20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动作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9DE9269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改造前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2F8D81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改造后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2EDF183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主色亮度对比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12CB497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6.02:1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F73789B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b w:val="1"/>
                <w:color w:val="111827"/>
                <w:sz w:val="18"/>
              </w:rPr>
              <w:t>7.88:1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F830FE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次要文字对比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DC8EF53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5.69:1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C11C8C7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b w:val="1"/>
                <w:color w:val="111827"/>
                <w:sz w:val="18"/>
              </w:rPr>
              <w:t>7.72:1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3E4914B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蓝色语义降级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757D963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多处「蓝色  =  可点击」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8E493F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补齐图标  +  边框  +  文字三重冗余编码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57860AA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健康页两个蓝冲突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E030A72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品牌蓝与信息蓝视觉接近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35EEED6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第三张卡改中性灰，三卡形成蓝／橙／灰可辨差异</w:t>
            </w:r>
          </w:p>
        </w:tc>
      </w:tr>
    </w:tbl>
    <w:p w14:paraId="6371470B">
      <w:pPr>
        <w:pStyle w:val="00000a"/>
        <w:spacing w:before="600" w:after="150" w:line="312" w:lineRule="auto"/>
        <w:jc w:val="left"/>
      </w:pPr>
      <w:bookmarkStart w:id="9" w:name="section-5"/>
      <w:bookmarkEnd w:id="9"/>
      <w:bookmarkStart w:id="10" w:name="_Toc_section_5"/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五、依据三：运动控制 —— 手部精细动作的衰退</w:t>
      </w:r>
      <w:bookmarkEnd w:id="10"/>
    </w:p>
    <w:p w14:paraId="3295AB40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老年用户的点击失误率直接由目标尺寸决定，这一节的数据决定了本项目所有交互控件的尺寸下限。</w:t>
      </w:r>
    </w:p>
    <w:p w14:paraId="78259C5B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（一）数据</w:t>
      </w:r>
    </w:p>
    <w:p w14:paraId="6401110D">
      <w:pPr>
        <w:pStyle w:val="00002c"/>
        <w:spacing w:after="88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年龄相关的运动控制退化从</w:t>
      </w:r>
      <w:r>
        <w:rPr>
          <w:rFonts w:ascii="PingFang SC" w:hAnsi="PingFang SC"/>
          <w:color w:val="111827"/>
          <w:sz w:val="22"/>
        </w:rPr>
        <w:t xml:space="preserve"> 50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岁后开始，影响握力、精细动作与视</w:t>
      </w:r>
      <w:r>
        <w:rPr>
          <w:rFonts w:ascii="PingFang SC" w:hAnsi="PingFang SC"/>
          <w:color w:val="111827"/>
          <w:sz w:val="22"/>
        </w:rPr>
        <w:t>-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动协调。</w:t>
      </w:r>
    </w:p>
    <w:p w14:paraId="1DAAAFD2">
      <w:pPr>
        <w:pStyle w:val="00002c"/>
        <w:spacing w:after="88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特发性震颤患病率：40 岁以下 4%，65 岁以上 14%。</w:t>
      </w:r>
    </w:p>
    <w:p w14:paraId="0B811918">
      <w:pPr>
        <w:pStyle w:val="00002c"/>
        <w:spacing w:after="88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触摸精度每十年下降约</w:t>
      </w:r>
      <w:r>
        <w:rPr>
          <w:rFonts w:ascii="PingFang SC" w:hAnsi="PingFang SC"/>
          <w:color w:val="111827"/>
          <w:sz w:val="22"/>
        </w:rPr>
        <w:t xml:space="preserve"> 15%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（</w:t>
      </w:r>
      <w:r>
        <w:rPr>
          <w:rFonts w:ascii="PingFang SC" w:hAnsi="PingFang SC"/>
          <w:color w:val="111827"/>
          <w:sz w:val="22"/>
        </w:rPr>
        <w:t xml:space="preserve">40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岁后），老年人触摸偏移实测典型值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PingFang SC" w:hAnsi="PingFang SC"/>
          <w:b w:val="1"/>
          <w:color w:val="111827"/>
          <w:sz w:val="22"/>
        </w:rPr>
        <w:t>0.8–2.1mm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77FC98A0">
      <w:pPr>
        <w:pStyle w:val="00002c"/>
        <w:spacing w:after="88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触屏研究实测：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44×44 的目标，65 岁以上用户错误率约 19%；放大到 56×56 降至 8%；64×64 降至 5%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（</w:t>
      </w:r>
      <w:r>
        <w:rPr>
          <w:rFonts w:ascii="PingFang SC" w:hAnsi="PingFang SC"/>
          <w:color w:val="111827"/>
          <w:sz w:val="22"/>
        </w:rPr>
        <w:t xml:space="preserve">34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名</w:t>
      </w:r>
      <w:r>
        <w:rPr>
          <w:rFonts w:ascii="PingFang SC" w:hAnsi="PingFang SC"/>
          <w:color w:val="111827"/>
          <w:sz w:val="22"/>
        </w:rPr>
        <w:t xml:space="preserve"> 65–82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岁被试）。该条为行业实践报告而非同行评审，我们把它作为参考而非唯一依据。</w:t>
      </w:r>
    </w:p>
    <w:p w14:paraId="6CF7C82C">
      <w:pPr>
        <w:pStyle w:val="00002c"/>
        <w:spacing w:after="88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人体测量：平均指尖接触面积 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10–14mm（约 28–40 CSS px）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，拇指</w:t>
      </w:r>
      <w:r>
        <w:rPr>
          <w:rFonts w:ascii="PingFang SC" w:hAnsi="PingFang SC"/>
          <w:color w:val="111827"/>
          <w:sz w:val="22"/>
        </w:rPr>
        <w:t xml:space="preserve"> 12–20mm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1D16FB0C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（二）老友的特殊性</w:t>
      </w:r>
    </w:p>
    <w:p w14:paraId="16B31BD3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老友的</w:t>
      </w:r>
      <w:r>
        <w:rPr>
          <w:rFonts w:ascii="PingFang SC" w:hAnsi="PingFang SC"/>
          <w:color w:val="111827"/>
          <w:sz w:val="22"/>
        </w:rPr>
        <w:t xml:space="preserve"> Web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端是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电脑总控屏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，主要用鼠标。而鼠标对老年人的难度高于触屏</w:t>
      </w:r>
      <w:r>
        <w:rPr>
          <w:rFonts w:ascii="PingFang SC" w:hAnsi="PingFang SC"/>
          <w:color w:val="111827"/>
          <w:sz w:val="22"/>
        </w:rPr>
        <w:t xml:space="preserve">——NN/g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观察发现，</w:t>
      </w:r>
      <w:r>
        <w:rPr>
          <w:rFonts w:ascii="PingFang SC" w:hAnsi="PingFang SC"/>
          <w:color w:val="111827"/>
          <w:sz w:val="22"/>
        </w:rPr>
        <w:t xml:space="preserve">80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岁老人常需用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两只手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操作鼠标，在精确点击目标与移动光标两件事上都有困难。鼠标点击目标建议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对角 ≥ 11mm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，比触屏的</w:t>
      </w:r>
      <w:r>
        <w:rPr>
          <w:rFonts w:ascii="PingFang SC" w:hAnsi="PingFang SC"/>
          <w:color w:val="111827"/>
          <w:sz w:val="22"/>
        </w:rPr>
        <w:t xml:space="preserve"> 9.6mm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更宽。</w:t>
      </w:r>
    </w:p>
    <w:p w14:paraId="476C8B40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（三）我们落到的值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FB16AFA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项目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559FA51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标准下限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80151A7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我们采用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3B81C8A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触屏目标（ Android APP 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3A64418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48×48dp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3AD8F9A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b w:val="1"/>
                <w:color w:val="111827"/>
                <w:sz w:val="18"/>
              </w:rPr>
              <w:t>48×48dp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24810D0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鼠标目标（ Web  总控）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25A3947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44×44px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21D81BB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b w:val="1"/>
                <w:color w:val="111827"/>
                <w:sz w:val="18"/>
              </w:rPr>
              <w:t>48×48px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2014A2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相邻目标间距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69ECAA3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≥ 8px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B073B16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≥ 8px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07F83F6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手势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DDE4A88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避免三指以上复杂手势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07110F1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单击优先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4F17064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点击反馈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97331E6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需明确可见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B815C72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160ms  过渡， 0.2–0.3s  内可见</w:t>
            </w:r>
          </w:p>
        </w:tc>
      </w:tr>
    </w:tbl>
    <w:p w14:paraId="12EEE898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改造涉及的具体元素：主</w:t>
      </w:r>
      <w:r>
        <w:rPr>
          <w:rFonts w:ascii="PingFang SC" w:hAnsi="PingFang SC"/>
          <w:color w:val="111827"/>
          <w:sz w:val="22"/>
        </w:rPr>
        <w:t>/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次</w:t>
      </w:r>
      <w:r>
        <w:rPr>
          <w:rFonts w:ascii="PingFang SC" w:hAnsi="PingFang SC"/>
          <w:color w:val="111827"/>
          <w:sz w:val="22"/>
        </w:rPr>
        <w:t>/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危险按钮、图标按钮、文字按钮、麦克风与发送按钮、通话控制按钮、挂断按钮、小号主按钮，全部从</w:t>
      </w:r>
      <w:r>
        <w:rPr>
          <w:rFonts w:ascii="PingFang SC" w:hAnsi="PingFang SC"/>
          <w:color w:val="111827"/>
          <w:sz w:val="22"/>
        </w:rPr>
        <w:t xml:space="preserve"> 44–47px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提到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PingFang SC" w:hAnsi="PingFang SC"/>
          <w:b w:val="1"/>
          <w:color w:val="111827"/>
          <w:sz w:val="22"/>
        </w:rPr>
        <w:t>48px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；开关整行可点高度</w:t>
      </w:r>
      <w:r>
        <w:rPr>
          <w:rFonts w:ascii="PingFang SC" w:hAnsi="PingFang SC"/>
          <w:color w:val="111827"/>
          <w:sz w:val="22"/>
        </w:rPr>
        <w:t xml:space="preserve"> 48px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，轨道视觉尺寸从</w:t>
      </w:r>
      <w:r>
        <w:rPr>
          <w:rFonts w:ascii="PingFang SC" w:hAnsi="PingFang SC"/>
          <w:color w:val="111827"/>
          <w:sz w:val="22"/>
        </w:rPr>
        <w:t xml:space="preserve"> 43×24px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放大到</w:t>
      </w:r>
      <w:r>
        <w:rPr>
          <w:rFonts w:ascii="PingFang SC" w:hAnsi="PingFang SC"/>
          <w:color w:val="111827"/>
          <w:sz w:val="22"/>
        </w:rPr>
        <w:t xml:space="preserve"> 52×30px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6CEA2653">
      <w:pPr>
        <w:pStyle w:val="00000a"/>
        <w:spacing w:before="600" w:after="150" w:line="312" w:lineRule="auto"/>
        <w:jc w:val="left"/>
      </w:pPr>
      <w:bookmarkStart w:id="11" w:name="section-6"/>
      <w:bookmarkEnd w:id="11"/>
      <w:bookmarkStart w:id="12" w:name="_Toc_section_6"/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六、依据四：认知与心理 —— 认知负荷、注意力与放弃率</w:t>
      </w:r>
      <w:bookmarkEnd w:id="12"/>
    </w:p>
    <w:p w14:paraId="0ECA72FE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生理条件决定了「看得见、点得中」，认知与心理条件则决定「用不用得下去」。本节两部分证据分别解释信息应如何组织，以及用户为什么会在出错后彻底放弃。</w:t>
      </w:r>
    </w:p>
    <w:p w14:paraId="38B30553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（一）认知负荷理论</w:t>
      </w:r>
    </w:p>
    <w:p w14:paraId="46483227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认知负荷理论（</w:t>
      </w:r>
      <w:r>
        <w:rPr>
          <w:rFonts w:ascii="PingFang SC" w:hAnsi="PingFang SC"/>
          <w:color w:val="111827"/>
          <w:sz w:val="22"/>
        </w:rPr>
        <w:t>Sweller, 1988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）把认知负荷分为三类，其中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外在负荷（extraneous load）——由界面呈现方式造成的、与任务无关的负担——对老年用户的影响最大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，因为它完全由设计决定。由此推出三条界面原则：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F75A061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效应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411722B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含义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AE62A0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对老友的要求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AEFA183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分裂注意效应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9015EAB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相关信息分散在多处会增加负担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97B8046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同一件事的说明与操作放在一起，不让用户在弹窗间跳转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DFA80D3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冗余效应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078491B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无意义的重复信息反而增加负担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99F6299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不用三种方式说同一句话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C07A30C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通道效应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9B58B26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多通道（视 + 听）呈现优于单一通道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493D57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老友已具备语音播报，继续扩大语音覆盖</w:t>
            </w:r>
          </w:p>
        </w:tc>
      </w:tr>
    </w:tbl>
    <w:p w14:paraId="52A6040F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具体能力变化方面：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执行功能下降导致难以过滤无关信息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，页面上的次要元素会实际干扰主要任务，不只是「看着乱」；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工作记忆容量下降导致易过载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，跨屏幕记住信息很困难。</w:t>
      </w:r>
      <w:r>
        <w:rPr>
          <w:rFonts w:ascii="PingFang SC" w:hAnsi="PingFang SC"/>
          <w:color w:val="111827"/>
          <w:sz w:val="22"/>
        </w:rPr>
        <w:t xml:space="preserve">NN/g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实测老年组记忆保留率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PingFang SC" w:hAnsi="PingFang SC"/>
          <w:b w:val="1"/>
          <w:color w:val="111827"/>
          <w:sz w:val="22"/>
        </w:rPr>
        <w:t>49%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，年轻组</w:t>
      </w:r>
      <w:r>
        <w:rPr>
          <w:rFonts w:ascii="PingFang SC" w:hAnsi="PingFang SC"/>
          <w:color w:val="111827"/>
          <w:sz w:val="22"/>
        </w:rPr>
        <w:t xml:space="preserve"> 63%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。由此确定的量化建议是：界面层级</w:t>
      </w:r>
      <w:r>
        <w:rPr>
          <w:rFonts w:ascii="PingFang SC" w:hAnsi="PingFang SC"/>
          <w:color w:val="111827"/>
          <w:sz w:val="22"/>
        </w:rPr>
        <w:t xml:space="preserve"> ≤ 3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层，每层菜单项</w:t>
      </w:r>
      <w:r>
        <w:rPr>
          <w:rFonts w:ascii="PingFang SC" w:hAnsi="PingFang SC"/>
          <w:color w:val="111827"/>
          <w:sz w:val="22"/>
        </w:rPr>
        <w:t xml:space="preserve"> 4–6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项，首页关键功能尽量无需滚动即见全部，数据输入步骤</w:t>
      </w:r>
      <w:r>
        <w:rPr>
          <w:rFonts w:ascii="PingFang SC" w:hAnsi="PingFang SC"/>
          <w:color w:val="111827"/>
          <w:sz w:val="22"/>
        </w:rPr>
        <w:t xml:space="preserve"> ≤ 3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步，图标风格具象／拟物优于扁平抽象，同一概念全站统一措辞。</w:t>
      </w:r>
    </w:p>
    <w:p w14:paraId="41676003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（二）行为数据</w:t>
      </w:r>
    </w:p>
    <w:p w14:paraId="559C42C7">
      <w:pPr>
        <w:spacing w:after="110"/>
        <w:jc w:val="left"/>
      </w:pPr>
      <w:r>
        <w:rPr>
          <w:rFonts w:ascii="PingFang SC" w:hAnsi="PingFang SC"/>
          <w:color w:val="111827"/>
          <w:sz w:val="22"/>
        </w:rPr>
        <w:t xml:space="preserve">NN/g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两轮跨年代研究（针对</w:t>
      </w:r>
      <w:r>
        <w:rPr>
          <w:rFonts w:ascii="PingFang SC" w:hAnsi="PingFang SC"/>
          <w:color w:val="111827"/>
          <w:sz w:val="22"/>
        </w:rPr>
        <w:t xml:space="preserve"> 65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岁以上用户）给出的行为数据，对本项目尤其重要：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CB3D4F9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指标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5838A53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老年人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7EA39EE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21–55  岁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A11D1AB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设计含义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A252617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视觉能力评分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310D084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82%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407870C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95%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1AE1F99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—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47F4FFE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灵活性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D06862B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b w:val="1"/>
                <w:color w:val="111827"/>
                <w:sz w:val="18"/>
              </w:rPr>
              <w:t>73%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62C5C61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95%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1915632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目标要大、间距要足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610CD4C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记忆保留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F0385FC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b w:val="1"/>
                <w:color w:val="111827"/>
                <w:sz w:val="18"/>
              </w:rPr>
              <w:t>49%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013FA4C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63%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64AA228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减少跨屏依赖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1FA306B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尝试新路径的比例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F55E31D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低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67C3B83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约为老年的  2  倍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DA77235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不依赖用户「自己探索」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EB87DDE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失败后放弃的概率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7828649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约  2  倍于年轻人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A3AFCC6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—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A33D454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错误必须可恢复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5B47F2E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放弃时间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E5D369A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 xml:space="preserve">比年轻人 </w:t>
            </w: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早 30 秒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101FF31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—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766E802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请求超时不宜过长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557DDF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出错时自责比例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CBF15AD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b w:val="1"/>
                <w:color w:val="111827"/>
                <w:sz w:val="18"/>
              </w:rPr>
              <w:t>90%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B90C264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58%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C49E450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错误文案不能带指责语气</w:t>
            </w:r>
          </w:p>
        </w:tc>
      </w:tr>
    </w:tbl>
    <w:p w14:paraId="3DE7030E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另有：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45% 的老年人表现出「不愿尝试新事物」的行为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；中老年用户完成同一任务的效率比年轻用户低 </w:t>
      </w:r>
      <w:r>
        <w:rPr>
          <w:rFonts w:ascii="PingFang SC" w:hAnsi="PingFang SC"/>
          <w:b w:val="1"/>
          <w:color w:val="111827"/>
          <w:sz w:val="22"/>
        </w:rPr>
        <w:t>74%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。由此确定的设计约束是：所有关键功能必须在首屏可见，不依赖用户滚动或探索；每个错误都要给出「下一步怎么办」，而不是只报错；面向老人的确认弹窗不设自动关闭倒计时；操作必须可撤销。</w:t>
      </w:r>
    </w:p>
    <w:p w14:paraId="6330D4A7">
      <w:pPr>
        <w:pStyle w:val="00000a"/>
        <w:spacing w:before="600" w:after="150" w:line="312" w:lineRule="auto"/>
        <w:jc w:val="left"/>
      </w:pPr>
      <w:bookmarkStart w:id="13" w:name="section-7"/>
      <w:bookmarkEnd w:id="13"/>
      <w:bookmarkStart w:id="14" w:name="_Toc_section_7"/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七、规范映射：条款 → 我们的实现值</w:t>
      </w:r>
      <w:bookmarkEnd w:id="14"/>
    </w:p>
    <w:p w14:paraId="3DCDDF88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上述五组依据最终收敛为下表。我们逐条核对了强制性规范与本项目实现值的对应关系，超出要求的部分也一并列出。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A9C2E83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规范条款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3F0F089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要求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E77B176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老友实现值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757C128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判定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8BC2D7C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工信部 主要文字字号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AFDC0F8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≥ 18dp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8EC298C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导航  24px 、按钮  18px 、表单标签  18px 、输入框  18px 、卡片标题  29px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1EF686E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达标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A8EAEA4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工信部 正文对比度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A7167D2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≥ 4.5:1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F02A74C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 xml:space="preserve">全站文字 </w:t>
            </w:r>
            <w:r>
              <w:rPr>
                <w:rFonts w:ascii="PingFang SC" w:hAnsi="PingFang SC" w:eastAsia="PingFang SC"/>
                <w:b w:val="1"/>
                <w:color w:val="111827"/>
                <w:sz w:val="18"/>
              </w:rPr>
              <w:t>≥ 7:1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7E2F6CA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超出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A4B8067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工信部 颜色用途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8A2FDEA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不得仅靠颜色区分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CC982BD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状态均补图标／形状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7EC1083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达标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A176216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工信部 组件尺寸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E3884D1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适老版主要组件  ≥ 60×60dp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73A4D3C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导航项  70px ；其余控件  48px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B8274EC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部分达标，见第十</w:t>
            </w:r>
            <w:r>
              <w:rPr>
                <w:rFonts w:hint="eastAsia" w:ascii="PingFang SC" w:hAnsi="PingFang SC" w:eastAsia="PingFang SC"/>
                <w:color w:val="111827"/>
                <w:sz w:val="18"/>
              </w:rPr>
              <w:t>节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E657E17">
            <w:pPr>
              <w:spacing w:before="45" w:after="45" w:line="240" w:lineRule="auto"/>
              <w:jc w:val="left"/>
              <w:rPr>
                <w:rFonts w:ascii="PingFang SC" w:hAnsi="PingFang SC" w:eastAsia="PingFang SC"/>
                <w:color w:val="111827"/>
                <w:sz w:val="18"/>
              </w:rPr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工信部 字号可调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16E4799">
            <w:pPr>
              <w:spacing w:before="45" w:after="45" w:line="240" w:lineRule="auto"/>
              <w:jc w:val="left"/>
              <w:rPr>
                <w:rFonts w:ascii="PingFang SC" w:hAnsi="PingFang SC" w:eastAsia="PingFang SC"/>
                <w:color w:val="111827"/>
                <w:sz w:val="18"/>
              </w:rPr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应可对字型大小进行调整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F81B04A">
            <w:pPr>
              <w:spacing w:before="45" w:after="45" w:line="240" w:lineRule="auto"/>
              <w:jc w:val="left"/>
              <w:rPr>
                <w:rFonts w:ascii="PingFang SC" w:hAnsi="PingFang SC" w:eastAsia="PingFang SC"/>
                <w:color w:val="111827"/>
                <w:sz w:val="18"/>
              </w:rPr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四档字号档位（小／标准／大／特大），全站字号以 rem 计量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6ADE240">
            <w:pPr>
              <w:spacing w:before="45" w:after="45" w:line="240" w:lineRule="auto"/>
              <w:jc w:val="left"/>
              <w:rPr>
                <w:rFonts w:ascii="PingFang SC" w:hAnsi="PingFang SC" w:eastAsia="PingFang SC"/>
                <w:color w:val="111827"/>
                <w:sz w:val="18"/>
              </w:rPr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达标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5ABC426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WCAG 2.2 SC 1.4.6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911AAFD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对比度  ≥ 7:1 （ AAA 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0C8F1B7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全站文字  ≥ 7:1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BAC05F9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达标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D141F4B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WCAG 2.2 SC 1.4.11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A740FD4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非文本对比  ≥ 3:1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A652937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分隔线  3.06:1 、控件边框  4.03:1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DB99505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达标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1064B3A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WCAG 2.2 SC 1.4.1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4EF7BD7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颜色不得为唯一手段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35EF3B4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见第八节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ABE437A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达标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E5B2538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WCAG 2.2 SC 2.5.5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3BD3CF8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目标  ≥ 44×44 （ AAA 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6DD5FB5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 xml:space="preserve">全部 </w:t>
            </w:r>
            <w:r>
              <w:rPr>
                <w:rFonts w:ascii="PingFang SC" w:hAnsi="PingFang SC" w:eastAsia="PingFang SC"/>
                <w:b w:val="1"/>
                <w:color w:val="111827"/>
                <w:sz w:val="18"/>
              </w:rPr>
              <w:t>≥ 48×48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FB8BFF7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超出</w:t>
            </w:r>
          </w:p>
        </w:tc>
      </w:tr>
    </w:tbl>
    <w:p w14:paraId="601E5ED1">
      <w:pPr>
        <w:pStyle w:val="00000a"/>
        <w:spacing w:before="600" w:after="150" w:line="312" w:lineRule="auto"/>
        <w:jc w:val="left"/>
      </w:pPr>
      <w:bookmarkStart w:id="15" w:name="section-8"/>
      <w:bookmarkEnd w:id="15"/>
      <w:bookmarkStart w:id="16" w:name="_Toc_section_8"/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八、改造前后：实测数据与界面对照</w:t>
      </w:r>
      <w:bookmarkEnd w:id="16"/>
    </w:p>
    <w:p w14:paraId="5AC8A204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本节把改造前后的差异逐项列出了实测值，并附上界面截图。所有对比度数值均由脚本计算，不依赖人工目测。</w:t>
      </w:r>
    </w:p>
    <w:p w14:paraId="0401DB0B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（一）字号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AE9DAB9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5D964E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改造前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D3EEC99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改造后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10636D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小于  16px  的  font-size  声明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51EF17A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74 处</w:t>
            </w:r>
            <w:r>
              <w:rPr>
                <w:rFonts w:hint="eastAsia" w:ascii="PingFang SC" w:hAnsi="PingFang SC" w:eastAsia="PingFang SC"/>
                <w:color w:val="111827"/>
                <w:sz w:val="18"/>
              </w:rPr>
              <w:t xml:space="preserve"> （ 11px×2 、 12px×5 、 13px×17 、 14px×24 、 15px×26 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CF47822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0 处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C0E5051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字号声明总数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A48EBC4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153  处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B718848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156  处</w:t>
            </w:r>
          </w:p>
        </w:tc>
      </w:tr>
    </w:tbl>
    <w:p w14:paraId="1E02F2EE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（二）文字对比度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7E34020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令牌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CCBB26A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原值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9023D11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原对比度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EE34116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新值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B2AAE01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新对比度</w:t>
            </w:r>
          </w:p>
        </w:tc>
      </w:tr>
      <w:tr>
        <w:trPr/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7D9A689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品牌主色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7942E79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#1B62B8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4570FE5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6.02:1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44FB671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#165198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210F6FD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b w:val="1"/>
                <w:color w:val="111827"/>
                <w:sz w:val="18"/>
              </w:rPr>
              <w:t>7.88:1</w:t>
            </w:r>
          </w:p>
        </w:tc>
      </w:tr>
      <w:tr>
        <w:trPr/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E918E48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次要文字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EAD45FA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#5C6875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F6C2266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5.69:1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F03DAF0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#495460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D48DB7C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b w:val="1"/>
                <w:color w:val="111827"/>
                <w:sz w:val="18"/>
              </w:rPr>
              <w:t>7.72:1</w:t>
            </w:r>
          </w:p>
        </w:tc>
      </w:tr>
      <w:tr>
        <w:trPr/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6026B9B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警示橙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611B217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#b25407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F67913C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5.04:1 （橙底  4.55:1 ）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F9C2946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#884005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16A8F6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7.55:1（橙底 7.17:1）</w:t>
            </w:r>
          </w:p>
        </w:tc>
      </w:tr>
      <w:tr>
        <w:trPr/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A107FA8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异常红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A235616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#b63d28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994D602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5.70:1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981EE90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#922E1E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BB43477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7.98:1（红底 7.19:1）</w:t>
            </w:r>
          </w:p>
        </w:tc>
      </w:tr>
    </w:tbl>
    <w:p w14:paraId="2FDF0FDB">
      <w:pPr>
        <w:pBdr>
          <w:left w:val="single" w:color="2563EB" w:sz="18" w:space="0"/>
        </w:pBdr>
        <w:shd w:val="clear" w:color="auto" w:fill="F3F6FA"/>
        <w:spacing w:after="220"/>
        <w:jc w:val="left"/>
      </w:pPr>
      <w:r>
        <w:rPr>
          <w:rFonts w:ascii="PingFang SC" w:hAnsi="PingFang SC"/>
          <w:color w:val="111827"/>
          <w:sz w:val="22"/>
        </w:rPr>
        <w:t>  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方法上的修正：语义色必须解到它真实的承载底色上。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橙色文字实际坐在橙色浅底上，只按白底解算会让橙底上的文字停在</w:t>
      </w:r>
      <w:r>
        <w:rPr>
          <w:rFonts w:ascii="PingFang SC" w:hAnsi="PingFang SC"/>
          <w:color w:val="111827"/>
          <w:sz w:val="22"/>
        </w:rPr>
        <w:t xml:space="preserve"> 4.5:1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。我们改为分别按各自的浅底解算，才同时满足两个场景。</w:t>
      </w:r>
    </w:p>
    <w:p w14:paraId="14753059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（三）非文本对比度（改造前为硬性不达标）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B5A865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元素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382F59D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原值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D4B11B2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原对比度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46B8174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新值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F306485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新对比度</w:t>
            </w:r>
          </w:p>
        </w:tc>
      </w:tr>
      <w:tr>
        <w:trPr/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AC8CA8B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分隔线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AF9833C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#D9E0EA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826A320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b w:val="1"/>
                <w:color w:val="111827"/>
                <w:sz w:val="18"/>
              </w:rPr>
              <w:t>1.33:1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83F7CB6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#7D95B8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67E30BA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b w:val="1"/>
                <w:color w:val="111827"/>
                <w:sz w:val="18"/>
              </w:rPr>
              <w:t>3.06:1</w:t>
            </w:r>
          </w:p>
        </w:tc>
      </w:tr>
      <w:tr>
        <w:trPr/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306114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控件边框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3F1B933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#C0CAD8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1B97D27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b w:val="1"/>
                <w:color w:val="111827"/>
                <w:sz w:val="18"/>
              </w:rPr>
              <w:t>1.66:1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1B444B3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#6980A2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07BE7BF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b w:val="1"/>
                <w:color w:val="111827"/>
                <w:sz w:val="18"/>
              </w:rPr>
              <w:t>4.03:1</w:t>
            </w:r>
          </w:p>
        </w:tc>
      </w:tr>
      <w:tr>
        <w:trPr/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CFB3F0C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开关轨道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CF950B7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#C9D2DE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AB054A3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b w:val="1"/>
                <w:color w:val="111827"/>
                <w:sz w:val="18"/>
              </w:rPr>
              <w:t>1.53:1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AA6AC3F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#6980A2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977C03B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b w:val="1"/>
                <w:color w:val="111827"/>
                <w:sz w:val="18"/>
              </w:rPr>
              <w:t>4.03:1</w:t>
            </w:r>
          </w:p>
        </w:tc>
      </w:tr>
    </w:tbl>
    <w:p w14:paraId="00BB9494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开关轨道尤其典型：改造前</w:t>
      </w:r>
      <w:r>
        <w:rPr>
          <w:rFonts w:ascii="PingFang SC" w:hAnsi="PingFang SC"/>
          <w:color w:val="111827"/>
          <w:sz w:val="22"/>
        </w:rPr>
        <w:t xml:space="preserve"> 1.53:1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意味着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用户可能找不到开关在哪里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39AAF27A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（四）冗余编码与设计债清理</w:t>
      </w:r>
    </w:p>
    <w:p w14:paraId="59BE0565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不依赖颜色传达状态的两处改动如下。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0DEF6D7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位置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9B07CD5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改造前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28E064B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改造后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7ECC7CD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健康页第三张图标卡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EF3C81E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信息蓝，与品牌蓝视觉接近；老年蓝 - 绿辨别力下降时更难区分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5FDB363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 xml:space="preserve">改中性灰，三卡形成 </w:t>
            </w: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蓝／橙／灰</w:t>
            </w:r>
            <w:r>
              <w:rPr>
                <w:rFonts w:hint="eastAsia" w:ascii="PingFang SC" w:hAnsi="PingFang SC" w:eastAsia="PingFang SC"/>
                <w:color w:val="111827"/>
                <w:sz w:val="18"/>
              </w:rPr>
              <w:t xml:space="preserve"> 的明确差异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7BCF3F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异常观测点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94760C7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仅颜色不同（橙  vs  蓝）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B2D95E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 xml:space="preserve">改为 </w:t>
            </w: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菱形</w:t>
            </w:r>
            <w:r>
              <w:rPr>
                <w:rFonts w:hint="eastAsia" w:ascii="PingFang SC" w:hAnsi="PingFang SC" w:eastAsia="PingFang SC"/>
                <w:color w:val="111827"/>
                <w:sz w:val="18"/>
              </w:rPr>
              <w:t xml:space="preserve"> ，形状本身即可区分</w:t>
            </w:r>
          </w:p>
        </w:tc>
      </w:tr>
    </w:tbl>
    <w:p w14:paraId="7AC938E4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此外，在逐条核算对比度时，我们发现</w:t>
      </w:r>
      <w:r>
        <w:rPr>
          <w:rFonts w:ascii="PingFang SC" w:hAnsi="PingFang SC"/>
          <w:color w:val="111827"/>
          <w:sz w:val="22"/>
        </w:rPr>
        <w:t xml:space="preserve"> 8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处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承载文字或状态语义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的颜色绕过了设计令牌体系直接硬编码，其中</w:t>
      </w:r>
      <w:r>
        <w:rPr>
          <w:rFonts w:ascii="PingFang SC" w:hAnsi="PingFang SC"/>
          <w:color w:val="111827"/>
          <w:sz w:val="22"/>
        </w:rPr>
        <w:t xml:space="preserve"> 7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处对比度不达标（见下表），已全部收回为语义变量：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32DDA26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位置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C307C68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原值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54CD232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问题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54B2BBC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错误提示文字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57B630A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#8d2e1f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D903962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红底上仅  6.4:1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DA681D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危险按钮描边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D4F4E4B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#C25A44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614A775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白底上仅  3.9:1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AACAFD8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天气图标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A82176D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#D97706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27B5907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白底上仅  3.1:1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FEB599A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助手面板错误文字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F94A168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#ffd2c7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6F46037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品牌蓝上仅  6.3:1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97CA348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挂断按钮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907EBBF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#bc3d2a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494A2F8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白字仅  5.5:1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2491569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通话控制激活态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B93D68B">
            <w:pPr>
              <w:spacing w:before="45" w:after="45" w:line="240" w:lineRule="auto"/>
              <w:jc w:val="left"/>
            </w:pPr>
            <w:r>
              <w:rPr>
                <w:rFonts w:ascii="PingFang SC" w:hAnsi="PingFang SC" w:eastAsia="PingFang SC"/>
                <w:color w:val="111827"/>
                <w:sz w:val="18"/>
              </w:rPr>
              <w:t>rgba(226,105,29,.85)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4C91824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白图标仅  3.0:1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09C675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「模拟数据」标签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766D04D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次要色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0AFD677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灰底上仅  6.8:1</w:t>
            </w:r>
          </w:p>
        </w:tc>
      </w:tr>
    </w:tbl>
    <w:p w14:paraId="5E378BD5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本轮进一步把这批背景色也收进了令牌体系：通话页恒暗舞台、摄像头预览底与中性图标底现已分别由舞台令牌与中性面令牌驱动，全站不再存在绕过令牌的颜色字面量。这一层之所以能被收干净，依靠的是把校验范围从主样式表扩大到所有组件的内联样式——其中广播播放条的底色写在了组件自己的样式块里，浅色模式下与页面同色、看不出问题，只有在深色模式下才暴露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196BC1BA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这一步的意义不只是修颜色</w:t>
      </w:r>
      <w:r>
        <w:rPr>
          <w:rFonts w:ascii="PingFang SC" w:hAnsi="PingFang SC"/>
          <w:color w:val="111827"/>
          <w:sz w:val="22"/>
        </w:rPr>
        <w:t>——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它说明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指标必须能自动复算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，否则这类绕过会持续发生。</w:t>
      </w:r>
    </w:p>
    <w:p w14:paraId="273CBC99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（五）界面截图对照</w:t>
      </w:r>
    </w:p>
    <w:p w14:paraId="63EB481A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改造前的老人端首页：次要文字停留在</w:t>
      </w:r>
      <w:r>
        <w:rPr>
          <w:rFonts w:ascii="PingFang SC" w:hAnsi="PingFang SC"/>
          <w:color w:val="111827"/>
          <w:sz w:val="22"/>
        </w:rPr>
        <w:t xml:space="preserve"> 13–15px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，卡片边框对比度仅</w:t>
      </w:r>
      <w:r>
        <w:rPr>
          <w:rFonts w:ascii="PingFang SC" w:hAnsi="PingFang SC"/>
          <w:color w:val="111827"/>
          <w:sz w:val="22"/>
        </w:rPr>
        <w:t xml:space="preserve"> 1.33:1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，界面层次依赖低对比的灰线维系。</w:t>
      </w:r>
      <w:r>
        <w:drawing>
          <wp:inline>
            <wp:extent cx="5276850" cy="3295650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956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图</w:t>
      </w:r>
      <w:r>
        <w:t xml:space="preserve"> 1</w:t>
      </w:r>
      <w:r>
        <w:rPr>
          <w:rFonts w:hint="eastAsia" w:ascii="微软雅黑" w:hAnsi="微软雅黑" w:eastAsia="微软雅黑" w:cs="微软雅黑"/>
          <w:lang w:eastAsia="zh-CN"/>
        </w:rPr>
        <w:t>　改造前</w:t>
      </w:r>
      <w:r>
        <w:t xml:space="preserve"> · </w:t>
      </w:r>
      <w:r>
        <w:rPr>
          <w:rFonts w:hint="eastAsia" w:ascii="微软雅黑" w:hAnsi="微软雅黑" w:eastAsia="微软雅黑" w:cs="微软雅黑"/>
          <w:lang w:eastAsia="zh-CN"/>
        </w:rPr>
        <w:t>老人端首页</w:t>
      </w:r>
    </w:p>
    <w:p w14:paraId="01CD6006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改造后的同一页面：全部文字不低于</w:t>
      </w:r>
      <w:r>
        <w:rPr>
          <w:rFonts w:ascii="PingFang SC" w:hAnsi="PingFang SC"/>
          <w:color w:val="111827"/>
          <w:sz w:val="22"/>
        </w:rPr>
        <w:t xml:space="preserve"> 16px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，卡片边框提升到</w:t>
      </w:r>
      <w:r>
        <w:rPr>
          <w:rFonts w:ascii="PingFang SC" w:hAnsi="PingFang SC"/>
          <w:color w:val="111827"/>
          <w:sz w:val="22"/>
        </w:rPr>
        <w:t xml:space="preserve"> 3.06:1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，信息分组与状态文字的可辨识度明显提高。</w:t>
      </w:r>
      <w:r>
        <w:drawing>
          <wp:inline>
            <wp:extent cx="5276850" cy="3295650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956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图</w:t>
      </w:r>
      <w:r>
        <w:t xml:space="preserve"> 2</w:t>
      </w:r>
      <w:r>
        <w:rPr>
          <w:rFonts w:hint="eastAsia" w:ascii="微软雅黑" w:hAnsi="微软雅黑" w:eastAsia="微软雅黑" w:cs="微软雅黑"/>
          <w:lang w:eastAsia="zh-CN"/>
        </w:rPr>
        <w:t>　改造后</w:t>
      </w:r>
      <w:r>
        <w:t xml:space="preserve"> · </w:t>
      </w:r>
      <w:r>
        <w:rPr>
          <w:rFonts w:hint="eastAsia" w:ascii="微软雅黑" w:hAnsi="微软雅黑" w:eastAsia="微软雅黑" w:cs="微软雅黑"/>
          <w:lang w:eastAsia="zh-CN"/>
        </w:rPr>
        <w:t>老人端首页</w:t>
      </w:r>
    </w:p>
    <w:p w14:paraId="46F0190E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健康记录页最能说明「冗余编码」的作用。改造前三张卡中的两张同为蓝色系，在老年用户蓝</w:t>
      </w:r>
      <w:r>
        <w:rPr>
          <w:rFonts w:ascii="PingFang SC" w:hAnsi="PingFang SC"/>
          <w:color w:val="111827"/>
          <w:sz w:val="22"/>
        </w:rPr>
        <w:t>-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绿辨别力下降时难以区分。</w:t>
      </w:r>
      <w:r>
        <w:drawing>
          <wp:inline>
            <wp:extent cx="5276850" cy="3295650"/>
            <wp:docPr id="8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956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图</w:t>
      </w:r>
      <w:r>
        <w:t xml:space="preserve"> 3</w:t>
      </w:r>
      <w:r>
        <w:rPr>
          <w:rFonts w:hint="eastAsia" w:ascii="微软雅黑" w:hAnsi="微软雅黑" w:eastAsia="微软雅黑" w:cs="微软雅黑"/>
          <w:lang w:eastAsia="zh-CN"/>
        </w:rPr>
        <w:t>　改造前</w:t>
      </w:r>
      <w:r>
        <w:t xml:space="preserve"> · </w:t>
      </w:r>
      <w:r>
        <w:rPr>
          <w:rFonts w:hint="eastAsia" w:ascii="微软雅黑" w:hAnsi="微软雅黑" w:eastAsia="微软雅黑" w:cs="微软雅黑"/>
          <w:lang w:eastAsia="zh-CN"/>
        </w:rPr>
        <w:t>健康记录页（第三张卡与第一张卡同为蓝色系）</w:t>
      </w:r>
    </w:p>
    <w:p w14:paraId="5F493D92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改造后第三张卡改为中性灰，三张卡形成蓝／橙／灰的明确差异，无需依赖细微色相差别即可区分。</w:t>
      </w:r>
      <w:r>
        <w:drawing>
          <wp:inline>
            <wp:extent cx="5276850" cy="3295650"/>
            <wp:docPr id="11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956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图</w:t>
      </w:r>
      <w:r>
        <w:t xml:space="preserve"> 4</w:t>
      </w:r>
      <w:r>
        <w:rPr>
          <w:rFonts w:hint="eastAsia" w:ascii="微软雅黑" w:hAnsi="微软雅黑" w:eastAsia="微软雅黑" w:cs="微软雅黑"/>
          <w:lang w:eastAsia="zh-CN"/>
        </w:rPr>
        <w:t>　改造后</w:t>
      </w:r>
      <w:r>
        <w:t xml:space="preserve"> · </w:t>
      </w:r>
      <w:r>
        <w:rPr>
          <w:rFonts w:hint="eastAsia" w:ascii="微软雅黑" w:hAnsi="微软雅黑" w:eastAsia="微软雅黑" w:cs="微软雅黑"/>
          <w:lang w:eastAsia="zh-CN"/>
        </w:rPr>
        <w:t>健康记录页（三卡形成蓝／橙／灰可辨差异）</w:t>
      </w:r>
    </w:p>
    <w:p w14:paraId="3F7CB0CC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用药提醒页与家属端工作台的改造结果如下。</w:t>
      </w:r>
      <w:r>
        <w:drawing>
          <wp:inline>
            <wp:extent cx="5276850" cy="3295650"/>
            <wp:docPr id="14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956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图</w:t>
      </w:r>
      <w:r>
        <w:t xml:space="preserve"> 5</w:t>
      </w:r>
      <w:r>
        <w:rPr>
          <w:rFonts w:hint="eastAsia" w:ascii="微软雅黑" w:hAnsi="微软雅黑" w:eastAsia="微软雅黑" w:cs="微软雅黑"/>
          <w:lang w:eastAsia="zh-CN"/>
        </w:rPr>
        <w:t>　改造后</w:t>
      </w:r>
      <w:r>
        <w:t xml:space="preserve"> · </w:t>
      </w:r>
      <w:r>
        <w:rPr>
          <w:rFonts w:hint="eastAsia" w:ascii="微软雅黑" w:hAnsi="微软雅黑" w:eastAsia="微软雅黑" w:cs="微软雅黑"/>
          <w:lang w:eastAsia="zh-CN"/>
        </w:rPr>
        <w:t>用药提醒页</w:t>
      </w:r>
      <w:r>
        <w:rPr>
          <w:rFonts w:hint="eastAsia" w:ascii="微软雅黑" w:hAnsi="微软雅黑" w:eastAsia="微软雅黑" w:cs="微软雅黑"/>
          <w:lang w:eastAsia="zh-CN"/>
        </w:rPr>
        <w:drawing>
          <wp:inline>
            <wp:extent cx="5276850" cy="3295650"/>
            <wp:docPr id="17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956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图</w:t>
      </w:r>
      <w:r>
        <w:t xml:space="preserve"> 6</w:t>
      </w:r>
      <w:r>
        <w:rPr>
          <w:rFonts w:hint="eastAsia" w:ascii="微软雅黑" w:hAnsi="微软雅黑" w:eastAsia="微软雅黑" w:cs="微软雅黑"/>
          <w:lang w:eastAsia="zh-CN"/>
        </w:rPr>
        <w:t>　改造后</w:t>
      </w:r>
      <w:r>
        <w:t xml:space="preserve"> · </w:t>
      </w:r>
      <w:r>
        <w:rPr>
          <w:rFonts w:hint="eastAsia" w:ascii="微软雅黑" w:hAnsi="微软雅黑" w:eastAsia="微软雅黑" w:cs="微软雅黑"/>
          <w:lang w:eastAsia="zh-CN"/>
        </w:rPr>
        <w:t>家属端工作台</w:t>
      </w:r>
    </w:p>
    <w:p w14:paraId="2797F9B8">
      <w:pPr>
        <w:pStyle w:val="00000a"/>
        <w:spacing w:before="600" w:beforeAutospacing="1" w:after="150" w:afterAutospacing="1" w:line="312" w:lineRule="auto"/>
        <w:jc w:val="left"/>
        <w:rPr>
          <w:sz w:val="32"/>
          <w:szCs w:val="32"/>
        </w:rPr>
      </w:pPr>
      <w:bookmarkStart w:id="17" w:name="section-9"/>
      <w:bookmarkEnd w:id="17"/>
      <w:bookmarkStart w:id="18" w:name="_Toc_section_9"/>
      <w:r>
        <w:rPr>
          <w:rFonts w:hint="eastAsia" w:ascii="微软雅黑" w:hAnsi="微软雅黑" w:eastAsia="微软雅黑" w:cs="微软雅黑"/>
          <w:b w:val="1"/>
          <w:color w:val="111827"/>
          <w:sz w:val="30"/>
        </w:rPr>
        <w:t>九、多主题与用户自选外观</w:t>
      </w:r>
    </w:p>
    <w:p w14:paraId="2286B49E">
      <w:r>
        <w:rPr>
          <w:rFonts w:hint="eastAsia"/>
        </w:rPr>
        <w:t>上一节交付的是一套经过校验的配色。本节交付的是十二套——六套预设主题乘以明暗两种模式——外加让用户自己指定一个主色。核心问题因此变成：怎么保证「可自选」不等于「可自选到不达标的颜色」。</w:t>
      </w:r>
    </w:p>
    <w:p w14:paraId="4CE91BF5">
      <w:pPr>
        <w:pStyle w:val="00000c"/>
        <w:spacing w:before="260" w:beforeAutospacing="1" w:after="130" w:afterAutospacing="1" w:line="312" w:lineRule="auto"/>
        <w:jc w:val="left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（一）四组可调维度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585FB8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维度</w:t>
            </w:r>
          </w:p>
        </w:tc>
        <w:tc>
          <w:tcPr>
            <w:tcW w:w="2768" w:type="dxa"/>
            <w:vAlign w:val="center"/>
          </w:tcPr>
          <w:p w14:paraId="42A2438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档位</w:t>
            </w:r>
          </w:p>
        </w:tc>
        <w:tc>
          <w:tcPr>
            <w:tcW w:w="2768" w:type="dxa"/>
            <w:vAlign w:val="center"/>
          </w:tcPr>
          <w:p w14:paraId="17FAE8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作用对象</w:t>
            </w:r>
          </w:p>
        </w:tc>
      </w:tr>
      <w:tr>
        <w:trPr/>
        <w:tc>
          <w:tcPr>
            <w:tcW w:w="2768" w:type="dxa"/>
            <w:vAlign w:val="center"/>
          </w:tcPr>
          <w:p w14:paraId="4A7B193F">
            <w:r>
              <w:rPr>
                <w:rFonts w:hint="eastAsia"/>
              </w:rPr>
              <w:t>配色主题</w:t>
            </w:r>
          </w:p>
        </w:tc>
        <w:tc>
          <w:tcPr>
            <w:tcW w:w="2768" w:type="dxa"/>
            <w:vAlign w:val="center"/>
          </w:tcPr>
          <w:p w14:paraId="57DE4EC1">
            <w:r>
              <w:rPr>
                <w:rFonts w:hint="eastAsia"/>
              </w:rPr>
              <w:t>科技蓝／黛青／松墨绿／绛紫／靛蓝／石墨，外加自定义主色</w:t>
            </w:r>
          </w:p>
        </w:tc>
        <w:tc>
          <w:tcPr>
            <w:tcW w:w="2768" w:type="dxa"/>
            <w:vAlign w:val="center"/>
          </w:tcPr>
          <w:p w14:paraId="241CEF7E">
            <w:r>
              <w:rPr>
                <w:rFonts w:hint="eastAsia"/>
              </w:rPr>
              <w:t>全套色彩令牌</w:t>
            </w:r>
          </w:p>
        </w:tc>
      </w:tr>
      <w:tr>
        <w:trPr/>
        <w:tc>
          <w:tcPr>
            <w:tcW w:w="2768" w:type="dxa"/>
            <w:vAlign w:val="center"/>
          </w:tcPr>
          <w:p w14:paraId="1897A7E8">
            <w:r>
              <w:rPr>
                <w:rFonts w:hint="eastAsia"/>
              </w:rPr>
              <w:t>明暗模式</w:t>
            </w:r>
          </w:p>
        </w:tc>
        <w:tc>
          <w:tcPr>
            <w:tcW w:w="2768" w:type="dxa"/>
            <w:vAlign w:val="center"/>
          </w:tcPr>
          <w:p w14:paraId="66271695">
            <w:r>
              <w:rPr>
                <w:rFonts w:hint="eastAsia"/>
              </w:rPr>
              <w:t>浅色／深色／跟随系统</w:t>
            </w:r>
          </w:p>
        </w:tc>
        <w:tc>
          <w:tcPr>
            <w:tcW w:w="2768" w:type="dxa"/>
            <w:vAlign w:val="center"/>
          </w:tcPr>
          <w:p w14:paraId="0ED91680">
            <w:r>
              <w:rPr>
                <w:rFonts w:hint="eastAsia"/>
              </w:rPr>
              <w:t>全套色彩令牌（另解一套）</w:t>
            </w:r>
          </w:p>
        </w:tc>
      </w:tr>
      <w:tr>
        <w:trPr/>
        <w:tc>
          <w:tcPr>
            <w:tcW w:w="2768" w:type="dxa"/>
            <w:vAlign w:val="center"/>
          </w:tcPr>
          <w:p w14:paraId="7D59310B">
            <w:r>
              <w:rPr>
                <w:rFonts w:hint="eastAsia"/>
              </w:rPr>
              <w:t>字号档位</w:t>
            </w:r>
          </w:p>
        </w:tc>
        <w:tc>
          <w:tcPr>
            <w:tcW w:w="2768" w:type="dxa"/>
            <w:vAlign w:val="center"/>
          </w:tcPr>
          <w:p w14:paraId="49227349">
            <w:r>
              <w:rPr>
                <w:rFonts w:hint="eastAsia"/>
              </w:rPr>
              <w:t>小 0.9／标准 1.0／大 1.12／特大 1.25</w:t>
            </w:r>
          </w:p>
        </w:tc>
        <w:tc>
          <w:tcPr>
            <w:tcW w:w="2768" w:type="dxa"/>
            <w:vAlign w:val="center"/>
          </w:tcPr>
          <w:p w14:paraId="2ADF12DB">
            <w:r>
              <w:rPr>
                <w:rFonts w:hint="eastAsia"/>
              </w:rPr>
              <w:t>根字号，牵引全站 156 处 rem</w:t>
            </w:r>
          </w:p>
        </w:tc>
      </w:tr>
      <w:tr>
        <w:trPr/>
        <w:tc>
          <w:tcPr>
            <w:tcW w:w="2768" w:type="dxa"/>
            <w:vAlign w:val="center"/>
          </w:tcPr>
          <w:p w14:paraId="754F8A7F">
            <w:r>
              <w:rPr>
                <w:rFonts w:hint="eastAsia"/>
              </w:rPr>
              <w:t>圆角与间距密度</w:t>
            </w:r>
          </w:p>
        </w:tc>
        <w:tc>
          <w:tcPr>
            <w:tcW w:w="2768" w:type="dxa"/>
            <w:vAlign w:val="center"/>
          </w:tcPr>
          <w:p w14:paraId="251067B9">
            <w:r>
              <w:rPr>
                <w:rFonts w:hint="eastAsia"/>
              </w:rPr>
              <w:t>直角 0.3／标准 1.0／圆润 1.6；紧凑 0.85／标准 1.0／宽松 1.15</w:t>
            </w:r>
          </w:p>
        </w:tc>
        <w:tc>
          <w:tcPr>
            <w:tcW w:w="2768" w:type="dxa"/>
            <w:vAlign w:val="center"/>
          </w:tcPr>
          <w:p w14:paraId="11558EDA">
            <w:r>
              <w:rPr>
                <w:rFonts w:hint="eastAsia"/>
              </w:rPr>
              <w:t>圆角令牌；间距令牌</w:t>
            </w:r>
          </w:p>
        </w:tc>
      </w:tr>
    </w:tbl>
    <w:p w14:paraId="7FFC91FA">
      <w:r>
        <w:rPr>
          <w:rFonts w:hint="eastAsia"/>
        </w:rPr>
        <w:t>字号档位直接回应工信部「应可对字型大小进行调整」这一条款。间距密度被刻意限制为只影响间距、不影响字号——否则用户调整密度时会连带改变文字大小，两个变量互相污染。</w:t>
      </w:r>
    </w:p>
    <w:p w14:paraId="72C7D098">
      <w:r>
        <w:rPr>
          <w:rFonts w:hint="eastAsia"/>
        </w:rPr>
        <w:t>预设主题完全不依赖脚本渲染：十二套色板以纯 CSS 选择器的形式写死在样式表里，因此不存在「先画一帧默认蓝再跳色」的首屏闪烁。自定义主色无法预先写进静态样式，改为把它解算出的令牌一并持久化，由页面头部的内联脚本在首帧之前铺上。</w:t>
      </w:r>
    </w:p>
    <w:p w14:paraId="1C26FD79">
      <w:pPr>
        <w:pStyle w:val="00000c"/>
        <w:spacing w:before="260" w:beforeAutospacing="1" w:after="130" w:afterAutospacing="1" w:line="312" w:lineRule="auto"/>
        <w:jc w:val="left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（二）三条关键判断</w:t>
      </w:r>
    </w:p>
    <w:p w14:paraId="3BF4C0A7">
      <w:r>
        <w:rPr>
          <w:rFonts w:hint="eastAsia"/>
        </w:rPr>
        <w:t>第一，品牌色必须拆成三个角色，而不是两个。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32906EE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</w:t>
            </w:r>
          </w:p>
        </w:tc>
        <w:tc>
          <w:tcPr>
            <w:tcW w:w="4153" w:type="dxa"/>
            <w:vAlign w:val="center"/>
          </w:tcPr>
          <w:p w14:paraId="45CBFC6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解算基准</w:t>
            </w:r>
          </w:p>
        </w:tc>
      </w:tr>
      <w:tr>
        <w:trPr/>
        <w:tc>
          <w:tcPr>
            <w:tcW w:w="4153" w:type="dxa"/>
            <w:vAlign w:val="center"/>
          </w:tcPr>
          <w:p w14:paraId="7E34673F">
            <w:r>
              <w:rPr>
                <w:rFonts w:hint="eastAsia"/>
              </w:rPr>
              <w:t>前景</w:t>
            </w:r>
          </w:p>
        </w:tc>
        <w:tc>
          <w:tcPr>
            <w:tcW w:w="4153" w:type="dxa"/>
            <w:vAlign w:val="center"/>
          </w:tcPr>
          <w:p w14:paraId="7BDC6EF1">
            <w:r>
              <w:rPr>
                <w:rFonts w:hint="eastAsia"/>
              </w:rPr>
              <w:t>文字、描边、装饰；深色模式下需提高亮度</w:t>
            </w:r>
          </w:p>
        </w:tc>
      </w:tr>
      <w:tr>
        <w:trPr/>
        <w:tc>
          <w:tcPr>
            <w:tcW w:w="4153" w:type="dxa"/>
            <w:vAlign w:val="center"/>
          </w:tcPr>
          <w:p w14:paraId="6CE618AB">
            <w:r>
              <w:rPr>
                <w:rFonts w:hint="eastAsia"/>
              </w:rPr>
              <w:t>实底</w:t>
            </w:r>
          </w:p>
        </w:tc>
        <w:tc>
          <w:tcPr>
            <w:tcW w:w="4153" w:type="dxa"/>
            <w:vAlign w:val="center"/>
          </w:tcPr>
          <w:p w14:paraId="614EB807">
            <w:r>
              <w:rPr>
                <w:rFonts w:hint="eastAsia"/>
              </w:rPr>
              <w:t>实心填充，底下压不透明白字（按钮、导航选中项）</w:t>
            </w:r>
          </w:p>
        </w:tc>
      </w:tr>
      <w:tr>
        <w:trPr/>
        <w:tc>
          <w:tcPr>
            <w:tcW w:w="4153" w:type="dxa"/>
            <w:vAlign w:val="center"/>
          </w:tcPr>
          <w:p w14:paraId="1A75A285">
            <w:r>
              <w:rPr>
                <w:rFonts w:hint="eastAsia"/>
              </w:rPr>
              <w:t>面板</w:t>
            </w:r>
          </w:p>
        </w:tc>
        <w:tc>
          <w:tcPr>
            <w:tcW w:w="4153" w:type="dxa"/>
            <w:vAlign w:val="center"/>
          </w:tcPr>
          <w:p w14:paraId="54227422">
            <w:r>
              <w:rPr>
                <w:rFonts w:hint="eastAsia"/>
              </w:rPr>
              <w:t>品牌渐变面板端点，底下压半透明白字</w:t>
            </w:r>
          </w:p>
        </w:tc>
      </w:tr>
    </w:tbl>
    <w:p w14:paraId="72AD5C1F">
      <w:r>
        <w:rPr>
          <w:rFonts w:hint="eastAsia"/>
        </w:rPr>
        <w:t>第三个角色是本轮唯一一处「以为已经达标、实测发现违规」的地方。半透明白不等于白：把 0.83 白的次要文字压在原面板色 #165198 上只有 5.96:1，0.9 白的标题只有 6.75:1，都低于 7:1。修正办法是给面板单独解一组更深的端点，科技蓝由 #165198 改为 #0D2C4F 至 #154780：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E3B356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白字透明度</w:t>
            </w:r>
          </w:p>
        </w:tc>
        <w:tc>
          <w:tcPr>
            <w:tcW w:w="2768" w:type="dxa"/>
            <w:vAlign w:val="center"/>
          </w:tcPr>
          <w:p w14:paraId="752B565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原面板色 #165198</w:t>
            </w:r>
          </w:p>
        </w:tc>
        <w:tc>
          <w:tcPr>
            <w:tcW w:w="2768" w:type="dxa"/>
            <w:vAlign w:val="center"/>
          </w:tcPr>
          <w:p w14:paraId="32D5FFB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新面板端点 #154780</w:t>
            </w:r>
          </w:p>
        </w:tc>
      </w:tr>
      <w:tr>
        <w:trPr/>
        <w:tc>
          <w:tcPr>
            <w:tcW w:w="2768" w:type="dxa"/>
            <w:vAlign w:val="center"/>
          </w:tcPr>
          <w:p w14:paraId="3BEF28E7">
            <w:r>
              <w:rPr>
                <w:rFonts w:hint="eastAsia"/>
              </w:rPr>
              <w:t>0.90 白（标题）</w:t>
            </w:r>
          </w:p>
        </w:tc>
        <w:tc>
          <w:tcPr>
            <w:tcW w:w="2768" w:type="dxa"/>
            <w:vAlign w:val="center"/>
          </w:tcPr>
          <w:p w14:paraId="0E6F260A">
            <w:r>
              <w:rPr>
                <w:rFonts w:hint="eastAsia"/>
              </w:rPr>
              <w:t>6.75:1，不达标</w:t>
            </w:r>
          </w:p>
        </w:tc>
        <w:tc>
          <w:tcPr>
            <w:tcW w:w="2768" w:type="dxa"/>
            <w:vAlign w:val="center"/>
          </w:tcPr>
          <w:p w14:paraId="1FAE020E">
            <w:r>
              <w:t>7.94:1</w:t>
            </w:r>
          </w:p>
        </w:tc>
      </w:tr>
      <w:tr>
        <w:trPr/>
        <w:tc>
          <w:tcPr>
            <w:tcW w:w="2768" w:type="dxa"/>
            <w:vAlign w:val="center"/>
          </w:tcPr>
          <w:p w14:paraId="45957AA7">
            <w:r>
              <w:rPr>
                <w:rFonts w:hint="eastAsia"/>
              </w:rPr>
              <w:t>0.83 白（次要文字）</w:t>
            </w:r>
          </w:p>
        </w:tc>
        <w:tc>
          <w:tcPr>
            <w:tcW w:w="2768" w:type="dxa"/>
            <w:vAlign w:val="center"/>
          </w:tcPr>
          <w:p w14:paraId="2F3B5BED">
            <w:r>
              <w:rPr>
                <w:rFonts w:hint="eastAsia"/>
              </w:rPr>
              <w:t>5.96:1，不达标</w:t>
            </w:r>
          </w:p>
        </w:tc>
        <w:tc>
          <w:tcPr>
            <w:tcW w:w="2768" w:type="dxa"/>
            <w:vAlign w:val="center"/>
          </w:tcPr>
          <w:p w14:paraId="39E20349">
            <w:r>
              <w:t>7.01:1</w:t>
            </w:r>
          </w:p>
        </w:tc>
      </w:tr>
      <w:tr>
        <w:trPr/>
        <w:tc>
          <w:tcPr>
            <w:tcW w:w="2768" w:type="dxa"/>
            <w:vAlign w:val="center"/>
          </w:tcPr>
          <w:p w14:paraId="22A96AB7">
            <w:r>
              <w:rPr>
                <w:rFonts w:hint="eastAsia"/>
              </w:rPr>
              <w:t>0.72 白（小字）</w:t>
            </w:r>
          </w:p>
        </w:tc>
        <w:tc>
          <w:tcPr>
            <w:tcW w:w="2768" w:type="dxa"/>
            <w:vAlign w:val="center"/>
          </w:tcPr>
          <w:p w14:paraId="33660DAB">
            <w:r>
              <w:t>4.92:1</w:t>
            </w:r>
          </w:p>
        </w:tc>
        <w:tc>
          <w:tcPr>
            <w:tcW w:w="2768" w:type="dxa"/>
            <w:vAlign w:val="center"/>
          </w:tcPr>
          <w:p w14:paraId="0D14E1AC">
            <w:r>
              <w:t>5.67:1</w:t>
            </w:r>
          </w:p>
        </w:tc>
      </w:tr>
      <w:tr>
        <w:trPr/>
        <w:tc>
          <w:tcPr>
            <w:tcW w:w="2768" w:type="dxa"/>
            <w:vAlign w:val="center"/>
          </w:tcPr>
          <w:p w14:paraId="362E04F9">
            <w:r>
              <w:rPr>
                <w:rFonts w:hint="eastAsia"/>
              </w:rPr>
              <w:t>0.68 白（小字）</w:t>
            </w:r>
          </w:p>
        </w:tc>
        <w:tc>
          <w:tcPr>
            <w:tcW w:w="2768" w:type="dxa"/>
            <w:vAlign w:val="center"/>
          </w:tcPr>
          <w:p w14:paraId="00ECE004">
            <w:r>
              <w:t>4.57:1</w:t>
            </w:r>
          </w:p>
        </w:tc>
        <w:tc>
          <w:tcPr>
            <w:tcW w:w="2768" w:type="dxa"/>
            <w:vAlign w:val="center"/>
          </w:tcPr>
          <w:p w14:paraId="114DC7F0">
            <w:r>
              <w:t>5.26:1</w:t>
            </w:r>
          </w:p>
        </w:tc>
      </w:tr>
    </w:tbl>
    <w:p w14:paraId="18661B89">
      <w:r>
        <w:rPr>
          <w:rFonts w:hint="eastAsia"/>
        </w:rPr>
        <w:t>这里的方法要点是：半透明前景必须先按 alpha 合成到它真实的底色上，再计算对比度。直接拿带透明度的色值套公式会得到错误结论。</w:t>
      </w:r>
    </w:p>
    <w:p w14:paraId="247D135E">
      <w:r>
        <w:rPr>
          <w:rFonts w:hint="eastAsia"/>
        </w:rPr>
        <w:t>第二，嵌在品牌面板上的白色卡片是一块不变量。助手面板里的白色气泡、提案卡与输入框在两种模式下都保持白色，因此它们内部的文字必须始终使用浅色模式那套深色值，不能跟随全局明暗模式。若图省事让它跟随，深色模式下就会出现「浅字压浅底」。这是全案唯一会让改动整页报废的地方，已逐张截图确认。</w:t>
      </w:r>
    </w:p>
    <w:p w14:paraId="059FD71C">
      <w:r>
        <w:rPr>
          <w:rFonts w:hint="eastAsia"/>
        </w:rPr>
        <w:t>第三，状态语义恒定。橙色（待提醒／需留意）与红色（异常／挂断）只随明暗模式变化，不随主题变化；六套预设的色相刻意避开橙红区间。用户自定义主色时，若色相落在橙（30°）或红（8°）附近 24° 以内且饱和度不低于 0.12，设置面板会给出文字提示——实测撞红的色相相差 0°、撞橙的相差 1°，均触发；冷色不触发。这把配色决策一节中「主色不得占用警示语义」的判断，从一条设计约定升级成了机制约束。</w:t>
      </w:r>
    </w:p>
    <w:p w14:paraId="145E9518">
      <w:pPr>
        <w:pStyle w:val="00000c"/>
        <w:spacing w:before="260" w:beforeAutospacing="1" w:after="130" w:afterAutospacing="1" w:line="312" w:lineRule="auto"/>
        <w:jc w:val="left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（三）验收数据</w:t>
      </w:r>
    </w:p>
    <w:p w14:paraId="5291F1E1">
      <w:r>
        <w:rPr>
          <w:rFonts w:hint="eastAsia"/>
        </w:rPr>
        <w:t>三层验证各自解决了一个盲区：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5B45DB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层次</w:t>
            </w:r>
          </w:p>
        </w:tc>
        <w:tc>
          <w:tcPr>
            <w:tcW w:w="2768" w:type="dxa"/>
            <w:vAlign w:val="center"/>
          </w:tcPr>
          <w:p w14:paraId="2D28BC7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方法</w:t>
            </w:r>
          </w:p>
        </w:tc>
        <w:tc>
          <w:tcPr>
            <w:tcW w:w="2768" w:type="dxa"/>
            <w:vAlign w:val="center"/>
          </w:tcPr>
          <w:p w14:paraId="2402DAB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结果</w:t>
            </w:r>
          </w:p>
        </w:tc>
      </w:tr>
      <w:tr>
        <w:trPr/>
        <w:tc>
          <w:tcPr>
            <w:tcW w:w="2768" w:type="dxa"/>
            <w:vAlign w:val="center"/>
          </w:tcPr>
          <w:p w14:paraId="1083BACC">
            <w:r>
              <w:rPr>
                <w:rFonts w:hint="eastAsia"/>
              </w:rPr>
              <w:t>色板数学</w:t>
            </w:r>
          </w:p>
        </w:tc>
        <w:tc>
          <w:tcPr>
            <w:tcW w:w="2768" w:type="dxa"/>
            <w:vAlign w:val="center"/>
          </w:tcPr>
          <w:p w14:paraId="56BD0B2B">
            <w:r>
              <w:rPr>
                <w:rFonts w:hint="eastAsia"/>
              </w:rPr>
              <w:t>按每个令牌真实的承载底色解算对比度</w:t>
            </w:r>
          </w:p>
        </w:tc>
        <w:tc>
          <w:tcPr>
            <w:tcW w:w="2768" w:type="dxa"/>
            <w:vAlign w:val="center"/>
          </w:tcPr>
          <w:p w14:paraId="049F0904">
            <w:r>
              <w:rPr>
                <w:rFonts w:hint="eastAsia"/>
              </w:rPr>
              <w:t>12 色板 × 46 令牌，共 552 项，0 失败</w:t>
            </w:r>
          </w:p>
        </w:tc>
      </w:tr>
      <w:tr>
        <w:trPr/>
        <w:tc>
          <w:tcPr>
            <w:tcW w:w="2768" w:type="dxa"/>
            <w:vAlign w:val="center"/>
          </w:tcPr>
          <w:p w14:paraId="71170873">
            <w:r>
              <w:rPr>
                <w:rFonts w:hint="eastAsia"/>
              </w:rPr>
              <w:t>结构校验</w:t>
            </w:r>
          </w:p>
        </w:tc>
        <w:tc>
          <w:tcPr>
            <w:tcW w:w="2768" w:type="dxa"/>
            <w:vAlign w:val="center"/>
          </w:tcPr>
          <w:p w14:paraId="6358BFF6">
            <w:r>
              <w:rPr>
                <w:rFonts w:hint="eastAsia"/>
              </w:rPr>
              <w:t>检查未定义变量、死令牌、主题块一致性、硬编码残留</w:t>
            </w:r>
          </w:p>
        </w:tc>
        <w:tc>
          <w:tcPr>
            <w:tcW w:w="2768" w:type="dxa"/>
            <w:vAlign w:val="center"/>
          </w:tcPr>
          <w:p w14:paraId="52B9DD21">
            <w:r>
              <w:rPr>
                <w:rFonts w:hint="eastAsia"/>
              </w:rPr>
              <w:t>全站零硬编码色值，字号全 rem，间距与圆角全走令牌</w:t>
            </w:r>
          </w:p>
        </w:tc>
      </w:tr>
      <w:tr>
        <w:trPr/>
        <w:tc>
          <w:tcPr>
            <w:tcW w:w="2768" w:type="dxa"/>
            <w:vAlign w:val="center"/>
          </w:tcPr>
          <w:p w14:paraId="207E5135">
            <w:r>
              <w:rPr>
                <w:rFonts w:hint="eastAsia"/>
              </w:rPr>
              <w:t>浏览器实测</w:t>
            </w:r>
          </w:p>
        </w:tc>
        <w:tc>
          <w:tcPr>
            <w:tcW w:w="2768" w:type="dxa"/>
            <w:vAlign w:val="center"/>
          </w:tcPr>
          <w:p w14:paraId="5E308C35">
            <w:r>
              <w:rPr>
                <w:rFonts w:hint="eastAsia"/>
              </w:rPr>
              <w:t>逐元素合成祖先背景链后实测对比度，渐变取最差色标</w:t>
            </w:r>
          </w:p>
        </w:tc>
        <w:tc>
          <w:tcPr>
            <w:tcW w:w="2768" w:type="dxa"/>
            <w:vAlign w:val="center"/>
          </w:tcPr>
          <w:p w14:paraId="7F9381D6">
            <w:r>
              <w:rPr>
                <w:rFonts w:hint="eastAsia"/>
              </w:rPr>
              <w:t>12 色板 × 2040 个文字实例，0 失败，最紧 7.20:1</w:t>
            </w:r>
          </w:p>
        </w:tc>
      </w:tr>
    </w:tbl>
    <w:p w14:paraId="19B9CBDB">
      <w:r>
        <w:rPr>
          <w:rFonts w:hint="eastAsia"/>
        </w:rPr>
        <w:t>第三层之所以必要，是因为渐变写在 background-image 而非 backgroundColor 上：只读 backgroundColor 的探针会把渐变面板当成透明，从而对「白字压渐变面板」报出 1.05:1 的假阳性，实测捕获 18 例。按 W3C 口径，渐变必须取对比度最差的那个色标来评估。这一层还额外抓到三处真实违规——主题选择器的选中态小字被解在了错误的底面上，实测仅 6.65:1。这类错误只有把元素真的画出来量一遍，才发现得了。</w:t>
      </w:r>
    </w:p>
    <w:p w14:paraId="4D152446">
      <w:pPr>
        <w:pStyle w:val="00000c"/>
        <w:spacing w:before="260" w:beforeAutospacing="1" w:after="130" w:afterAutospacing="1" w:line="312" w:lineRule="auto"/>
        <w:jc w:val="left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（四）界面与设置面板</w:t>
      </w:r>
    </w:p>
    <w:p w14:paraId="0268900A">
      <w:r>
        <w:rPr>
          <w:rFonts w:hint="eastAsia"/>
        </w:rPr>
        <w:t>以下依次为六套预设主题、深色模式、可调档位与自定义主色，以及外观设置面板本身。</w:t>
      </w:r>
    </w:p>
    <w:p w14:paraId="6EEFD813">
      <w:r>
        <w:drawing>
          <wp:inline distT="0" distB="0" distL="0" distR="0">
            <wp:extent cx="5276850" cy="3076575"/>
            <wp:effectExtent l="0" t="0" r="0" b="0"/>
            <wp:docPr id="20" name="picture"/>
            <a:graphic>
              <a:graphicData>
                <pic:pic>
                  <pic:nvPicPr>
                    <pic:cNvPr id="21" name="picture"/>
                    <pic:cNvPicPr/>
                  </pic:nvPicPr>
                  <pic:blipFill rotWithShape="1"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 7　六套预设主题（浅色）</w:t>
      </w:r>
    </w:p>
    <w:p w14:paraId="30DEC766">
      <w:r>
        <w:drawing>
          <wp:inline distT="0" distB="0" distL="0" distR="0">
            <wp:extent cx="5276850" cy="4314825"/>
            <wp:effectExtent l="0" t="0" r="0" b="0"/>
            <wp:docPr id="23" name="picture"/>
            <a:graphic>
              <a:graphicData>
                <pic:pic>
                  <pic:nvPicPr>
                    <pic:cNvPr id="24" name="picture"/>
                    <pic:cNvPicPr/>
                  </pic:nvPicPr>
                  <pic:blipFill rotWithShape="1"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 8　深色模式</w:t>
      </w:r>
    </w:p>
    <w:p w14:paraId="1F59757F">
      <w:r>
        <w:drawing>
          <wp:inline distT="0" distB="0" distL="0" distR="0">
            <wp:extent cx="5276850" cy="4314825"/>
            <wp:effectExtent l="0" t="0" r="0" b="0"/>
            <wp:docPr id="26" name="picture"/>
            <a:graphic>
              <a:graphicData>
                <pic:pic>
                  <pic:nvPicPr>
                    <pic:cNvPr id="27" name="picture"/>
                    <pic:cNvPicPr/>
                  </pic:nvPicPr>
                  <pic:blipFill rotWithShape="1"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 9　可调档位与自定义主色</w:t>
      </w:r>
    </w:p>
    <w:p w14:paraId="79DA437F">
      <w:r>
        <w:drawing>
          <wp:inline distT="0" distB="0" distL="0" distR="0">
            <wp:extent cx="5276850" cy="3419475"/>
            <wp:effectExtent l="0" t="0" r="0" b="0"/>
            <wp:docPr id="29" name="picture"/>
            <a:graphic>
              <a:graphicData>
                <pic:pic>
                  <pic:nvPicPr>
                    <pic:cNvPr id="30" name="picture"/>
                    <pic:cNvPicPr/>
                  </pic:nvPicPr>
                  <pic:blipFill rotWithShape="1"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 10　外观设置面板：自定义主色的实时实测读数与语义冲突提示</w:t>
      </w:r>
    </w:p>
    <w:p w14:paraId="0BEE7218">
      <w:pPr>
        <w:pStyle w:val="00000a"/>
        <w:spacing w:before="600" w:after="15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十</w:t>
      </w:r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、边界与可复核性</w:t>
      </w:r>
      <w:bookmarkEnd w:id="18"/>
    </w:p>
    <w:p w14:paraId="6B93675E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一份可信的说明书应当说明边界，也应当让人能独立验证它。本节交代我们尚未完成的部分，以及所有数字的复算方式。</w:t>
      </w:r>
    </w:p>
    <w:p w14:paraId="795B87D9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（一）未完成项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E4C1FEB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6A8FC21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状态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D8D1E67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967A9F3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界面内字号档位（ px → rem  改造）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21FAD15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已完成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DA88494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已于 2026-09-28 完成：全站 156 处字号改为 rem，提供小／标准／大／特大四档并可持久化，满足工信部「应可对字型大小进行调整」这一条款。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C67A768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高对比模式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34657AE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未做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D91FF37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适老实践建议项，非强制要求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1FBD1EC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Android  端编译与真机验证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ADC253B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b w:val="1"/>
                <w:color w:val="111827"/>
                <w:sz w:val="18"/>
              </w:rPr>
              <w:t>未完成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AD421CD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开发机未安装  Android SDK ， Android  侧改动未经  Gradle  编译与真机渲染验证，已列入待办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EABC63A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320px  窄屏  Reflow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5937460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未测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230DFEF">
            <w:pPr>
              <w:spacing w:before="45" w:after="45" w:line="240" w:lineRule="auto"/>
              <w:jc w:val="left"/>
            </w:pPr>
            <w:r>
              <w:rPr>
                <w:rFonts w:hint="eastAsia" w:ascii="PingFang SC" w:hAnsi="PingFang SC" w:eastAsia="PingFang SC"/>
                <w:color w:val="111827"/>
                <w:sz w:val="18"/>
              </w:rPr>
              <w:t>需实机回归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B314E80">
            <w:pPr>
              <w:spacing w:before="45" w:after="45" w:line="240" w:lineRule="auto"/>
              <w:jc w:val="left"/>
            </w:pPr>
            <w:r>
              <w:rPr>
                <w:rFonts w:hint="eastAsia"/>
              </w:rPr>
              <w:t>按角色区分默认字号档位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2542C86">
            <w:pPr>
              <w:spacing w:before="45" w:after="45" w:line="240" w:lineRule="auto"/>
              <w:jc w:val="left"/>
            </w:pPr>
            <w:r>
              <w:rPr>
                <w:rFonts w:hint="eastAsia"/>
              </w:rPr>
              <w:t>未做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65A2362">
            <w:pPr>
              <w:spacing w:before="45" w:after="45" w:line="240" w:lineRule="auto"/>
              <w:jc w:val="left"/>
            </w:pPr>
            <w:r>
              <w:rPr>
                <w:rFonts w:hint="eastAsia"/>
              </w:rPr>
              <w:t>老人端与家属端默认档位相同（均为「标准」）。补做时应在登录后按角色落一次初始偏好，而不是在读取偏好时按角色覆盖。</w:t>
            </w:r>
          </w:p>
        </w:tc>
      </w:tr>
    </w:tbl>
    <w:p w14:paraId="70914FFF">
      <w:pPr>
        <w:pBdr>
          <w:left w:val="single" w:color="2563EB" w:sz="18" w:space="0"/>
        </w:pBdr>
        <w:shd w:val="clear" w:color="auto" w:fill="F3F6FA"/>
        <w:spacing w:after="220"/>
        <w:jc w:val="left"/>
      </w:pPr>
      <w:r>
        <w:rPr>
          <w:rFonts w:ascii="PingFang SC" w:hAnsi="PingFang SC"/>
          <w:color w:val="111827"/>
          <w:sz w:val="22"/>
        </w:rPr>
        <w:t>  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我们选择把未完成项写清楚，而不是含糊带过</w:t>
      </w:r>
      <w:r>
        <w:rPr>
          <w:rFonts w:ascii="PingFang SC" w:hAnsi="PingFang SC"/>
          <w:color w:val="111827"/>
          <w:sz w:val="22"/>
        </w:rPr>
        <w:t>——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因为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「哪些达标、哪些还没达标」本身就是设计专业性的一部分。</w:t>
      </w:r>
    </w:p>
    <w:p w14:paraId="4259AF42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（二）可复核性</w:t>
      </w:r>
    </w:p>
    <w:p w14:paraId="744A3DEF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本说明书中所有数字都可由脚本复算，不依赖人工判断。</w:t>
      </w:r>
    </w:p>
    <w:p w14:paraId="307BA96A">
      <w:pPr>
        <w:pStyle w:val="00002c"/>
        <w:spacing w:after="88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 xml:space="preserve">审计脚本 </w:t>
      </w:r>
      <w:r>
        <w:rPr>
          <w:rFonts w:ascii="PingFang SC" w:hAnsi="PingFang SC"/>
          <w:b w:val="1"/>
          <w:color w:val="111827"/>
          <w:sz w:val="22"/>
        </w:rPr>
        <w:t>tmp/audit_age_friendly.py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：直接解析样式表中的设计令牌，改动颜色后无需同步修改脚本，避免「改完代码忘了改检查」。</w:t>
      </w:r>
    </w:p>
    <w:p w14:paraId="11CC4ADA">
      <w:pPr>
        <w:pStyle w:val="00002c"/>
        <w:spacing w:after="88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 xml:space="preserve">色值反解脚本 </w:t>
      </w:r>
      <w:r>
        <w:rPr>
          <w:rFonts w:ascii="PingFang SC" w:hAnsi="PingFang SC"/>
          <w:b w:val="1"/>
          <w:color w:val="111827"/>
          <w:sz w:val="22"/>
        </w:rPr>
        <w:t>tmp/solve_palette2.py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：按目标对比度反解颜色，保持原色相与饱和度、只调明度，使加深后的颜色仍属于同一色系。</w:t>
      </w:r>
    </w:p>
    <w:p w14:paraId="4DBDEFDB">
      <w:pPr>
        <w:pStyle w:val="00002c"/>
        <w:spacing w:after="88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运行方式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：</w:t>
      </w:r>
      <w:r>
        <w:rPr>
          <w:rFonts w:ascii="PingFang SC" w:hAnsi="PingFang SC"/>
          <w:color w:val="111827"/>
          <w:sz w:val="22"/>
        </w:rPr>
        <w:t>python -X utf8 tmp/audit_age_friendly.py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，退出码为</w:t>
      </w:r>
      <w:r>
        <w:rPr>
          <w:rFonts w:ascii="PingFang SC" w:hAnsi="PingFang SC"/>
          <w:color w:val="111827"/>
          <w:sz w:val="22"/>
        </w:rPr>
        <w:t xml:space="preserve"> 0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表示全部通过，可直接接入构建流程，防止后续改动使指标回退。</w:t>
      </w:r>
    </w:p>
    <w:p w14:paraId="28544877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审计覆盖四类验收项，当前结果：字号</w:t>
      </w:r>
      <w:r>
        <w:rPr>
          <w:rFonts w:ascii="PingFang SC" w:hAnsi="PingFang SC"/>
          <w:color w:val="111827"/>
          <w:sz w:val="22"/>
        </w:rPr>
        <w:t xml:space="preserve"> 0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处低于</w:t>
      </w:r>
      <w:r>
        <w:rPr>
          <w:rFonts w:ascii="PingFang SC" w:hAnsi="PingFang SC"/>
          <w:color w:val="111827"/>
          <w:sz w:val="22"/>
        </w:rPr>
        <w:t xml:space="preserve"> 16px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、可操作控件</w:t>
      </w:r>
      <w:r>
        <w:rPr>
          <w:rFonts w:ascii="PingFang SC" w:hAnsi="PingFang SC"/>
          <w:color w:val="111827"/>
          <w:sz w:val="22"/>
        </w:rPr>
        <w:t xml:space="preserve"> 0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处低于</w:t>
      </w:r>
      <w:r>
        <w:rPr>
          <w:rFonts w:ascii="PingFang SC" w:hAnsi="PingFang SC"/>
          <w:color w:val="111827"/>
          <w:sz w:val="22"/>
        </w:rPr>
        <w:t xml:space="preserve"> 48px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、文字对比度</w:t>
      </w:r>
      <w:r>
        <w:rPr>
          <w:rFonts w:ascii="PingFang SC" w:hAnsi="PingFang SC"/>
          <w:color w:val="111827"/>
          <w:sz w:val="22"/>
        </w:rPr>
        <w:t xml:space="preserve"> 0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处低于</w:t>
      </w:r>
      <w:r>
        <w:rPr>
          <w:rFonts w:ascii="PingFang SC" w:hAnsi="PingFang SC"/>
          <w:color w:val="111827"/>
          <w:sz w:val="22"/>
        </w:rPr>
        <w:t xml:space="preserve"> 7:1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、图元对比度</w:t>
      </w:r>
      <w:r>
        <w:rPr>
          <w:rFonts w:ascii="PingFang SC" w:hAnsi="PingFang SC"/>
          <w:color w:val="111827"/>
          <w:sz w:val="22"/>
        </w:rPr>
        <w:t xml:space="preserve"> 0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处低于</w:t>
      </w:r>
      <w:r>
        <w:rPr>
          <w:rFonts w:ascii="PingFang SC" w:hAnsi="PingFang SC"/>
          <w:color w:val="111827"/>
          <w:sz w:val="22"/>
        </w:rPr>
        <w:t xml:space="preserve"> 3:1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、状态冗余编码</w:t>
      </w:r>
      <w:r>
        <w:rPr>
          <w:rFonts w:ascii="PingFang SC" w:hAnsi="PingFang SC"/>
          <w:color w:val="111827"/>
          <w:sz w:val="22"/>
        </w:rPr>
        <w:t xml:space="preserve"> 4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项齐备。</w:t>
      </w:r>
    </w:p>
    <w:p w14:paraId="1DCC49E4">
      <w:pPr>
        <w:pStyle w:val="00000a"/>
        <w:spacing w:before="600" w:after="150" w:line="312" w:lineRule="auto"/>
        <w:jc w:val="left"/>
      </w:pPr>
      <w:bookmarkStart w:id="19" w:name="section-10"/>
      <w:bookmarkEnd w:id="19"/>
      <w:bookmarkStart w:id="20" w:name="_Toc_section_10"/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主要参考来源</w:t>
      </w:r>
      <w:bookmarkEnd w:id="20"/>
    </w:p>
    <w:p w14:paraId="5F6846D4">
      <w:pPr>
        <w:spacing w:after="110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本说明书引用的依据分为强制性标准与法规、学术研究、行业研究与实践、国内数据四类，均已在正文对应位置标注。</w:t>
      </w:r>
    </w:p>
    <w:p w14:paraId="29CE05C1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（一）强制性标准与法规</w:t>
      </w:r>
    </w:p>
    <w:p w14:paraId="70F4D3BC">
      <w:pPr>
        <w:pStyle w:val="00002c"/>
        <w:spacing w:after="88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工业和信息化部《移动互联网应用（</w:t>
      </w:r>
      <w:r>
        <w:rPr>
          <w:rFonts w:ascii="PingFang SC" w:hAnsi="PingFang SC"/>
          <w:color w:val="111827"/>
          <w:sz w:val="22"/>
        </w:rPr>
        <w:t>APP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）适老化通用设计规范》，</w:t>
      </w:r>
      <w:r>
        <w:rPr>
          <w:rFonts w:ascii="PingFang SC" w:hAnsi="PingFang SC"/>
          <w:color w:val="111827"/>
          <w:sz w:val="22"/>
        </w:rPr>
        <w:t>2021-04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57AFA432">
      <w:pPr>
        <w:pStyle w:val="00002c"/>
        <w:spacing w:after="88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《中华人民共和国无障碍环境建设法》，</w:t>
      </w:r>
      <w:r>
        <w:rPr>
          <w:rFonts w:ascii="PingFang SC" w:hAnsi="PingFang SC"/>
          <w:color w:val="111827"/>
          <w:sz w:val="22"/>
        </w:rPr>
        <w:t xml:space="preserve">2023-09-01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施行。</w:t>
      </w:r>
    </w:p>
    <w:p w14:paraId="665AED23">
      <w:pPr>
        <w:pStyle w:val="00002c"/>
        <w:spacing w:after="88"/>
        <w:jc w:val="left"/>
      </w:pPr>
      <w:r>
        <w:rPr>
          <w:rFonts w:ascii="PingFang SC" w:hAnsi="PingFang SC"/>
          <w:color w:val="111827"/>
          <w:sz w:val="22"/>
        </w:rPr>
        <w:t>W3C, Web Content Accessibility Guidelines (WCAG) 2.2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。相关条款：</w:t>
      </w:r>
      <w:r>
        <w:rPr>
          <w:rFonts w:ascii="PingFang SC" w:hAnsi="PingFang SC"/>
          <w:color w:val="111827"/>
          <w:sz w:val="22"/>
        </w:rPr>
        <w:t>1.4.1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1.4.3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1.4.4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1.4.6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1.4.10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1.4.11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1.4.12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2.5.5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2.5.8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68131137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（二）学术研究</w:t>
      </w:r>
    </w:p>
    <w:p w14:paraId="0AF717E0">
      <w:pPr>
        <w:pStyle w:val="00002c"/>
        <w:spacing w:after="88"/>
        <w:jc w:val="left"/>
      </w:pPr>
      <w:r>
        <w:rPr>
          <w:rFonts w:ascii="PingFang SC" w:hAnsi="PingFang SC"/>
          <w:color w:val="111827"/>
          <w:sz w:val="22"/>
        </w:rPr>
        <w:t xml:space="preserve">Owsley, C.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等，</w:t>
      </w:r>
      <w:r>
        <w:rPr>
          <w:rFonts w:ascii="PingFang SC" w:hAnsi="PingFang SC"/>
          <w:color w:val="111827"/>
          <w:sz w:val="22"/>
        </w:rPr>
        <w:t>Aging and Vision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（综述）。</w:t>
      </w:r>
    </w:p>
    <w:p w14:paraId="46C624EF">
      <w:pPr>
        <w:pStyle w:val="00002c"/>
        <w:spacing w:after="88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日本</w:t>
      </w:r>
      <w:r>
        <w:rPr>
          <w:rFonts w:ascii="PingFang SC" w:hAnsi="PingFang SC"/>
          <w:color w:val="111827"/>
          <w:sz w:val="22"/>
        </w:rPr>
        <w:t xml:space="preserve"> NILS-LSA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纵向研究，</w:t>
      </w:r>
      <w:r>
        <w:rPr>
          <w:rFonts w:ascii="PingFang SC" w:hAnsi="PingFang SC"/>
          <w:color w:val="111827"/>
          <w:sz w:val="22"/>
        </w:rPr>
        <w:t>Age-related Change in Contrast Sensitivity Among Japanese Adults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4AA15529">
      <w:pPr>
        <w:pStyle w:val="00002c"/>
        <w:spacing w:after="88"/>
        <w:jc w:val="left"/>
      </w:pPr>
      <w:r>
        <w:rPr>
          <w:rFonts w:ascii="PingFang SC" w:hAnsi="PingFang SC"/>
          <w:color w:val="111827"/>
          <w:sz w:val="22"/>
        </w:rPr>
        <w:t>Age-related decline in color perception and difficulties with daily activities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68615BD6">
      <w:pPr>
        <w:pStyle w:val="00002c"/>
        <w:spacing w:after="88"/>
        <w:jc w:val="left"/>
      </w:pPr>
      <w:r>
        <w:rPr>
          <w:rFonts w:ascii="PingFang SC" w:hAnsi="PingFang SC"/>
          <w:color w:val="111827"/>
          <w:sz w:val="22"/>
        </w:rPr>
        <w:t>Hardy et al. (2005)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，老年观察者色对比敏感度下降。</w:t>
      </w:r>
    </w:p>
    <w:p w14:paraId="3BA8218B">
      <w:pPr>
        <w:pStyle w:val="00002c"/>
        <w:spacing w:after="88"/>
        <w:jc w:val="left"/>
      </w:pPr>
      <w:r>
        <w:rPr>
          <w:rFonts w:ascii="PingFang SC" w:hAnsi="PingFang SC"/>
          <w:color w:val="111827"/>
          <w:sz w:val="22"/>
        </w:rPr>
        <w:t>Sweller, J. (1988)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，认知负荷理论。</w:t>
      </w:r>
    </w:p>
    <w:p w14:paraId="150F142B">
      <w:pPr>
        <w:pStyle w:val="00002c"/>
        <w:spacing w:after="88"/>
        <w:jc w:val="left"/>
      </w:pPr>
      <w:r>
        <w:rPr>
          <w:rFonts w:ascii="PingFang SC" w:hAnsi="PingFang SC"/>
          <w:color w:val="111827"/>
          <w:sz w:val="22"/>
        </w:rPr>
        <w:t>Online performance and interface design implications among older adults: A systematic review of eye tracking studies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3CF11E5F">
      <w:pPr>
        <w:pStyle w:val="00002c"/>
        <w:spacing w:after="88"/>
        <w:jc w:val="left"/>
      </w:pPr>
      <w:r>
        <w:rPr>
          <w:rFonts w:ascii="PingFang SC" w:hAnsi="PingFang SC"/>
          <w:color w:val="111827"/>
          <w:sz w:val="22"/>
        </w:rPr>
        <w:t>Design Considerations for Mobile Health Applications Targeting Older Adults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4F05E1A6">
      <w:pPr>
        <w:pStyle w:val="00002c"/>
        <w:spacing w:after="88"/>
        <w:jc w:val="left"/>
      </w:pPr>
      <w:r>
        <w:rPr>
          <w:rFonts w:ascii="PingFang SC" w:hAnsi="PingFang SC"/>
          <w:color w:val="111827"/>
          <w:sz w:val="22"/>
        </w:rPr>
        <w:t>Designing Intelligent Systems to Bridge the Digital Divide for Older Adults, ACM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18464B55">
      <w:pPr>
        <w:pStyle w:val="00002c"/>
        <w:spacing w:after="88"/>
        <w:jc w:val="left"/>
      </w:pPr>
      <w:r>
        <w:rPr>
          <w:rFonts w:ascii="PingFang SC" w:hAnsi="PingFang SC"/>
          <w:color w:val="111827"/>
          <w:sz w:val="22"/>
        </w:rPr>
        <w:t>Accessibility Recommendations for Designing Better Mobile Application User Interfaces for Seniors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0FCE744A">
      <w:pPr>
        <w:pStyle w:val="00002c"/>
        <w:spacing w:after="88"/>
        <w:jc w:val="left"/>
      </w:pPr>
      <w:r>
        <w:rPr>
          <w:rFonts w:ascii="PingFang SC" w:hAnsi="PingFang SC"/>
          <w:color w:val="111827"/>
          <w:sz w:val="22"/>
        </w:rPr>
        <w:t>Understanding User Requirements for a Senior-Friendly Mobile Health Application, MDPI Geriatrics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5C4DA5F9">
      <w:pPr>
        <w:pStyle w:val="00002c"/>
        <w:spacing w:after="88"/>
        <w:jc w:val="left"/>
      </w:pPr>
      <w:r>
        <w:rPr>
          <w:rFonts w:ascii="PingFang SC" w:hAnsi="PingFang SC"/>
          <w:color w:val="111827"/>
          <w:sz w:val="22"/>
        </w:rPr>
        <w:t>Older Adults and Technology Design from the HCI Perspective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0FE80948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（三）行业研究与实践</w:t>
      </w:r>
    </w:p>
    <w:p w14:paraId="59CED85D">
      <w:pPr>
        <w:pStyle w:val="00002c"/>
        <w:spacing w:after="88"/>
        <w:jc w:val="left"/>
      </w:pPr>
      <w:r>
        <w:rPr>
          <w:rFonts w:ascii="PingFang SC" w:hAnsi="PingFang SC"/>
          <w:color w:val="111827"/>
          <w:sz w:val="22"/>
        </w:rPr>
        <w:t>Nielsen Norman Group, Usability for Senior Citizens: Improved, But Still Lacking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621A37DE">
      <w:pPr>
        <w:pStyle w:val="00002c"/>
        <w:spacing w:after="88"/>
        <w:jc w:val="left"/>
      </w:pPr>
      <w:r>
        <w:rPr>
          <w:rFonts w:ascii="PingFang SC" w:hAnsi="PingFang SC"/>
          <w:color w:val="111827"/>
          <w:sz w:val="22"/>
        </w:rPr>
        <w:t>Nielsen Norman Group, Usability for Older Adults: Challenges and Changes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31EF0DB1">
      <w:pPr>
        <w:pStyle w:val="00002c"/>
        <w:spacing w:after="88"/>
        <w:jc w:val="left"/>
      </w:pPr>
      <w:r>
        <w:rPr>
          <w:rFonts w:ascii="PingFang SC" w:hAnsi="PingFang SC"/>
          <w:color w:val="111827"/>
          <w:sz w:val="22"/>
        </w:rPr>
        <w:t xml:space="preserve">65+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用户触摸目标尺寸实践测试报告（非同行评审）。</w:t>
      </w:r>
    </w:p>
    <w:p w14:paraId="03AEF1BD">
      <w:pPr>
        <w:pStyle w:val="00000c"/>
        <w:spacing w:before="260" w:after="130" w:line="312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11827"/>
          <w:sz w:val="26"/>
          <w:lang w:eastAsia="zh-CN"/>
        </w:rPr>
        <w:t>（四）国内数据</w:t>
      </w:r>
    </w:p>
    <w:p w14:paraId="07DA646B">
      <w:pPr>
        <w:pStyle w:val="00002c"/>
        <w:spacing w:after="88"/>
        <w:jc w:val="left"/>
      </w:pPr>
      <w:r>
        <w:rPr>
          <w:rFonts w:ascii="PingFang SC" w:hAnsi="PingFang SC"/>
          <w:color w:val="111827"/>
          <w:sz w:val="22"/>
        </w:rPr>
        <w:t xml:space="preserve">CNNIC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第</w:t>
      </w:r>
      <w:r>
        <w:rPr>
          <w:rFonts w:ascii="PingFang SC" w:hAnsi="PingFang SC"/>
          <w:color w:val="111827"/>
          <w:sz w:val="22"/>
        </w:rPr>
        <w:t xml:space="preserve"> 56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次《中国互联网络发展状况统计报告》，</w:t>
      </w:r>
      <w:r>
        <w:rPr>
          <w:rFonts w:ascii="PingFang SC" w:hAnsi="PingFang SC"/>
          <w:color w:val="111827"/>
          <w:sz w:val="22"/>
        </w:rPr>
        <w:t>2025-06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28F141D9">
      <w:pPr>
        <w:pStyle w:val="00002c"/>
        <w:spacing w:after="88"/>
        <w:jc w:val="left"/>
      </w:pP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经济日报《优化养老服务和适老化产品供给》。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47F7C634">
    <w:pPr>
      <w:pStyle w:val="000006"/>
      <w:tabs>
        <w:tab w:val="center" w:pos="4156"/>
        <w:tab w:val="right" w:pos="8312"/>
      </w:tabs>
    </w:pPr>
    <w:r>
      <w:tab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num w:numId="3">
    <w:abstractNumId w:val="5"/>
  </w:num>
  <w:num w:numId="1">
    <w:abstractNumId w:val="4"/>
  </w:num>
  <w:num w:numId="2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List Paragraph" w:uiPriority="34" w:semiHidden="0" w:unhideWhenUsed="0" w:qFormat="1"/>
    <w:lsdException w:name="Medium Shading 2 Accent 5" w:uiPriority="64" w:semiHidden="0" w:unhideWhenUsed="0"/>
    <w:lsdException w:name="Medium Grid 2 Accent 2" w:uiPriority="68" w:semiHidden="0" w:unhideWhenUsed="0"/>
    <w:lsdException w:name="Table Grid" w:uiPriority="59" w:semiHidden="0" w:unhideWhenUsed="0"/>
    <w:lsdException w:name="Medium Shading 2" w:uiPriority="64" w:semiHidden="0" w:unhideWhenUsed="0"/>
    <w:lsdException w:name="Dark List Accent 3" w:uiPriority="70" w:semiHidden="0" w:unhideWhenUsed="0"/>
    <w:lsdException w:name="Revision" w:unhideWhenUsed="0"/>
    <w:lsdException w:name="Medium Grid 3 Accent 6" w:uiPriority="69" w:semiHidden="0" w:unhideWhenUsed="0"/>
    <w:lsdException w:name="Medium List 1" w:uiPriority="65" w:semiHidden="0" w:unhideWhenUsed="0"/>
    <w:lsdException w:name="Medium Grid 2 Accent 6" w:uiPriority="68" w:semiHidden="0" w:unhideWhenUsed="0"/>
    <w:lsdException w:name="Light List Accent 1" w:uiPriority="61" w:semiHidden="0" w:unhideWhenUsed="0"/>
    <w:lsdException w:name="Medium Shading 1 Accent 2" w:uiPriority="63" w:semiHidden="0" w:unhideWhenUsed="0"/>
    <w:lsdException w:name="toc 3" w:uiPriority="39"/>
    <w:lsdException w:name="toc 8" w:uiPriority="39"/>
    <w:lsdException w:name="Medium Grid 2 Accent 3" w:uiPriority="68" w:semiHidden="0" w:unhideWhenUsed="0"/>
    <w:lsdException w:name="Colorful Grid Accent 5" w:uiPriority="73" w:semiHidden="0" w:unhideWhenUsed="0"/>
    <w:lsdException w:name="Medium Grid 1 Accent 5" w:uiPriority="67" w:semiHidden="0" w:unhideWhenUsed="0"/>
    <w:lsdException w:name="Light Shading Accent 5" w:uiPriority="60" w:semiHidden="0" w:unhideWhenUsed="0"/>
    <w:lsdException w:name="Light List Accent 3" w:uiPriority="61" w:semiHidden="0" w:unhideWhenUsed="0"/>
    <w:lsdException w:name="Medium Grid 1 Accent 1" w:uiPriority="67" w:semiHidden="0" w:unhideWhenUsed="0"/>
    <w:lsdException w:name="toc 9" w:uiPriority="39"/>
    <w:lsdException w:name="Light Shading Accent 6" w:uiPriority="60" w:semiHidden="0" w:unhideWhenUsed="0"/>
    <w:lsdException w:name="Light Shading Accent 1" w:uiPriority="60" w:semiHidden="0" w:unhideWhenUsed="0"/>
    <w:lsdException w:name="toc 2" w:uiPriority="39"/>
    <w:lsdException w:name="Light Grid Accent 6" w:uiPriority="62" w:semiHidden="0" w:unhideWhenUsed="0"/>
    <w:lsdException w:name="heading 2" w:uiPriority="9" w:qFormat="1"/>
    <w:lsdException w:name="Light List Accent 2" w:uiPriority="61" w:semiHidden="0" w:unhideWhenUsed="0"/>
    <w:lsdException w:name="Medium List 1 Accent 6" w:uiPriority="65" w:semiHidden="0" w:unhideWhenUsed="0"/>
    <w:lsdException w:name="Medium Grid 3 Accent 3" w:uiPriority="69" w:semiHidden="0" w:unhideWhenUsed="0"/>
    <w:lsdException w:name="heading 3" w:uiPriority="9" w:qFormat="1"/>
    <w:lsdException w:name="Placeholder Text" w:unhideWhenUsed="0"/>
    <w:lsdException w:name="toc 4" w:uiPriority="39"/>
    <w:lsdException w:name="heading 9" w:uiPriority="9" w:qFormat="1"/>
    <w:lsdException w:name="Emphasis" w:uiPriority="20" w:semiHidden="0" w:unhideWhenUsed="0" w:qFormat="1"/>
    <w:lsdException w:name="heading 4" w:uiPriority="9" w:qFormat="1"/>
    <w:lsdException w:name="Normal" w:uiPriority="0" w:semiHidden="0" w:unhideWhenUsed="0" w:qFormat="1"/>
    <w:lsdException w:name="Medium List 2" w:uiPriority="66" w:semiHidden="0" w:unhideWhenUsed="0"/>
    <w:lsdException w:name="Dark List Accent 6" w:uiPriority="70" w:semiHidden="0" w:unhideWhenUsed="0"/>
    <w:lsdException w:name="Default Paragraph Font" w:uiPriority="1"/>
    <w:lsdException w:name="Medium Shading 1" w:uiPriority="63" w:semiHidden="0" w:unhideWhenUsed="0"/>
    <w:lsdException w:name="Medium Shading 2 Accent 6" w:uiPriority="64" w:semiHidden="0" w:unhideWhenUsed="0"/>
    <w:lsdException w:name="Medium Grid 3 Accent 4" w:uiPriority="69" w:semiHidden="0" w:unhideWhenUsed="0"/>
    <w:lsdException w:name="heading 8" w:uiPriority="9" w:qFormat="1"/>
    <w:lsdException w:name="Medium Shading 1 Accent 6" w:uiPriority="63" w:semiHidden="0" w:unhideWhenUsed="0"/>
    <w:lsdException w:name="Bibliography" w:uiPriority="37"/>
    <w:lsdException w:name="Medium Grid 1" w:uiPriority="67" w:semiHidden="0" w:unhideWhenUsed="0"/>
    <w:lsdException w:name="Medium Shading 2 Accent 1" w:uiPriority="64" w:semiHidden="0" w:unhideWhenUsed="0"/>
    <w:lsdException w:name="Medium List 2 Accent 1" w:uiPriority="66" w:semiHidden="0" w:unhideWhenUsed="0"/>
    <w:lsdException w:name="toc 5" w:uiPriority="39"/>
    <w:lsdException w:name="Light Shading Accent 2" w:uiPriority="60" w:semiHidden="0" w:unhideWhenUsed="0"/>
    <w:lsdException w:name="Colorful Shading Accent 2" w:uiPriority="71" w:semiHidden="0" w:unhideWhenUsed="0"/>
    <w:lsdException w:name="Colorful Shading Accent 5" w:uiPriority="71" w:semiHidden="0" w:unhideWhenUsed="0"/>
    <w:lsdException w:name="Medium Grid 1 Accent 6" w:uiPriority="67" w:semiHidden="0" w:unhideWhenUsed="0"/>
    <w:lsdException w:name="toc 1" w:uiPriority="39"/>
    <w:lsdException w:name="toc 6" w:uiPriority="39"/>
    <w:lsdException w:name="Light Grid Accent 5" w:uiPriority="62" w:semiHidden="0" w:unhideWhenUsed="0"/>
    <w:lsdException w:name="Colorful Shading" w:uiPriority="71" w:semiHidden="0" w:unhideWhenUsed="0"/>
    <w:lsdException w:name="Colorful Grid" w:uiPriority="73" w:semiHidden="0" w:unhideWhenUsed="0"/>
    <w:lsdException w:name="Medium List 1 Accent 1" w:uiPriority="65" w:semiHidden="0" w:unhideWhenUsed="0"/>
    <w:lsdException w:name="Light Grid Accent 3" w:uiPriority="62" w:semiHidden="0" w:unhideWhenUsed="0"/>
    <w:lsdException w:name="Light List Accent 6" w:uiPriority="61" w:semiHidden="0" w:unhideWhenUsed="0"/>
    <w:lsdException w:name="Medium Grid 2 Accent 5" w:uiPriority="68" w:semiHidden="0" w:unhideWhenUsed="0"/>
    <w:lsdException w:name="Light Shading Accent 3" w:uiPriority="60" w:semiHidden="0" w:unhideWhenUsed="0"/>
    <w:lsdException w:name="Book Title" w:uiPriority="33" w:semiHidden="0" w:unhideWhenUsed="0" w:qFormat="1"/>
    <w:lsdException w:name="Medium Grid 1 Accent 4" w:uiPriority="67" w:semiHidden="0" w:unhideWhenUsed="0"/>
    <w:lsdException w:name="Medium List 1 Accent 2" w:uiPriority="65" w:semiHidden="0" w:unhideWhenUsed="0"/>
    <w:lsdException w:name="Colorful List Accent 5" w:uiPriority="72" w:semiHidden="0" w:unhideWhenUsed="0"/>
    <w:lsdException w:name="toc 7" w:uiPriority="39"/>
    <w:lsdException w:name="Light Shading Accent 4" w:uiPriority="60" w:semiHidden="0" w:unhideWhenUsed="0"/>
    <w:lsdException w:name="Colorful List Accent 6" w:uiPriority="72" w:semiHidden="0" w:unhideWhenUsed="0"/>
    <w:lsdException w:name="Colorful List Accent 1" w:uiPriority="72" w:semiHidden="0" w:unhideWhenUsed="0"/>
    <w:lsdException w:name="No Spacing" w:uiPriority="1" w:semiHidden="0" w:unhideWhenUsed="0" w:qFormat="1"/>
    <w:lsdException w:name="Light Grid Accent 2" w:uiPriority="62" w:semiHidden="0" w:unhideWhenUsed="0"/>
    <w:lsdException w:name="Medium List 1 Accent 3" w:uiPriority="65" w:semiHidden="0" w:unhideWhenUsed="0"/>
    <w:lsdException w:name="Medium List 1 Accent 5" w:uiPriority="65" w:semiHidden="0" w:unhideWhenUsed="0"/>
    <w:lsdException w:name="Medium List 2 Accent 4" w:uiPriority="66" w:semiHidden="0" w:unhideWhenUsed="0"/>
    <w:lsdException w:name="Medium List 2 Accent 3" w:uiPriority="66" w:semiHidden="0" w:unhideWhenUsed="0"/>
    <w:lsdException w:name="heading 1" w:uiPriority="9" w:semiHidden="0" w:unhideWhenUsed="0" w:qFormat="1"/>
    <w:lsdException w:name="Subtle Reference" w:uiPriority="31" w:semiHidden="0" w:unhideWhenUsed="0" w:qFormat="1"/>
    <w:lsdException w:name="heading 7" w:uiPriority="9" w:qFormat="1"/>
    <w:lsdException w:name="Medium Grid 3" w:uiPriority="69" w:semiHidden="0" w:unhideWhenUsed="0"/>
    <w:lsdException w:name="TOC Heading" w:uiPriority="39" w:qFormat="1"/>
    <w:lsdException w:name="Light List Accent 4" w:uiPriority="61" w:semiHidden="0" w:unhideWhenUsed="0"/>
    <w:lsdException w:name="Intense Quote" w:uiPriority="30" w:semiHidden="0" w:unhideWhenUsed="0" w:qFormat="1"/>
    <w:lsdException w:name="Medium List 2 Accent 2" w:uiPriority="66" w:semiHidden="0" w:unhideWhenUsed="0"/>
    <w:lsdException w:name="Dark List Accent 1" w:uiPriority="70" w:semiHidden="0" w:unhideWhenUsed="0"/>
    <w:lsdException w:name="Medium Shading 2 Accent 3" w:uiPriority="64" w:semiHidden="0" w:unhideWhenUsed="0"/>
    <w:lsdException w:name="Medium List 1 Accent 4" w:uiPriority="65" w:semiHidden="0" w:unhideWhenUsed="0"/>
    <w:lsdException w:name="Medium List 2 Accent 5" w:uiPriority="66" w:semiHidden="0" w:unhideWhenUsed="0"/>
    <w:lsdException w:name="Medium Shading 2 Accent 2" w:uiPriority="64" w:semiHidden="0" w:unhideWhenUsed="0"/>
    <w:lsdException w:name="Colorful Grid Accent 1" w:uiPriority="73" w:semiHidden="0" w:unhideWhenUsed="0"/>
    <w:lsdException w:name="Colorful Grid Accent 6" w:uiPriority="73" w:semiHidden="0" w:unhideWhenUsed="0"/>
    <w:lsdException w:name="Medium Grid 2" w:uiPriority="68" w:semiHidden="0" w:unhideWhenUsed="0"/>
    <w:lsdException w:name="Light List Accent 5" w:uiPriority="61" w:semiHidden="0" w:unhideWhenUsed="0"/>
    <w:lsdException w:name="Title" w:uiPriority="10" w:semiHidden="0" w:unhideWhenUsed="0" w:qFormat="1"/>
    <w:lsdException w:name="Colorful Shading Accent 6" w:uiPriority="71" w:semiHidden="0" w:unhideWhenUsed="0"/>
    <w:lsdException w:name="Intense Emphasis" w:uiPriority="21" w:semiHidden="0" w:unhideWhenUsed="0" w:qFormat="1"/>
    <w:lsdException w:name="heading 6" w:uiPriority="9" w:qFormat="1"/>
    <w:lsdException w:name="Medium Grid 3 Accent 2" w:uiPriority="69" w:semiHidden="0" w:unhideWhenUsed="0"/>
    <w:lsdException w:name="Medium Shading 1 Accent 1" w:uiPriority="63" w:semiHidden="0" w:unhideWhenUsed="0"/>
    <w:lsdException w:name="Medium Grid 3 Accent 5" w:uiPriority="69" w:semiHidden="0" w:unhideWhenUsed="0"/>
    <w:lsdException w:name="Dark List" w:uiPriority="70" w:semiHidden="0" w:unhideWhenUsed="0"/>
    <w:lsdException w:name="Subtle Emphasis" w:uiPriority="19" w:semiHidden="0" w:unhideWhenUsed="0" w:qFormat="1"/>
    <w:lsdException w:name="Colorful List Accent 2" w:uiPriority="72" w:semiHidden="0" w:unhideWhenUsed="0"/>
    <w:lsdException w:name="Light Grid" w:uiPriority="62" w:semiHidden="0" w:unhideWhenUsed="0"/>
    <w:lsdException w:name="Colorful List" w:uiPriority="72" w:semiHidden="0" w:unhideWhenUsed="0"/>
    <w:lsdException w:name="Subtitle" w:uiPriority="11" w:semiHidden="0" w:unhideWhenUsed="0" w:qFormat="1"/>
    <w:lsdException w:name="Strong" w:uiPriority="22" w:semiHidden="0" w:unhideWhenUsed="0" w:qFormat="1"/>
    <w:lsdException w:name="Colorful List Accent 3" w:uiPriority="72" w:semiHidden="0" w:unhideWhenUsed="0"/>
    <w:lsdException w:name="Medium Grid 2 Accent 1" w:uiPriority="68" w:semiHidden="0" w:unhideWhenUsed="0"/>
    <w:lsdException w:name="Medium Grid 1 Accent 3" w:uiPriority="67" w:semiHidden="0" w:unhideWhenUsed="0"/>
    <w:lsdException w:name="Colorful List Accent 4" w:uiPriority="72" w:semiHidden="0" w:unhideWhenUsed="0"/>
    <w:lsdException w:name="Intense Reference" w:uiPriority="32" w:semiHidden="0" w:unhideWhenUsed="0" w:qFormat="1"/>
    <w:lsdException w:name="caption" w:uiPriority="35" w:qFormat="1"/>
    <w:lsdException w:name="Medium List 2 Accent 6" w:uiPriority="66" w:semiHidden="0" w:unhideWhenUsed="0"/>
    <w:lsdException w:name="Quote" w:uiPriority="29" w:semiHidden="0" w:unhideWhenUsed="0" w:qFormat="1"/>
    <w:lsdException w:name="Light Grid Accent 1" w:uiPriority="62" w:semiHidden="0" w:unhideWhenUsed="0"/>
    <w:lsdException w:name="Light Grid Accent 4" w:uiPriority="62" w:semiHidden="0" w:unhideWhenUsed="0"/>
    <w:lsdException w:name="Dark List Accent 5" w:uiPriority="70" w:semiHidden="0" w:unhideWhenUsed="0"/>
    <w:lsdException w:name="Colorful Shading Accent 1" w:uiPriority="71" w:semiHidden="0" w:unhideWhenUsed="0"/>
    <w:lsdException w:name="Colorful Grid Accent 2" w:uiPriority="73" w:semiHidden="0" w:unhideWhenUsed="0"/>
    <w:lsdException w:name="Medium Grid 1 Accent 2" w:uiPriority="67" w:semiHidden="0" w:unhideWhenUsed="0"/>
    <w:lsdException w:name="Light List" w:uiPriority="61" w:semiHidden="0" w:unhideWhenUsed="0"/>
    <w:lsdException w:name="Medium Grid 3 Accent 1" w:uiPriority="69" w:semiHidden="0" w:unhideWhenUsed="0"/>
    <w:lsdException w:name="Medium Shading 1 Accent 4" w:uiPriority="63" w:semiHidden="0" w:unhideWhenUsed="0"/>
    <w:lsdException w:name="Colorful Grid Accent 3" w:uiPriority="73" w:semiHidden="0" w:unhideWhenUsed="0"/>
    <w:lsdException w:name="Dark List Accent 4" w:uiPriority="70" w:semiHidden="0" w:unhideWhenUsed="0"/>
    <w:lsdException w:name="Colorful Shading Accent 3" w:uiPriority="71" w:semiHidden="0" w:unhideWhenUsed="0"/>
    <w:lsdException w:name="Medium Shading 2 Accent 4" w:uiPriority="64" w:semiHidden="0" w:unhideWhenUsed="0"/>
    <w:lsdException w:name="Medium Shading 1 Accent 5" w:uiPriority="63" w:semiHidden="0" w:unhideWhenUsed="0"/>
    <w:lsdException w:name="Colorful Grid Accent 4" w:uiPriority="73" w:semiHidden="0" w:unhideWhenUsed="0"/>
    <w:lsdException w:name="Medium Grid 2 Accent 4" w:uiPriority="68" w:semiHidden="0" w:unhideWhenUsed="0"/>
    <w:lsdException w:name="Light Shading" w:uiPriority="60" w:semiHidden="0" w:unhideWhenUsed="0"/>
    <w:lsdException w:name="Colorful Shading Accent 4" w:uiPriority="71" w:semiHidden="0" w:unhideWhenUsed="0"/>
    <w:lsdException w:name="Dark List Accent 2" w:uiPriority="70" w:semiHidden="0" w:unhideWhenUsed="0"/>
    <w:lsdException w:name="heading 5" w:uiPriority="9" w:qFormat="1"/>
    <w:lsdException w:name="Medium Shading 1 Accent 3" w:uiPriority="63" w:semiHidden="0" w:unhideWhenUsed="0"/>
  </w:latentStyles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character" w:styleId="000005" w:default="1">
    <w:name w:val="Default Paragraph Font"/>
    <w:uiPriority w:val="1"/>
    <w:semiHidden w:val="1"/>
    <w:unhideWhenUsed w:val="1"/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numbering" w:styleId="00001b" w:default="1">
    <w:name w:val="No List"/>
    <w:uiPriority w:val="99"/>
    <w:semiHidden w:val="1"/>
    <w:unhideWhenUsed w:val="1"/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02" w:default="1">
    <w:name w:val="Normal"/>
    <w:qFormat w:val="1"/>
    <w:rsid w:val="00FC693F"/>
    <w:pPr>
      <w:spacing w:line="347" w:lineRule="auto"/>
    </w:pPr>
    <w:rPr>
      <w:rFonts w:ascii="PingFang SC" w:hAnsi="PingFang SC" w:eastAsia="PingFang SC"/>
      <w:color w:val="111827"/>
      <w:sz w:val="22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_rels/document.xml.rels><?xml version="1.0" encoding="UTF-8" standalone="yes"?><Relationships xmlns="http://schemas.openxmlformats.org/package/2006/relationships"><Relationship Id="rId11" Type="http://schemas.openxmlformats.org/officeDocument/2006/relationships/image" Target="media/image6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3" Type="http://schemas.openxmlformats.org/officeDocument/2006/relationships/image" Target="media/image8.png" /><Relationship Id="rId12" Type="http://schemas.openxmlformats.org/officeDocument/2006/relationships/image" Target="media/image7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2026-09-28T18:24:23Z</dcterms:created>
  <dcterms:modified xsi:type="dcterms:W3CDTF">2026-09-28T18:24:23Z</dcterms:modified>
</cp:coreProperties>
</file>