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564"/>
          <w:sz w:val="40"/>
        </w:rPr>
        <w:t>코스피·코스닥 괴리 분석과 전망</w:t>
      </w:r>
    </w:p>
    <w:p>
      <w:pPr>
        <w:jc w:val="center"/>
      </w:pPr>
      <w:r>
        <w:rPr>
          <w:color w:val="555555"/>
          <w:sz w:val="22"/>
        </w:rPr>
        <w:t>2026년 5월 기준 · 데이터 범위 2016~2026</w:t>
      </w:r>
    </w:p>
    <w:p>
      <w:r>
        <w:rPr>
          <w:i/>
          <w:color w:val="B03030"/>
          <w:sz w:val="17"/>
        </w:rPr>
        <w:t>⚠️ 수치 검증 주의: 2026년 지수 레벨(코스피 8,000대)·투자주체별 정밀 연간 순매수치는 복수 언론으로 교차검증했으나 상승 속도가 이례적입니다. 매매 판단 전 KRX 공식데이터(data.krx.co.kr MDCSTAT)로 재확인을 권장합니다.</w:t>
      </w:r>
    </w:p>
    <w:p>
      <w:pPr>
        <w:spacing w:before="200" w:after="80"/>
      </w:pPr>
      <w:r>
        <w:rPr>
          <w:b/>
          <w:color w:val="1F3564"/>
          <w:sz w:val="28"/>
        </w:rPr>
        <w:t>1. 요약 (Executive Summary)</w:t>
      </w:r>
    </w:p>
    <w:p>
      <w:pPr>
        <w:pStyle w:val="ListBullet"/>
      </w:pPr>
      <w:r>
        <w:rPr>
          <w:b/>
          <w:sz w:val="20"/>
        </w:rPr>
        <w:t xml:space="preserve">괴리: </w:t>
      </w:r>
      <w:r>
        <w:rPr>
          <w:sz w:val="20"/>
        </w:rPr>
        <w:t>2025년 코스피 +76%(세계 1위) vs 코스닥 +37% — 약 39%p 역사적 디커플링.</w:t>
      </w:r>
    </w:p>
    <w:p>
      <w:pPr>
        <w:pStyle w:val="ListBullet"/>
      </w:pPr>
      <w:r>
        <w:rPr>
          <w:b/>
          <w:sz w:val="20"/>
        </w:rPr>
        <w:t xml:space="preserve">원인: </w:t>
      </w:r>
      <w:r>
        <w:rPr>
          <w:sz w:val="20"/>
        </w:rPr>
        <w:t>삼성전자·SK하이닉스(지수 50%+) HBM/AI 슈퍼사이클이 견인, 코스닥(바이오·2차전지)은 소외.</w:t>
      </w:r>
    </w:p>
    <w:p>
      <w:pPr>
        <w:pStyle w:val="ListBullet"/>
      </w:pPr>
      <w:r>
        <w:rPr>
          <w:b/>
          <w:sz w:val="20"/>
        </w:rPr>
        <w:t xml:space="preserve">수급: </w:t>
      </w:r>
      <w:r>
        <w:rPr>
          <w:sz w:val="20"/>
        </w:rPr>
        <w:t>코스피=외인·기관 주도 / 코스닥=개인 ~85% 리테일 주도라는 구조적 차이.</w:t>
      </w:r>
    </w:p>
    <w:p>
      <w:pPr>
        <w:pStyle w:val="ListBullet"/>
      </w:pPr>
      <w:r>
        <w:rPr>
          <w:b/>
          <w:sz w:val="20"/>
        </w:rPr>
        <w:t xml:space="preserve">전망: </w:t>
      </w:r>
      <w:r>
        <w:rPr>
          <w:sz w:val="20"/>
        </w:rPr>
        <w:t>괴리는 구조적이라 단기 완전해소는 어려우나, 국민성장펀드·연기금·소형주 순환매로 부분 키맞추기 진행.</w:t>
      </w:r>
    </w:p>
    <w:p>
      <w:pPr>
        <w:spacing w:before="200" w:after="80"/>
      </w:pPr>
      <w:r>
        <w:rPr>
          <w:b/>
          <w:color w:val="1F3564"/>
          <w:sz w:val="28"/>
        </w:rPr>
        <w:t>2. 최근 1년 괴리 (2025.6 ~ 2026.5)</w:t>
      </w:r>
    </w:p>
    <w:p>
      <w:pPr>
        <w:spacing w:before="200" w:after="80"/>
      </w:pPr>
      <w:r>
        <w:rPr>
          <w:b/>
          <w:color w:val="1F3564"/>
          <w:sz w:val="22"/>
        </w:rPr>
        <w:t>2.1 지수 경로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296"/>
            <w:shd w:fill="1F3564"/>
          </w:tcPr>
          <w:p>
            <w:r/>
            <w:r>
              <w:rPr>
                <w:b/>
                <w:color w:val="FFFFFF"/>
                <w:sz w:val="18"/>
              </w:rPr>
              <w:t>시점</w:t>
            </w:r>
          </w:p>
        </w:tc>
        <w:tc>
          <w:tcPr>
            <w:tcW w:type="dxa" w:w="1296"/>
            <w:shd w:fill="1F3564"/>
          </w:tcPr>
          <w:p>
            <w:r/>
            <w:r>
              <w:rPr>
                <w:b/>
                <w:color w:val="FFFFFF"/>
                <w:sz w:val="18"/>
              </w:rPr>
              <w:t>코스피</w:t>
            </w:r>
          </w:p>
        </w:tc>
        <w:tc>
          <w:tcPr>
            <w:tcW w:type="dxa" w:w="2160"/>
            <w:shd w:fill="1F3564"/>
          </w:tcPr>
          <w:p>
            <w:r/>
            <w:r>
              <w:rPr>
                <w:b/>
                <w:color w:val="FFFFFF"/>
                <w:sz w:val="18"/>
              </w:rPr>
              <w:t>코스피 비고</w:t>
            </w:r>
          </w:p>
        </w:tc>
        <w:tc>
          <w:tcPr>
            <w:tcW w:type="dxa" w:w="1296"/>
            <w:shd w:fill="1F3564"/>
          </w:tcPr>
          <w:p>
            <w:r/>
            <w:r>
              <w:rPr>
                <w:b/>
                <w:color w:val="FFFFFF"/>
                <w:sz w:val="18"/>
              </w:rPr>
              <w:t>코스닥</w:t>
            </w:r>
          </w:p>
        </w:tc>
        <w:tc>
          <w:tcPr>
            <w:tcW w:type="dxa" w:w="1872"/>
            <w:shd w:fill="1F3564"/>
          </w:tcPr>
          <w:p>
            <w:r/>
            <w:r>
              <w:rPr>
                <w:b/>
                <w:color w:val="FFFFFF"/>
                <w:sz w:val="18"/>
              </w:rPr>
              <w:t>코스닥 비고</w:t>
            </w:r>
          </w:p>
        </w:tc>
        <w:tc>
          <w:tcPr>
            <w:tcW w:type="dxa" w:w="1728"/>
            <w:shd w:fill="1F3564"/>
          </w:tcPr>
          <w:p>
            <w:r/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7"/>
              </w:rPr>
              <w:t>2025-07-01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3,089.65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3,000 첫 돌파(+29% YTD)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783.67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+14% YTD, 800 사수난항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괴리 가시화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7"/>
              </w:rPr>
              <w:t>2025-11-09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6월比 +56%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삼성·SK하이닉스 견인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6월比 +26%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반도체 붐 소외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격차 30%p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7"/>
              </w:rPr>
              <w:t>2025-12-30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4,214.17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연 +76% (세계 1위)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925.47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연 +37%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43년래 3번째 폭등장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7"/>
              </w:rPr>
              <w:t>2026-01-23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993.43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4년 만에 990 상회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코스닥 반등 시작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7"/>
              </w:rPr>
              <w:t>2026-05-22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7,847.71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조정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1,161.13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+4.99% 급등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국민성장펀드 기대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7"/>
              </w:rPr>
              <w:t>2026-05-29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8,476.15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사상 최고(전년比 ~+211%)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1,074.8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-2.68%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—</w:t>
            </w:r>
          </w:p>
        </w:tc>
      </w:tr>
    </w:tbl>
    <w:p>
      <w:pPr>
        <w:spacing w:before="200" w:after="80"/>
      </w:pPr>
      <w:r>
        <w:rPr>
          <w:b/>
          <w:color w:val="1F3564"/>
          <w:sz w:val="22"/>
        </w:rPr>
        <w:t>2.2 괴리의 정량화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16"/>
            <w:shd w:fill="1F3564"/>
          </w:tcPr>
          <w:p>
            <w:r/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3024"/>
            <w:shd w:fill="1F3564"/>
          </w:tcPr>
          <w:p>
            <w:r/>
            <w:r>
              <w:rPr>
                <w:b/>
                <w:color w:val="FFFFFF"/>
                <w:sz w:val="18"/>
              </w:rPr>
              <w:t>코스피</w:t>
            </w:r>
          </w:p>
        </w:tc>
        <w:tc>
          <w:tcPr>
            <w:tcW w:type="dxa" w:w="2736"/>
            <w:shd w:fill="1F3564"/>
          </w:tcPr>
          <w:p>
            <w:r/>
            <w:r>
              <w:rPr>
                <w:b/>
                <w:color w:val="FFFFFF"/>
                <w:sz w:val="18"/>
              </w:rPr>
              <w:t>코스닥</w:t>
            </w:r>
          </w:p>
        </w:tc>
        <w:tc>
          <w:tcPr>
            <w:tcW w:type="dxa" w:w="2016"/>
            <w:shd w:fill="1F3564"/>
          </w:tcPr>
          <w:p>
            <w:r/>
            <w:r>
              <w:rPr>
                <w:b/>
                <w:color w:val="FFFFFF"/>
                <w:sz w:val="18"/>
              </w:rPr>
              <w:t>격차/비고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7"/>
              </w:rPr>
              <w:t>2025 연간 수익률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+76%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+37%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약 39%p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7"/>
              </w:rPr>
              <w:t>2026 YTD(5월말)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+86.7%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~+24%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약 63%p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7"/>
              </w:rPr>
              <w:t>시가총액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3,000조원($2T) 첫 돌파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~400조원(5년 정체)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7"/>
              </w:rPr>
              <w:t>랠리 폭(breadth)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지수 +24%여도 상장사 82% 하락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소수 대형주 쏠림</w:t>
            </w:r>
          </w:p>
        </w:tc>
      </w:tr>
    </w:tbl>
    <w:p>
      <w:pPr>
        <w:spacing w:before="200" w:after="80"/>
      </w:pPr>
      <w:r>
        <w:rPr>
          <w:b/>
          <w:color w:val="1F3564"/>
          <w:sz w:val="28"/>
        </w:rPr>
        <w:t>3. 10년 투자주체별 수급 (2016~2026)</w:t>
      </w:r>
    </w:p>
    <w:p>
      <w:r>
        <w:rPr>
          <w:b/>
        </w:rPr>
        <w:t xml:space="preserve">시장구조: </w:t>
      </w:r>
      <w:r>
        <w:rPr>
          <w:sz w:val="20"/>
        </w:rPr>
        <w:t>코스피 개인 매매비중 ~57% vs 코스닥 ~85%. 코스닥 개인 지분율 65.1%(소유자의 98.9%가 개인, ~611만명). → 코스피=외인·기관, 코스닥=리테일 주도.</w:t>
      </w:r>
    </w:p>
    <w:p>
      <w:pPr>
        <w:spacing w:before="200" w:after="80"/>
      </w:pPr>
      <w:r>
        <w:rPr>
          <w:b/>
          <w:color w:val="1F3564"/>
          <w:sz w:val="22"/>
        </w:rPr>
        <w:t>3.1 코스피 외국인 지분율 추이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1F3564"/>
          </w:tcPr>
          <w:p>
            <w:r/>
            <w:r>
              <w:rPr>
                <w:b/>
                <w:color w:val="FFFFFF"/>
                <w:sz w:val="18"/>
              </w:rPr>
              <w:t>시점</w:t>
            </w:r>
          </w:p>
        </w:tc>
        <w:tc>
          <w:tcPr>
            <w:tcW w:type="dxa" w:w="2304"/>
            <w:shd w:fill="1F3564"/>
          </w:tcPr>
          <w:p>
            <w:r/>
            <w:r>
              <w:rPr>
                <w:b/>
                <w:color w:val="FFFFFF"/>
                <w:sz w:val="18"/>
              </w:rPr>
              <w:t>외국인 지분율</w:t>
            </w:r>
          </w:p>
        </w:tc>
        <w:tc>
          <w:tcPr>
            <w:tcW w:type="dxa" w:w="5040"/>
            <w:shd w:fill="1F3564"/>
          </w:tcPr>
          <w:p>
            <w:r/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2020(불장 전)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~38%</w:t>
            </w:r>
          </w:p>
        </w:tc>
        <w:tc>
          <w:tcPr>
            <w:tcW w:type="dxa" w:w="5040"/>
          </w:tcPr>
          <w:p>
            <w:r/>
            <w:r>
              <w:rPr>
                <w:sz w:val="17"/>
              </w:rPr>
              <w:t>이후 2021 ~31%로 하락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2022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~30%</w:t>
            </w:r>
          </w:p>
        </w:tc>
        <w:tc>
          <w:tcPr>
            <w:tcW w:type="dxa" w:w="5040"/>
          </w:tcPr>
          <w:p>
            <w:r/>
            <w:r>
              <w:rPr>
                <w:sz w:val="17"/>
              </w:rPr>
              <w:t>GFC 이후 최저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2024 말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32.2%</w:t>
            </w:r>
          </w:p>
        </w:tc>
        <w:tc>
          <w:tcPr>
            <w:tcW w:type="dxa" w:w="5040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2025-07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32.7%</w:t>
            </w:r>
          </w:p>
        </w:tc>
        <w:tc>
          <w:tcPr>
            <w:tcW w:type="dxa" w:w="5040"/>
          </w:tcPr>
          <w:p>
            <w:r/>
            <w:r>
              <w:rPr>
                <w:sz w:val="17"/>
              </w:rPr>
              <w:t>42개월 최저권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2025 말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36.28%</w:t>
            </w:r>
          </w:p>
        </w:tc>
        <w:tc>
          <w:tcPr>
            <w:tcW w:type="dxa" w:w="5040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2026-05-27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39.45%</w:t>
            </w:r>
          </w:p>
        </w:tc>
        <w:tc>
          <w:tcPr>
            <w:tcW w:type="dxa" w:w="5040"/>
          </w:tcPr>
          <w:p>
            <w:r/>
            <w:r>
              <w:rPr>
                <w:sz w:val="17"/>
              </w:rPr>
              <w:t>사상 최고(역설: 순매도에도 지분율↑)</w:t>
            </w:r>
          </w:p>
        </w:tc>
      </w:tr>
    </w:tbl>
    <w:p>
      <w:pPr>
        <w:spacing w:before="200" w:after="80"/>
      </w:pPr>
      <w:r>
        <w:rPr>
          <w:b/>
          <w:color w:val="1F3564"/>
          <w:sz w:val="22"/>
        </w:rPr>
        <w:t>3.2 투자주체별 순매수 흐름 (검증치)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584"/>
            <w:shd w:fill="1F3564"/>
          </w:tcPr>
          <w:p>
            <w:r/>
            <w:r>
              <w:rPr>
                <w:b/>
                <w:color w:val="FFFFFF"/>
                <w:sz w:val="18"/>
              </w:rPr>
              <w:t>시기</w:t>
            </w:r>
          </w:p>
        </w:tc>
        <w:tc>
          <w:tcPr>
            <w:tcW w:type="dxa" w:w="2016"/>
            <w:shd w:fill="1F3564"/>
          </w:tcPr>
          <w:p>
            <w:r/>
            <w:r>
              <w:rPr>
                <w:b/>
                <w:color w:val="FFFFFF"/>
                <w:sz w:val="18"/>
              </w:rPr>
              <w:t>개인</w:t>
            </w:r>
          </w:p>
        </w:tc>
        <w:tc>
          <w:tcPr>
            <w:tcW w:type="dxa" w:w="2304"/>
            <w:shd w:fill="1F3564"/>
          </w:tcPr>
          <w:p>
            <w:r/>
            <w:r>
              <w:rPr>
                <w:b/>
                <w:color w:val="FFFFFF"/>
                <w:sz w:val="18"/>
              </w:rPr>
              <w:t>외국인</w:t>
            </w:r>
          </w:p>
        </w:tc>
        <w:tc>
          <w:tcPr>
            <w:tcW w:type="dxa" w:w="1440"/>
            <w:shd w:fill="1F3564"/>
          </w:tcPr>
          <w:p>
            <w:r/>
            <w:r>
              <w:rPr>
                <w:b/>
                <w:color w:val="FFFFFF"/>
                <w:sz w:val="18"/>
              </w:rPr>
              <w:t>기관</w:t>
            </w:r>
          </w:p>
        </w:tc>
        <w:tc>
          <w:tcPr>
            <w:tcW w:type="dxa" w:w="2448"/>
            <w:shd w:fill="1F3564"/>
          </w:tcPr>
          <w:p>
            <w:r/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7"/>
              </w:rPr>
              <w:t>2020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+38.94조(8월말 누적)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-24.40조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-13.80조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동학개미 탄생, 외인지분 38→31%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7"/>
              </w:rPr>
              <w:t>2021~2022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순매수(흡수)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구조적 순매도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순매도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외인지분 ~30%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7"/>
              </w:rPr>
              <w:t>2023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혼조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저점 매수 복귀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혼조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코스닥 2차전지 버블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7"/>
              </w:rPr>
              <w:t>2024 상반기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+22.9조(반기 사상최대)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밸류업 효과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7"/>
              </w:rPr>
              <w:t>2024 하반기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대량 매도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반도체 고점우려+계엄쇼크, 코스닥 -21%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7"/>
              </w:rPr>
              <w:t>2025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코스닥 +6.2조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~3월 -40조→5월 +5조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코스닥 -1.4조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HBM 모멘텀, 코스닥 외인 -1.8조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7"/>
              </w:rPr>
              <w:t>2026 YTD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+44.31조(5/7~22)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코스피 -91.13조 / 코스닥 +2.84조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동학개미 redux, 예수금 ~119조</w:t>
            </w:r>
          </w:p>
        </w:tc>
      </w:tr>
    </w:tbl>
    <w:p>
      <w:r>
        <w:rPr>
          <w:b/>
        </w:rPr>
        <w:t xml:space="preserve">순 내러티브: </w:t>
      </w:r>
      <w:r>
        <w:rPr>
          <w:sz w:val="19"/>
        </w:rPr>
        <w:t>외국인은 2020~22 구조적 순매도(개인 흡수, 지분 38→30%) → 2024 상반기 밸류업 기대 역대급 매수 복귀 → 2025~26 다시 대규모 순매도(2026 YTD 90조+). 단 이번엔 삼성·SK하이닉스 집중 차익실현이라 지분율은 역설적으로 사상 최고(~39%).</w:t>
      </w:r>
    </w:p>
    <w:p>
      <w:pPr>
        <w:spacing w:before="200" w:after="80"/>
      </w:pPr>
      <w:r>
        <w:rPr>
          <w:b/>
          <w:color w:val="1F3564"/>
          <w:sz w:val="28"/>
        </w:rPr>
        <w:t>4. 구조적 요인 (왜 괴리가 구조적인가)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  <w:shd w:fill="1F3564"/>
          </w:tcPr>
          <w:p>
            <w:r/>
            <w:r>
              <w:rPr>
                <w:b/>
                <w:color w:val="FFFFFF"/>
                <w:sz w:val="18"/>
              </w:rPr>
              <w:t>요인</w:t>
            </w:r>
          </w:p>
        </w:tc>
        <w:tc>
          <w:tcPr>
            <w:tcW w:type="dxa" w:w="4896"/>
            <w:shd w:fill="1F3564"/>
          </w:tcPr>
          <w:p>
            <w:r/>
            <w:r>
              <w:rPr>
                <w:b/>
                <w:color w:val="FFFFFF"/>
                <w:sz w:val="18"/>
              </w:rPr>
              <w:t>내용</w:t>
            </w:r>
          </w:p>
        </w:tc>
        <w:tc>
          <w:tcPr>
            <w:tcW w:type="dxa" w:w="2304"/>
            <w:shd w:fill="1F3564"/>
          </w:tcPr>
          <w:p>
            <w:r/>
            <w:r>
              <w:rPr>
                <w:b/>
                <w:color w:val="FFFFFF"/>
                <w:sz w:val="18"/>
              </w:rPr>
              <w:t>영향 방향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1. 반도체/AI 집중</w:t>
            </w:r>
          </w:p>
        </w:tc>
        <w:tc>
          <w:tcPr>
            <w:tcW w:type="dxa" w:w="4896"/>
          </w:tcPr>
          <w:p>
            <w:r/>
            <w:r>
              <w:rPr>
                <w:sz w:val="17"/>
              </w:rPr>
              <w:t>삼성+SK하이닉스 코스피 50%+, HBM 슈퍼사이클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코스피 ▲▲▲ / 코스닥 ▽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2. 밸류업+상법개정</w:t>
            </w:r>
          </w:p>
        </w:tc>
        <w:tc>
          <w:tcPr>
            <w:tcW w:type="dxa" w:w="4896"/>
          </w:tcPr>
          <w:p>
            <w:r/>
            <w:r>
              <w:rPr>
                <w:sz w:val="17"/>
              </w:rPr>
              <w:t>저PBR 대형 가치주 재평가, 밸류업지수 코스피67:코스닥33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코스피 ▲▲ / 코스닥 ▽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3. 금리 인하(2.5%)</w:t>
            </w:r>
          </w:p>
        </w:tc>
        <w:tc>
          <w:tcPr>
            <w:tcW w:type="dxa" w:w="4896"/>
          </w:tcPr>
          <w:p>
            <w:r/>
            <w:r>
              <w:rPr>
                <w:sz w:val="17"/>
              </w:rPr>
              <w:t>자산가격↑, 소형주 실적구제 효과 약함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코스피 ▲ / 코스닥 ▽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4. MSCI 선진국 기대</w:t>
            </w:r>
          </w:p>
        </w:tc>
        <w:tc>
          <w:tcPr>
            <w:tcW w:type="dxa" w:w="4896"/>
          </w:tcPr>
          <w:p>
            <w:r/>
            <w:r>
              <w:rPr>
                <w:sz w:val="17"/>
              </w:rPr>
              <w:t>패시브 자금은 대형주 매수, 2026.6 리뷰(긍정 ~60%)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코스피 ▲ / 코스닥 —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5. 코스닥 고유약점</w:t>
            </w:r>
          </w:p>
        </w:tc>
        <w:tc>
          <w:tcPr>
            <w:tcW w:type="dxa" w:w="4896"/>
          </w:tcPr>
          <w:p>
            <w:r/>
            <w:r>
              <w:rPr>
                <w:sz w:val="17"/>
              </w:rPr>
              <w:t>2차전지·바이오 버블붕괴, 상반기 47% 적자기업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코스닥 ▽▽</w:t>
            </w:r>
          </w:p>
        </w:tc>
      </w:tr>
    </w:tbl>
    <w:p>
      <w:pPr>
        <w:spacing w:before="200" w:after="80"/>
      </w:pPr>
      <w:r>
        <w:rPr>
          <w:b/>
          <w:color w:val="1F3564"/>
          <w:sz w:val="28"/>
        </w:rPr>
        <w:t>5. 전망</w:t>
      </w:r>
    </w:p>
    <w:p>
      <w:pPr>
        <w:spacing w:before="200" w:after="80"/>
      </w:pPr>
      <w:r>
        <w:rPr>
          <w:b/>
          <w:color w:val="1F3564"/>
          <w:sz w:val="22"/>
        </w:rPr>
        <w:t>5.1 2026 브로커리지 목표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1F3564"/>
          </w:tcPr>
          <w:p>
            <w:r/>
            <w:r>
              <w:rPr>
                <w:b/>
                <w:color w:val="FFFFFF"/>
                <w:sz w:val="18"/>
              </w:rPr>
              <w:t>지수</w:t>
            </w:r>
          </w:p>
        </w:tc>
        <w:tc>
          <w:tcPr>
            <w:tcW w:type="dxa" w:w="2160"/>
            <w:shd w:fill="1F3564"/>
          </w:tcPr>
          <w:p>
            <w:r/>
            <w:r>
              <w:rPr>
                <w:b/>
                <w:color w:val="FFFFFF"/>
                <w:sz w:val="18"/>
              </w:rPr>
              <w:t>기관</w:t>
            </w:r>
          </w:p>
        </w:tc>
        <w:tc>
          <w:tcPr>
            <w:tcW w:type="dxa" w:w="3168"/>
            <w:shd w:fill="1F3564"/>
          </w:tcPr>
          <w:p>
            <w:r/>
            <w:r>
              <w:rPr>
                <w:b/>
                <w:color w:val="FFFFFF"/>
                <w:sz w:val="18"/>
              </w:rPr>
              <w:t>목표</w:t>
            </w:r>
          </w:p>
        </w:tc>
        <w:tc>
          <w:tcPr>
            <w:tcW w:type="dxa" w:w="3024"/>
            <w:shd w:fill="1F3564"/>
          </w:tcPr>
          <w:p>
            <w:r/>
            <w:r>
              <w:rPr>
                <w:b/>
                <w:color w:val="FFFFFF"/>
                <w:sz w:val="18"/>
              </w:rPr>
              <w:t>근거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7"/>
              </w:rPr>
              <w:t>코스피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KB증권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10,500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AI이익&gt;지수, 메모리 전략자산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7"/>
              </w:rPr>
              <w:t>코스피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삼성자산운용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8,000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이익체력 퀀텀점프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7"/>
              </w:rPr>
              <w:t>코스피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Morgan Stanley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6,500 (bull 7,500/bear 5,000)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AI메모리 슈퍼사이클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7"/>
              </w:rPr>
              <w:t>코스피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Macquarie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6,000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메모리 사상최악 공급부족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7"/>
              </w:rPr>
              <w:t>코스피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JP Morgan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5,000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12개월 목표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7"/>
              </w:rPr>
              <w:t>코스피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Kiwoom(보수)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4,500 (3,900~5,200)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반도체 의존·관세 리스크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7"/>
              </w:rPr>
              <w:t>코스닥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유안타 등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base 1,600 / bull 1,900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정책+순환매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7"/>
              </w:rPr>
              <w:t>코스닥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삼성자산운용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추가 +10%↑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AI반도체 순환매</w:t>
            </w:r>
          </w:p>
        </w:tc>
      </w:tr>
    </w:tbl>
    <w:p>
      <w:pPr>
        <w:spacing w:before="200" w:after="80"/>
      </w:pPr>
      <w:r>
        <w:rPr>
          <w:b/>
          <w:color w:val="1F3564"/>
          <w:sz w:val="22"/>
        </w:rPr>
        <w:t>5.2 종합 전망 (본 리포트 견해)</w:t>
      </w:r>
    </w:p>
    <w:p>
      <w:pPr>
        <w:pStyle w:val="ListBullet"/>
      </w:pPr>
      <w:r>
        <w:rPr>
          <w:b/>
          <w:sz w:val="20"/>
        </w:rPr>
        <w:t xml:space="preserve">단기(2026): </w:t>
      </w:r>
      <w:r>
        <w:rPr>
          <w:sz w:val="20"/>
        </w:rPr>
        <w:t>대형주(반도체·밸류업) 우위 유지 + 변동성 확대. 외인 코스피 차익실현↔코스닥 순매수 전환으로 '괴리 1차 정점 통과' 가능성. 코스닥은 지수보다 중소형 선별 순환매가 현실적.</w:t>
      </w:r>
    </w:p>
    <w:p>
      <w:pPr>
        <w:pStyle w:val="ListBullet"/>
      </w:pPr>
      <w:r>
        <w:rPr>
          <w:b/>
          <w:sz w:val="20"/>
        </w:rPr>
        <w:t xml:space="preserve">중기: </w:t>
      </w:r>
      <w:r>
        <w:rPr>
          <w:sz w:val="20"/>
        </w:rPr>
        <w:t>완전 해소 조건 = ①코스닥 이익개선·부실정리 ②반도체 외 코스닥 주도주(AI SW·로봇·바이오신약) 출현 ③외인·기관 구조적 복귀. 셋 동반 시 '구조적 괴리→순환적 격차'로 완화.</w:t>
      </w:r>
    </w:p>
    <w:p>
      <w:pPr>
        <w:pStyle w:val="ListBullet"/>
      </w:pPr>
      <w:r>
        <w:rPr>
          <w:b/>
          <w:sz w:val="20"/>
        </w:rPr>
        <w:t xml:space="preserve">관전포인트: </w:t>
      </w:r>
      <w:r>
        <w:rPr>
          <w:sz w:val="20"/>
        </w:rPr>
        <w:t>삼성·SK하이닉스 HBM 이익방향 / 국민성장펀드·연기금 코스닥 집행 / MSCI 로드맵(2026.6) / BOK 금리 / 외인 수급교차 지속 여부.</w:t>
      </w:r>
    </w:p>
    <w:p>
      <w:pPr>
        <w:spacing w:before="200" w:after="80"/>
      </w:pPr>
      <w:r>
        <w:rPr>
          <w:b/>
          <w:color w:val="1F3564"/>
          <w:sz w:val="28"/>
        </w:rPr>
        <w:t>6. 출처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320"/>
            <w:shd w:fill="1F3564"/>
          </w:tcPr>
          <w:p>
            <w:r/>
            <w:r>
              <w:rPr>
                <w:b/>
                <w:color w:val="FFFFFF"/>
                <w:sz w:val="18"/>
              </w:rPr>
              <w:t>내용</w:t>
            </w:r>
          </w:p>
        </w:tc>
        <w:tc>
          <w:tcPr>
            <w:tcW w:type="dxa" w:w="3456"/>
            <w:shd w:fill="1F3564"/>
          </w:tcPr>
          <w:p>
            <w:r/>
            <w:r>
              <w:rPr>
                <w:b/>
                <w:color w:val="FFFFFF"/>
                <w:sz w:val="18"/>
              </w:rPr>
              <w:t>매체</w:t>
            </w:r>
          </w:p>
        </w:tc>
        <w:tc>
          <w:tcPr>
            <w:tcW w:type="dxa" w:w="2016"/>
            <w:shd w:fill="1F3564"/>
          </w:tcPr>
          <w:p>
            <w:r/>
            <w:r>
              <w:rPr>
                <w:b/>
                <w:color w:val="FFFFFF"/>
                <w:sz w:val="18"/>
              </w:rPr>
              <w:t>날짜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코스피 3,000 돌파/괴리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Korea Times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2025-07-01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2025 결산 +76%/+37%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Korea Herald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2025-12-30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코스닥 정체·수급분석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Korea Herald/The Investor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2025-11-09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국민성장펀드 코스닥 급등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Korea Times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2026-05-22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5월 외인 코스피 사상최대 순매도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Korea Herald/Seoul Economic Daily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2026-05-31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82% 하락(좁은 랠리)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Seoul Economic Daily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2026-05-29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2020 동학개미 수급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더스쿠프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2020-09-15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2024 상반기 외인 +22.9조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KED Global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2024-07-08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외인지분율 추이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ASIFMA / The Investor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2023-03 / 2026-05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밸류업 프로그램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FSC / KRX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2024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상법 개정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KED Global / Korea Herald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2025-07·08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BOK 금리·메모리 사이클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CNBC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2024-10~2026-05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2026 코스피 전망(엇갈림)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Korea Times / Investing.com / Bloomingbit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2025-11~2026-05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MSCI 편입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KED Global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2025-06-25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