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A192F"/>
          <w:sz w:val="44"/>
        </w:rPr>
        <w:t>THE ADORNED INTERNATIONAL</w:t>
        <w:br/>
        <w:t>ENTERPRISE &amp; INNOVATION ACCELERATION INITIATIVE (AIVA)</w:t>
      </w:r>
    </w:p>
    <w:p>
      <w:pPr>
        <w:jc w:val="center"/>
      </w:pPr>
      <w:r>
        <w:rPr>
          <w:rFonts w:ascii="Calibri" w:hAnsi="Calibri"/>
          <w:i/>
          <w:color w:val="D4AF37"/>
          <w:sz w:val="26"/>
        </w:rPr>
        <w:t>Tier-1 Strategic Business Case, Governance Architecture &amp; Growth Masterplan</w:t>
      </w:r>
    </w:p>
    <w:p>
      <w:pPr>
        <w:jc w:val="center"/>
      </w:pPr>
      <w:r>
        <w:rPr>
          <w:rFonts w:ascii="Calibri" w:hAnsi="Calibri"/>
          <w:color w:val="64748B"/>
          <w:sz w:val="20"/>
        </w:rPr>
        <w:t>Prepared for: Senior Pastoral Leadership &amp; Board of Trustees | Target Showcase: December 2026</w:t>
      </w:r>
    </w:p>
    <w:p>
      <w:pPr>
        <w:spacing w:after="360"/>
      </w:pPr>
    </w:p>
    <w:p>
      <w:pPr>
        <w:spacing w:before="360" w:after="160"/>
      </w:pPr>
      <w:r>
        <w:rPr>
          <w:rFonts w:ascii="Calibri" w:hAnsi="Calibri"/>
          <w:b/>
          <w:color w:val="0A192F"/>
          <w:sz w:val="32"/>
        </w:rPr>
        <w:t>1. EXECUTIVE STRATEGIC BRIEF</w:t>
      </w:r>
    </w:p>
    <w:p>
      <w:pPr>
        <w:spacing w:after="120" w:line="276" w:lineRule="auto"/>
      </w:pPr>
      <w:r>
        <w:rPr>
          <w:rFonts w:ascii="Calibri" w:hAnsi="Calibri"/>
          <w:color w:val="1E293B"/>
          <w:sz w:val="22"/>
        </w:rPr>
        <w:t>The Adorned Enterprise &amp; Innovation Acceleration Initiative (AIVA) is an institutional-grade faith-based incubator and seed fund engineered to catalyze high-potential micro, small, and medium enterprises (MSMEs) within The Adorned International and select external innovators.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D4AF37"/>
              <w:bottom w:val="none"/>
              <w:right w:val="none"/>
            </w:tcBorders>
          </w:tcPr>
          <w:p>
            <w:pPr>
              <w:spacing w:after="80"/>
            </w:pPr>
            <w:r>
              <w:rPr>
                <w:rFonts w:ascii="Calibri" w:hAnsi="Calibri"/>
                <w:b/>
                <w:color w:val="0A192F"/>
                <w:sz w:val="22"/>
              </w:rPr>
              <w:t>📌 GOVERNANCE &amp; VISION STATEMENT</w:t>
              <w:br/>
            </w:r>
            <w:r>
              <w:rPr>
                <w:rFonts w:ascii="Calibri" w:hAnsi="Calibri"/>
                <w:color w:val="1E293B"/>
                <w:sz w:val="21"/>
              </w:rPr>
              <w:t>AIVA operates under the direct governance of the Senior Pastoral Advisory Board, establishing a repeatable ecosystem that bridges business literacy, seed capital, executive mentorship, and post-pitch incubation to create sustainable economic value and marketplace impact.</w:t>
            </w:r>
          </w:p>
        </w:tc>
      </w:tr>
    </w:tbl>
    <w:p>
      <w:pPr>
        <w:spacing w:after="120"/>
      </w:pPr>
    </w:p>
    <w:p>
      <w:pPr>
        <w:spacing w:before="360" w:after="160"/>
      </w:pPr>
      <w:r>
        <w:rPr>
          <w:rFonts w:ascii="Calibri" w:hAnsi="Calibri"/>
          <w:b/>
          <w:color w:val="0A192F"/>
          <w:sz w:val="32"/>
        </w:rPr>
        <w:t>2. STRATEGIC FRAMEWORKS &amp; GROWTH STRATEGY</w:t>
      </w:r>
    </w:p>
    <w:p>
      <w:pPr>
        <w:spacing w:before="240" w:after="80"/>
      </w:pPr>
      <w:r>
        <w:rPr>
          <w:rFonts w:ascii="Calibri" w:hAnsi="Calibri"/>
          <w:b/>
          <w:color w:val="1E293B"/>
          <w:sz w:val="26"/>
        </w:rPr>
        <w:t>2.1 McKinsey 3-Horizon Growth Model</w:t>
      </w:r>
    </w:p>
    <w:p>
      <w:pPr>
        <w:spacing w:after="120" w:line="276" w:lineRule="auto"/>
      </w:pPr>
      <w:r>
        <w:rPr>
          <w:rFonts w:ascii="Calibri" w:hAnsi="Calibri"/>
          <w:b/>
          <w:color w:val="1E293B"/>
          <w:sz w:val="22"/>
        </w:rPr>
        <w:t xml:space="preserve">• </w:t>
      </w:r>
      <w:r>
        <w:rPr>
          <w:rFonts w:ascii="Calibri" w:hAnsi="Calibri"/>
          <w:color w:val="1E293B"/>
          <w:sz w:val="22"/>
        </w:rPr>
        <w:t>Horizon 1 (2026 - Inaugural Cohort &amp; December Demo Day): Execute bootcamp, December showcase, and formalize Top 5 businesses with CAC registration, tax accounts, and accounting software.</w:t>
      </w:r>
    </w:p>
    <w:p>
      <w:pPr>
        <w:spacing w:after="120" w:line="276" w:lineRule="auto"/>
      </w:pPr>
      <w:r>
        <w:rPr>
          <w:rFonts w:ascii="Calibri" w:hAnsi="Calibri"/>
          <w:b/>
          <w:color w:val="1E293B"/>
          <w:sz w:val="22"/>
        </w:rPr>
        <w:t xml:space="preserve">• </w:t>
      </w:r>
      <w:r>
        <w:rPr>
          <w:rFonts w:ascii="Calibri" w:hAnsi="Calibri"/>
          <w:color w:val="1E293B"/>
          <w:sz w:val="22"/>
        </w:rPr>
        <w:t>Horizon 2 (2027 - Commercial Integration &amp; Supply Chains): Integrate funded ventures into church members' commercial supply chains; activate the 10% Revolving Seed Fund profit payback.</w:t>
      </w:r>
    </w:p>
    <w:p>
      <w:pPr>
        <w:spacing w:after="120" w:line="276" w:lineRule="auto"/>
      </w:pPr>
      <w:r>
        <w:rPr>
          <w:rFonts w:ascii="Calibri" w:hAnsi="Calibri"/>
          <w:b/>
          <w:color w:val="1E293B"/>
          <w:sz w:val="22"/>
        </w:rPr>
        <w:t xml:space="preserve">• </w:t>
      </w:r>
      <w:r>
        <w:rPr>
          <w:rFonts w:ascii="Calibri" w:hAnsi="Calibri"/>
          <w:color w:val="1E293B"/>
          <w:sz w:val="22"/>
        </w:rPr>
        <w:t>Horizon 3 (2028+ - The Adorned Kingdom Venture Fund): Scale fund capital to ₦50M+ with impact investor partnerships to build an evergreen seed fund.</w:t>
      </w:r>
    </w:p>
    <w:p>
      <w:pPr>
        <w:spacing w:before="360" w:after="160"/>
      </w:pPr>
      <w:r>
        <w:rPr>
          <w:rFonts w:ascii="Calibri" w:hAnsi="Calibri"/>
          <w:b/>
          <w:color w:val="0A192F"/>
          <w:sz w:val="32"/>
        </w:rPr>
        <w:t>3. PROGRAM PIPELINE &amp; DECEMBER 2026 LAUNCH ROADMAP</w:t>
      </w:r>
    </w:p>
    <w:p>
      <w:pPr>
        <w:spacing w:after="120" w:line="276" w:lineRule="auto"/>
      </w:pPr>
      <w:r>
        <w:rPr>
          <w:rFonts w:ascii="Calibri" w:hAnsi="Calibri"/>
          <w:b/>
          <w:color w:val="1E293B"/>
          <w:sz w:val="22"/>
        </w:rPr>
        <w:t xml:space="preserve">Phase 1 - </w:t>
      </w:r>
      <w:r>
        <w:rPr>
          <w:rFonts w:ascii="Calibri" w:hAnsi="Calibri"/>
          <w:color w:val="1E293B"/>
          <w:sz w:val="22"/>
        </w:rPr>
        <w:t>September 2026: Application Intake &amp; Desktop Vetting (80% Church / 20% External)</w:t>
      </w:r>
    </w:p>
    <w:p>
      <w:pPr>
        <w:spacing w:after="120" w:line="276" w:lineRule="auto"/>
      </w:pPr>
      <w:r>
        <w:rPr>
          <w:rFonts w:ascii="Calibri" w:hAnsi="Calibri"/>
          <w:b/>
          <w:color w:val="1E293B"/>
          <w:sz w:val="22"/>
        </w:rPr>
        <w:t xml:space="preserve">Phase 2 - </w:t>
      </w:r>
      <w:r>
        <w:rPr>
          <w:rFonts w:ascii="Calibri" w:hAnsi="Calibri"/>
          <w:color w:val="1E293B"/>
          <w:sz w:val="22"/>
        </w:rPr>
        <w:t>October - November 2026: 6-Week Enterprise Bootcamp &amp; C-Suite Pitch Coaching</w:t>
      </w:r>
    </w:p>
    <w:p>
      <w:pPr>
        <w:spacing w:after="120" w:line="276" w:lineRule="auto"/>
      </w:pPr>
      <w:r>
        <w:rPr>
          <w:rFonts w:ascii="Calibri" w:hAnsi="Calibri"/>
          <w:b/>
          <w:color w:val="1E293B"/>
          <w:sz w:val="22"/>
        </w:rPr>
        <w:t xml:space="preserve">Phase 3 - </w:t>
      </w:r>
      <w:r>
        <w:rPr>
          <w:rFonts w:ascii="Calibri" w:hAnsi="Calibri"/>
          <w:color w:val="1E293B"/>
          <w:sz w:val="22"/>
        </w:rPr>
        <w:t>December 2026: Demo Day Showcase ('The Kingdom Venture Showcase')</w:t>
      </w:r>
    </w:p>
    <w:p>
      <w:pPr>
        <w:spacing w:after="120" w:line="276" w:lineRule="auto"/>
      </w:pPr>
      <w:r>
        <w:rPr>
          <w:rFonts w:ascii="Calibri" w:hAnsi="Calibri"/>
          <w:b/>
          <w:color w:val="1E293B"/>
          <w:sz w:val="22"/>
        </w:rPr>
        <w:t xml:space="preserve">Prize Breakdown - </w:t>
      </w:r>
      <w:r>
        <w:rPr>
          <w:rFonts w:ascii="Calibri" w:hAnsi="Calibri"/>
          <w:color w:val="1E293B"/>
          <w:sz w:val="22"/>
        </w:rPr>
        <w:t>1st Place: ₦5,000,000 Seed Grant | 2nd Place: ₦1,000,000 | 3rd Place: ₦500,000</w:t>
      </w:r>
    </w:p>
    <w:p>
      <w:pPr>
        <w:spacing w:after="120" w:line="276" w:lineRule="auto"/>
      </w:pPr>
      <w:r>
        <w:rPr>
          <w:rFonts w:ascii="Calibri" w:hAnsi="Calibri"/>
          <w:b/>
          <w:color w:val="1E293B"/>
          <w:sz w:val="22"/>
        </w:rPr>
        <w:t xml:space="preserve">Phase 4 - </w:t>
      </w:r>
      <w:r>
        <w:rPr>
          <w:rFonts w:ascii="Calibri" w:hAnsi="Calibri"/>
          <w:color w:val="1E293B"/>
          <w:sz w:val="22"/>
        </w:rPr>
        <w:t>January - June 2027: 6-Month Incubation Program for Top 5 Cohort</w:t>
      </w:r>
    </w:p>
    <w:p>
      <w:pPr>
        <w:spacing w:before="360" w:after="160"/>
      </w:pPr>
      <w:r>
        <w:rPr>
          <w:rFonts w:ascii="Calibri" w:hAnsi="Calibri"/>
          <w:b/>
          <w:color w:val="0A192F"/>
          <w:sz w:val="32"/>
        </w:rPr>
        <w:t>4. CAPITAL BUDGET &amp; SOURCING ARCHITECTURE</w:t>
      </w:r>
    </w:p>
    <w:p>
      <w:pPr>
        <w:spacing w:before="240" w:after="80"/>
      </w:pPr>
      <w:r>
        <w:rPr>
          <w:rFonts w:ascii="Calibri" w:hAnsi="Calibri"/>
          <w:b/>
          <w:color w:val="1E293B"/>
          <w:sz w:val="26"/>
        </w:rPr>
        <w:t>4.1 Annual Budget Allocation (NGN 14,000,000)</w:t>
      </w:r>
    </w:p>
    <w:tbl>
      <w:tblPr>
        <w:tblW w:type="auto" w:w="0"/>
        <w:jc w:val="center"/>
        <w:tblLook w:firstColumn="1" w:firstRow="1" w:lastColumn="0" w:lastRow="0" w:noHBand="0" w:noVBand="1" w:val="04A0"/>
      </w:tblPr>
      <w:tblGrid>
        <w:gridCol w:w="3120"/>
        <w:gridCol w:w="3120"/>
        <w:gridCol w:w="3120"/>
      </w:tblGrid>
      <w:tr>
        <w:tc>
          <w:tcPr>
            <w:tcW w:type="dxa" w:w="3120"/>
            <w:shd w:fill="0A192F"/>
          </w:tcPr>
          <w:p>
            <w:pPr>
              <w:jc w:val="center"/>
            </w:pPr>
            <w:r>
              <w:rPr>
                <w:rFonts w:ascii="Calibri" w:hAnsi="Calibri"/>
                <w:b/>
                <w:color w:val="FFFFFF"/>
              </w:rPr>
              <w:t>Expense Category</w:t>
            </w:r>
          </w:p>
        </w:tc>
        <w:tc>
          <w:tcPr>
            <w:tcW w:type="dxa" w:w="3120"/>
            <w:shd w:fill="0A192F"/>
          </w:tcPr>
          <w:p>
            <w:pPr>
              <w:jc w:val="center"/>
            </w:pPr>
            <w:r>
              <w:rPr>
                <w:rFonts w:ascii="Calibri" w:hAnsi="Calibri"/>
                <w:b/>
                <w:color w:val="FFFFFF"/>
              </w:rPr>
              <w:t>Amount (NGN)</w:t>
            </w:r>
          </w:p>
        </w:tc>
        <w:tc>
          <w:tcPr>
            <w:tcW w:type="dxa" w:w="3120"/>
            <w:shd w:fill="0A192F"/>
          </w:tcPr>
          <w:p>
            <w:pPr>
              <w:jc w:val="center"/>
            </w:pPr>
            <w:r>
              <w:rPr>
                <w:rFonts w:ascii="Calibri" w:hAnsi="Calibri"/>
                <w:b/>
                <w:color w:val="FFFFFF"/>
              </w:rPr>
              <w:t>% Allocation</w:t>
            </w:r>
          </w:p>
        </w:tc>
      </w:tr>
      <w:tr>
        <w:tc>
          <w:tcPr>
            <w:tcW w:type="dxa" w:w="3120"/>
            <w:shd w:fill="F8FAFC"/>
          </w:tcPr>
          <w:p>
            <w:r>
              <w:rPr>
                <w:rFonts w:ascii="Calibri" w:hAnsi="Calibri"/>
                <w:color w:val="1E293B"/>
                <w:sz w:val="20"/>
              </w:rPr>
              <w:t>Seed Funding Grants Pool (Top 1-3 Winners)</w:t>
            </w:r>
          </w:p>
        </w:tc>
        <w:tc>
          <w:tcPr>
            <w:tcW w:type="dxa" w:w="3120"/>
            <w:shd w:fill="F8FAFC"/>
          </w:tcPr>
          <w:p>
            <w:pPr>
              <w:jc w:val="right"/>
            </w:pPr>
            <w:r>
              <w:rPr>
                <w:rFonts w:ascii="Calibri" w:hAnsi="Calibri"/>
                <w:color w:val="1E293B"/>
                <w:sz w:val="20"/>
              </w:rPr>
              <w:t>₦6,500,000</w:t>
            </w:r>
          </w:p>
        </w:tc>
        <w:tc>
          <w:tcPr>
            <w:tcW w:type="dxa" w:w="3120"/>
            <w:shd w:fill="F8FAFC"/>
          </w:tcPr>
          <w:p>
            <w:pPr>
              <w:jc w:val="right"/>
            </w:pPr>
            <w:r>
              <w:rPr>
                <w:rFonts w:ascii="Calibri" w:hAnsi="Calibri"/>
                <w:color w:val="1E293B"/>
                <w:sz w:val="20"/>
              </w:rPr>
              <w:t>46.4%</w:t>
            </w:r>
          </w:p>
        </w:tc>
      </w:tr>
      <w:tr>
        <w:tc>
          <w:tcPr>
            <w:tcW w:type="dxa" w:w="3120"/>
            <w:shd w:fill="FFFFFF"/>
          </w:tcPr>
          <w:p>
            <w:r>
              <w:rPr>
                <w:rFonts w:ascii="Calibri" w:hAnsi="Calibri"/>
                <w:color w:val="1E293B"/>
                <w:sz w:val="20"/>
              </w:rPr>
              <w:t>Bootcamp Training &amp; Facilitation Logistics</w:t>
            </w:r>
          </w:p>
        </w:tc>
        <w:tc>
          <w:tcPr>
            <w:tcW w:type="dxa" w:w="3120"/>
            <w:shd w:fill="FFFFFF"/>
          </w:tcPr>
          <w:p>
            <w:pPr>
              <w:jc w:val="right"/>
            </w:pPr>
            <w:r>
              <w:rPr>
                <w:rFonts w:ascii="Calibri" w:hAnsi="Calibri"/>
                <w:color w:val="1E293B"/>
                <w:sz w:val="20"/>
              </w:rPr>
              <w:t>₦2,200,000</w:t>
            </w:r>
          </w:p>
        </w:tc>
        <w:tc>
          <w:tcPr>
            <w:tcW w:type="dxa" w:w="3120"/>
            <w:shd w:fill="FFFFFF"/>
          </w:tcPr>
          <w:p>
            <w:pPr>
              <w:jc w:val="right"/>
            </w:pPr>
            <w:r>
              <w:rPr>
                <w:rFonts w:ascii="Calibri" w:hAnsi="Calibri"/>
                <w:color w:val="1E293B"/>
                <w:sz w:val="20"/>
              </w:rPr>
              <w:t>15.7%</w:t>
            </w:r>
          </w:p>
        </w:tc>
      </w:tr>
      <w:tr>
        <w:tc>
          <w:tcPr>
            <w:tcW w:type="dxa" w:w="3120"/>
            <w:shd w:fill="F8FAFC"/>
          </w:tcPr>
          <w:p>
            <w:r>
              <w:rPr>
                <w:rFonts w:ascii="Calibri" w:hAnsi="Calibri"/>
                <w:color w:val="1E293B"/>
                <w:sz w:val="20"/>
              </w:rPr>
              <w:t>December 2026 Demo Day Event Production &amp; Media</w:t>
            </w:r>
          </w:p>
        </w:tc>
        <w:tc>
          <w:tcPr>
            <w:tcW w:type="dxa" w:w="3120"/>
            <w:shd w:fill="F8FAFC"/>
          </w:tcPr>
          <w:p>
            <w:pPr>
              <w:jc w:val="right"/>
            </w:pPr>
            <w:r>
              <w:rPr>
                <w:rFonts w:ascii="Calibri" w:hAnsi="Calibri"/>
                <w:color w:val="1E293B"/>
                <w:sz w:val="20"/>
              </w:rPr>
              <w:t>₦2,500,000</w:t>
            </w:r>
          </w:p>
        </w:tc>
        <w:tc>
          <w:tcPr>
            <w:tcW w:type="dxa" w:w="3120"/>
            <w:shd w:fill="F8FAFC"/>
          </w:tcPr>
          <w:p>
            <w:pPr>
              <w:jc w:val="right"/>
            </w:pPr>
            <w:r>
              <w:rPr>
                <w:rFonts w:ascii="Calibri" w:hAnsi="Calibri"/>
                <w:color w:val="1E293B"/>
                <w:sz w:val="20"/>
              </w:rPr>
              <w:t>17.9%</w:t>
            </w:r>
          </w:p>
        </w:tc>
      </w:tr>
      <w:tr>
        <w:tc>
          <w:tcPr>
            <w:tcW w:type="dxa" w:w="3120"/>
            <w:shd w:fill="FFFFFF"/>
          </w:tcPr>
          <w:p>
            <w:r>
              <w:rPr>
                <w:rFonts w:ascii="Calibri" w:hAnsi="Calibri"/>
                <w:color w:val="1E293B"/>
                <w:sz w:val="20"/>
              </w:rPr>
              <w:t>Incubation Operations &amp; CAC/Tax Advisory (6 Mo)</w:t>
            </w:r>
          </w:p>
        </w:tc>
        <w:tc>
          <w:tcPr>
            <w:tcW w:type="dxa" w:w="3120"/>
            <w:shd w:fill="FFFFFF"/>
          </w:tcPr>
          <w:p>
            <w:pPr>
              <w:jc w:val="right"/>
            </w:pPr>
            <w:r>
              <w:rPr>
                <w:rFonts w:ascii="Calibri" w:hAnsi="Calibri"/>
                <w:color w:val="1E293B"/>
                <w:sz w:val="20"/>
              </w:rPr>
              <w:t>₦1,800,000</w:t>
            </w:r>
          </w:p>
        </w:tc>
        <w:tc>
          <w:tcPr>
            <w:tcW w:type="dxa" w:w="3120"/>
            <w:shd w:fill="FFFFFF"/>
          </w:tcPr>
          <w:p>
            <w:pPr>
              <w:jc w:val="right"/>
            </w:pPr>
            <w:r>
              <w:rPr>
                <w:rFonts w:ascii="Calibri" w:hAnsi="Calibri"/>
                <w:color w:val="1E293B"/>
                <w:sz w:val="20"/>
              </w:rPr>
              <w:t>12.9%</w:t>
            </w:r>
          </w:p>
        </w:tc>
      </w:tr>
      <w:tr>
        <w:tc>
          <w:tcPr>
            <w:tcW w:type="dxa" w:w="3120"/>
            <w:shd w:fill="F8FAFC"/>
          </w:tcPr>
          <w:p>
            <w:r>
              <w:rPr>
                <w:rFonts w:ascii="Calibri" w:hAnsi="Calibri"/>
                <w:color w:val="1E293B"/>
                <w:sz w:val="20"/>
              </w:rPr>
              <w:t>Admin, Branding &amp; Contingency Reserve</w:t>
            </w:r>
          </w:p>
        </w:tc>
        <w:tc>
          <w:tcPr>
            <w:tcW w:type="dxa" w:w="3120"/>
            <w:shd w:fill="F8FAFC"/>
          </w:tcPr>
          <w:p>
            <w:pPr>
              <w:jc w:val="right"/>
            </w:pPr>
            <w:r>
              <w:rPr>
                <w:rFonts w:ascii="Calibri" w:hAnsi="Calibri"/>
                <w:color w:val="1E293B"/>
                <w:sz w:val="20"/>
              </w:rPr>
              <w:t>₦1,000,000</w:t>
            </w:r>
          </w:p>
        </w:tc>
        <w:tc>
          <w:tcPr>
            <w:tcW w:type="dxa" w:w="3120"/>
            <w:shd w:fill="F8FAFC"/>
          </w:tcPr>
          <w:p>
            <w:pPr>
              <w:jc w:val="right"/>
            </w:pPr>
            <w:r>
              <w:rPr>
                <w:rFonts w:ascii="Calibri" w:hAnsi="Calibri"/>
                <w:color w:val="1E293B"/>
                <w:sz w:val="20"/>
              </w:rPr>
              <w:t>7.1%</w:t>
            </w:r>
          </w:p>
        </w:tc>
      </w:tr>
    </w:tbl>
    <w:p>
      <w:pPr>
        <w:spacing w:after="240"/>
      </w:pPr>
    </w:p>
    <w:p>
      <w:pPr>
        <w:spacing w:before="240" w:after="80"/>
      </w:pPr>
      <w:r>
        <w:rPr>
          <w:rFonts w:ascii="Calibri" w:hAnsi="Calibri"/>
          <w:b/>
          <w:color w:val="1E293B"/>
          <w:sz w:val="26"/>
        </w:rPr>
        <w:t>4.2 Capital Sourcing Mix (4 Sourcing Pillars)</w:t>
      </w:r>
    </w:p>
    <w:p>
      <w:pPr>
        <w:spacing w:after="120" w:line="276" w:lineRule="auto"/>
      </w:pPr>
      <w:r>
        <w:rPr>
          <w:rFonts w:ascii="Calibri" w:hAnsi="Calibri"/>
          <w:color w:val="1E293B"/>
          <w:sz w:val="22"/>
        </w:rPr>
        <w:t>Pillar 1: Church Empowerment Fund (25% / ₦3,500,000) - Institutional anchor from church benevolence budget.</w:t>
      </w:r>
    </w:p>
    <w:p>
      <w:pPr>
        <w:spacing w:after="120" w:line="276" w:lineRule="auto"/>
      </w:pPr>
      <w:r>
        <w:rPr>
          <w:rFonts w:ascii="Calibri" w:hAnsi="Calibri"/>
          <w:color w:val="1E293B"/>
          <w:sz w:val="22"/>
        </w:rPr>
        <w:t>Pillar 2: 'Kingdom Angels' Network (36% / ₦5,000,000) - High-net-worth congregation commitments (₦500k-₦1M each).</w:t>
      </w:r>
    </w:p>
    <w:p>
      <w:pPr>
        <w:spacing w:after="120" w:line="276" w:lineRule="auto"/>
      </w:pPr>
      <w:r>
        <w:rPr>
          <w:rFonts w:ascii="Calibri" w:hAnsi="Calibri"/>
          <w:color w:val="1E293B"/>
          <w:sz w:val="22"/>
        </w:rPr>
        <w:t>Pillar 3: Corporate CSR &amp; Sponsorships (32% / ₦4,500,000) - Headline/Gold packages for banks, fintechs, and telecoms.</w:t>
      </w:r>
    </w:p>
    <w:p>
      <w:pPr>
        <w:spacing w:after="120" w:line="276" w:lineRule="auto"/>
      </w:pPr>
      <w:r>
        <w:rPr>
          <w:rFonts w:ascii="Calibri" w:hAnsi="Calibri"/>
          <w:color w:val="1E293B"/>
          <w:sz w:val="22"/>
        </w:rPr>
        <w:t>Pillar 4: Participant Commitment Tokens (7% / ₦1,000,000) - Nominal ₦10,000 application fee.</w:t>
      </w:r>
    </w:p>
    <w:p>
      <w:pPr>
        <w:spacing w:before="360" w:after="160"/>
      </w:pPr>
      <w:r>
        <w:rPr>
          <w:rFonts w:ascii="Calibri" w:hAnsi="Calibri"/>
          <w:b/>
          <w:color w:val="0A192F"/>
          <w:sz w:val="32"/>
        </w:rPr>
        <w:t>5. GOVERNANCE ARCHITECTURE &amp; RETURN ON INVESTMENT</w:t>
      </w:r>
    </w:p>
    <w:p>
      <w:pPr>
        <w:spacing w:after="120" w:line="276" w:lineRule="auto"/>
      </w:pPr>
      <w:r>
        <w:rPr>
          <w:rFonts w:ascii="Calibri" w:hAnsi="Calibri"/>
          <w:color w:val="1E293B"/>
          <w:sz w:val="22"/>
        </w:rPr>
        <w:t>5.1 Governance Framework: Senior Pastoral Advisory Board</w:t>
      </w:r>
    </w:p>
    <w:p>
      <w:pPr>
        <w:spacing w:after="120" w:line="276" w:lineRule="auto"/>
      </w:pPr>
      <w:r>
        <w:rPr>
          <w:rFonts w:ascii="Calibri" w:hAnsi="Calibri"/>
          <w:color w:val="1E293B"/>
          <w:sz w:val="22"/>
        </w:rPr>
        <w:t>The Senior Pastoral Advisory Board holds ultimate governance and ethical oversight. Under the Advisory Board sits the Fund Investment Committee (FIC), comprising senior corporate executives, legal counsel, and finance leaders responsible for pitch scoring and milestone disbursement.</w:t>
      </w:r>
    </w:p>
    <w:p>
      <w:pPr>
        <w:spacing w:before="240" w:after="80"/>
      </w:pPr>
      <w:r>
        <w:rPr>
          <w:rFonts w:ascii="Calibri" w:hAnsi="Calibri"/>
          <w:b/>
          <w:color w:val="1E293B"/>
          <w:sz w:val="26"/>
        </w:rPr>
        <w:t>5.2 Balanced Scorecard &amp; 4-Pillar ROI</w:t>
      </w:r>
    </w:p>
    <w:p>
      <w:pPr>
        <w:spacing w:after="120" w:line="276" w:lineRule="auto"/>
      </w:pPr>
      <w:r>
        <w:rPr>
          <w:rFonts w:ascii="Calibri" w:hAnsi="Calibri"/>
          <w:color w:val="1E293B"/>
          <w:sz w:val="22"/>
        </w:rPr>
        <w:t>Financial ROI: Incremental tithes generated as funded businesses grow (est. ₦6M/yr by Year 3); 10% Revolving Seed Fund payback.</w:t>
      </w:r>
    </w:p>
    <w:p>
      <w:pPr>
        <w:spacing w:after="120" w:line="276" w:lineRule="auto"/>
      </w:pPr>
      <w:r>
        <w:rPr>
          <w:rFonts w:ascii="Calibri" w:hAnsi="Calibri"/>
          <w:color w:val="1E293B"/>
          <w:sz w:val="22"/>
        </w:rPr>
        <w:t>Social ROI: 15–30 direct jobs created in Cohort 1; household income elevation across church families.</w:t>
      </w:r>
    </w:p>
    <w:p>
      <w:pPr>
        <w:spacing w:after="120" w:line="276" w:lineRule="auto"/>
      </w:pPr>
      <w:r>
        <w:rPr>
          <w:rFonts w:ascii="Calibri" w:hAnsi="Calibri"/>
          <w:color w:val="1E293B"/>
          <w:sz w:val="22"/>
        </w:rPr>
        <w:t>Brand ROI: Establishing The Adorned International as a premier socio-economic transformation hub.</w:t>
      </w:r>
    </w:p>
    <w:p>
      <w:pPr>
        <w:spacing w:after="120" w:line="276" w:lineRule="auto"/>
      </w:pPr>
      <w:r>
        <w:rPr>
          <w:rFonts w:ascii="Calibri" w:hAnsi="Calibri"/>
          <w:color w:val="1E293B"/>
          <w:sz w:val="22"/>
        </w:rPr>
        <w:t>Kingdom ROI: Raising ethical business leaders, marketplace evangelism, and community upliftment.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