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b/>
          <w:color w:val="64748B"/>
          <w:sz w:val="28"/>
        </w:rPr>
        <w:t>CYBERION DEFENSE LABS</w:t>
        <w:br/>
      </w:r>
      <w:r>
        <w:rPr>
          <w:color w:val="94A3B8"/>
          <w:sz w:val="22"/>
        </w:rPr>
        <w:t>Managed Security Services | Detection Engineering &amp; Threat Hunting Practice</w:t>
        <w:br/>
        <w:br/>
      </w:r>
      <w:r>
        <w:rPr>
          <w:b/>
          <w:color w:val="0F172A"/>
          <w:sz w:val="48"/>
        </w:rPr>
        <w:t>PRODUCT REQUIREMENTS &amp; TECHNICAL DELIVERABLES REPORT</w:t>
        <w:br/>
      </w:r>
      <w:r>
        <w:rPr>
          <w:b/>
          <w:color w:val="0284C7"/>
          <w:sz w:val="28"/>
        </w:rPr>
        <w:t>Detection Engineering, Threat Hunting, and Incident Response Engagement</w:t>
        <w:br/>
      </w:r>
    </w:p>
    <w:p>
      <w:pPr>
        <w:spacing w:after="600"/>
      </w:pPr>
    </w:p>
    <w:tbl>
      <w:tblPr>
        <w:tblW w:type="auto" w:w="0"/>
        <w:tblLook w:firstColumn="1" w:firstRow="1" w:lastColumn="0" w:lastRow="0" w:noHBand="0" w:noVBand="1" w:val="04A0"/>
      </w:tblPr>
      <w:tblGrid>
        <w:gridCol w:w="3168"/>
        <w:gridCol w:w="6192"/>
      </w:tblGrid>
      <w:tr>
        <w:tc>
          <w:tcPr>
            <w:tcW w:type="dxa" w:w="4680"/>
            <w:shd w:fill="F1F5F9"/>
            <w:tcMar>
              <w:top w:w="80" w:type="dxa"/>
              <w:bottom w:w="80" w:type="dxa"/>
              <w:left w:w="120" w:type="dxa"/>
              <w:right w:w="120" w:type="dxa"/>
            </w:tcMar>
          </w:tcPr>
          <w:p>
            <w:r>
              <w:rPr>
                <w:b/>
                <w:sz w:val="19"/>
              </w:rPr>
              <w:t>Project Code</w:t>
            </w:r>
          </w:p>
        </w:tc>
        <w:tc>
          <w:tcPr>
            <w:tcW w:type="dxa" w:w="4680"/>
            <w:shd w:fill="FFFFFF"/>
            <w:tcMar>
              <w:top w:w="80" w:type="dxa"/>
              <w:bottom w:w="80" w:type="dxa"/>
              <w:left w:w="120" w:type="dxa"/>
              <w:right w:w="120" w:type="dxa"/>
            </w:tcMar>
          </w:tcPr>
          <w:p>
            <w:r>
              <w:rPr>
                <w:sz w:val="19"/>
              </w:rPr>
              <w:t>CDL-DET-V2</w:t>
            </w:r>
          </w:p>
        </w:tc>
      </w:tr>
      <w:tr>
        <w:tc>
          <w:tcPr>
            <w:tcW w:type="dxa" w:w="4680"/>
            <w:shd w:fill="F1F5F9"/>
            <w:tcMar>
              <w:top w:w="80" w:type="dxa"/>
              <w:bottom w:w="80" w:type="dxa"/>
              <w:left w:w="120" w:type="dxa"/>
              <w:right w:w="120" w:type="dxa"/>
            </w:tcMar>
          </w:tcPr>
          <w:p>
            <w:r>
              <w:rPr>
                <w:b/>
                <w:sz w:val="19"/>
              </w:rPr>
              <w:t>Classification</w:t>
            </w:r>
          </w:p>
        </w:tc>
        <w:tc>
          <w:tcPr>
            <w:tcW w:type="dxa" w:w="4680"/>
            <w:shd w:fill="FFFFFF"/>
            <w:tcMar>
              <w:top w:w="80" w:type="dxa"/>
              <w:bottom w:w="80" w:type="dxa"/>
              <w:left w:w="120" w:type="dxa"/>
              <w:right w:w="120" w:type="dxa"/>
            </w:tcMar>
          </w:tcPr>
          <w:p>
            <w:r>
              <w:rPr>
                <w:sz w:val="19"/>
              </w:rPr>
              <w:t>Internal Security Operations Deliverables — Engineering Track</w:t>
            </w:r>
          </w:p>
        </w:tc>
      </w:tr>
      <w:tr>
        <w:tc>
          <w:tcPr>
            <w:tcW w:type="dxa" w:w="4680"/>
            <w:shd w:fill="F1F5F9"/>
            <w:tcMar>
              <w:top w:w="80" w:type="dxa"/>
              <w:bottom w:w="80" w:type="dxa"/>
              <w:left w:w="120" w:type="dxa"/>
              <w:right w:w="120" w:type="dxa"/>
            </w:tcMar>
          </w:tcPr>
          <w:p>
            <w:r>
              <w:rPr>
                <w:b/>
                <w:sz w:val="19"/>
              </w:rPr>
              <w:t>Difficulty &amp; Track</w:t>
            </w:r>
          </w:p>
        </w:tc>
        <w:tc>
          <w:tcPr>
            <w:tcW w:type="dxa" w:w="4680"/>
            <w:shd w:fill="FFFFFF"/>
            <w:tcMar>
              <w:top w:w="80" w:type="dxa"/>
              <w:bottom w:w="80" w:type="dxa"/>
              <w:left w:w="120" w:type="dxa"/>
              <w:right w:w="120" w:type="dxa"/>
            </w:tcMar>
          </w:tcPr>
          <w:p>
            <w:r>
              <w:rPr>
                <w:sz w:val="19"/>
              </w:rPr>
              <w:t>Advanced / Intermediate — Single Analyst/Engineer Sprint</w:t>
            </w:r>
          </w:p>
        </w:tc>
      </w:tr>
      <w:tr>
        <w:tc>
          <w:tcPr>
            <w:tcW w:type="dxa" w:w="4680"/>
            <w:shd w:fill="F1F5F9"/>
            <w:tcMar>
              <w:top w:w="80" w:type="dxa"/>
              <w:bottom w:w="80" w:type="dxa"/>
              <w:left w:w="120" w:type="dxa"/>
              <w:right w:w="120" w:type="dxa"/>
            </w:tcMar>
          </w:tcPr>
          <w:p>
            <w:r>
              <w:rPr>
                <w:b/>
                <w:sz w:val="19"/>
              </w:rPr>
              <w:t>Document Owner</w:t>
            </w:r>
          </w:p>
        </w:tc>
        <w:tc>
          <w:tcPr>
            <w:tcW w:type="dxa" w:w="4680"/>
            <w:shd w:fill="FFFFFF"/>
            <w:tcMar>
              <w:top w:w="80" w:type="dxa"/>
              <w:bottom w:w="80" w:type="dxa"/>
              <w:left w:w="120" w:type="dxa"/>
              <w:right w:w="120" w:type="dxa"/>
            </w:tcMar>
          </w:tcPr>
          <w:p>
            <w:r>
              <w:rPr>
                <w:sz w:val="19"/>
              </w:rPr>
              <w:t>Detection Engineering &amp; Threat Intelligence Practice</w:t>
            </w:r>
          </w:p>
        </w:tc>
      </w:tr>
      <w:tr>
        <w:tc>
          <w:tcPr>
            <w:tcW w:type="dxa" w:w="4680"/>
            <w:shd w:fill="F1F5F9"/>
            <w:tcMar>
              <w:top w:w="80" w:type="dxa"/>
              <w:bottom w:w="80" w:type="dxa"/>
              <w:left w:w="120" w:type="dxa"/>
              <w:right w:w="120" w:type="dxa"/>
            </w:tcMar>
          </w:tcPr>
          <w:p>
            <w:r>
              <w:rPr>
                <w:b/>
                <w:sz w:val="19"/>
              </w:rPr>
              <w:t>Deliverables Completed</w:t>
            </w:r>
          </w:p>
        </w:tc>
        <w:tc>
          <w:tcPr>
            <w:tcW w:type="dxa" w:w="4680"/>
            <w:shd w:fill="FFFFFF"/>
            <w:tcMar>
              <w:top w:w="80" w:type="dxa"/>
              <w:bottom w:w="80" w:type="dxa"/>
              <w:left w:w="120" w:type="dxa"/>
              <w:right w:w="120" w:type="dxa"/>
            </w:tcMar>
          </w:tcPr>
          <w:p>
            <w:r>
              <w:rPr>
                <w:sz w:val="19"/>
              </w:rPr>
              <w:t>34 / 34 Mandatory &amp; Advanced Stretch Deliverables Verified</w:t>
            </w:r>
          </w:p>
        </w:tc>
      </w:tr>
      <w:tr>
        <w:tc>
          <w:tcPr>
            <w:tcW w:type="dxa" w:w="4680"/>
            <w:shd w:fill="F1F5F9"/>
            <w:tcMar>
              <w:top w:w="80" w:type="dxa"/>
              <w:bottom w:w="80" w:type="dxa"/>
              <w:left w:w="120" w:type="dxa"/>
              <w:right w:w="120" w:type="dxa"/>
            </w:tcMar>
          </w:tcPr>
          <w:p>
            <w:r>
              <w:rPr>
                <w:b/>
                <w:sz w:val="19"/>
              </w:rPr>
              <w:t>Release Version &amp; Tag</w:t>
            </w:r>
          </w:p>
        </w:tc>
        <w:tc>
          <w:tcPr>
            <w:tcW w:type="dxa" w:w="4680"/>
            <w:shd w:fill="FFFFFF"/>
            <w:tcMar>
              <w:top w:w="80" w:type="dxa"/>
              <w:bottom w:w="80" w:type="dxa"/>
              <w:left w:w="120" w:type="dxa"/>
              <w:right w:w="120" w:type="dxa"/>
            </w:tcMar>
          </w:tcPr>
          <w:p>
            <w:r>
              <w:rPr>
                <w:sz w:val="19"/>
              </w:rPr>
              <w:t>Version 2.0 (Git Tag: v1.0.0-final)</w:t>
            </w:r>
          </w:p>
        </w:tc>
      </w:tr>
    </w:tbl>
    <w:p>
      <w:r>
        <w:br w:type="page"/>
      </w:r>
    </w:p>
    <w:p>
      <w:pPr>
        <w:pStyle w:val="Heading1"/>
        <w:spacing w:before="280" w:after="120"/>
      </w:pPr>
      <w:r>
        <w:rPr>
          <w:b/>
          <w:color w:val="0F172A"/>
          <w:sz w:val="40"/>
        </w:rPr>
        <w:t>1. Executive Summary &amp; Engagement Context</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Executive Mandate</w:t>
              <w:br/>
            </w:r>
            <w:r>
              <w:rPr>
                <w:color w:val="1E293B"/>
                <w:sz w:val="19"/>
              </w:rPr>
              <w:t>Cyberion Defense Labs is a managed security service provider (MSSP) supporting clients across financial services, healthcare, and e-commerce. This project modernizes the SOC detection lifecycle by eliminating ad-hoc tribal knowledge and delivering a documented, defensible, and version-controlled library of 18 Sigma detection rules mapped to MITRE ATT&amp;CK, 2 structured threat hunts, 2 full incident case investigations, and 3 operational playbooks.</w:t>
            </w:r>
          </w:p>
        </w:tc>
      </w:tr>
    </w:tbl>
    <w:p>
      <w:pPr>
        <w:spacing w:after="80"/>
      </w:pPr>
    </w:p>
    <w:p>
      <w:r>
        <w:t>Historically, SOC detection logic was authored informally, maintained in unstructured documents, and lacked empirical mapping to recognized attack frameworks. Coverage gaps remained invisible until live incidents exposed vulnerabilities. Over a structured 4-week delivery sprint, Cyberion achieved 100% of defined success criteria, elevating detection coverage against real attacker telemetry and reducing baseline false alerts by 99.6%.</w:t>
      </w:r>
    </w:p>
    <w:p>
      <w:pPr>
        <w:pStyle w:val="Heading2"/>
        <w:spacing w:before="280" w:after="120"/>
      </w:pPr>
      <w:r>
        <w:rPr>
          <w:b/>
          <w:color w:val="0284C7"/>
          <w:sz w:val="30"/>
        </w:rPr>
        <w:t>Key Performance Indicators (Sprint Overview)</w:t>
      </w:r>
    </w:p>
    <w:tbl>
      <w:tblPr>
        <w:tblW w:type="auto" w:w="0"/>
        <w:tblLook w:firstColumn="1" w:firstRow="1" w:lastColumn="0" w:lastRow="0" w:noHBand="0" w:noVBand="1" w:val="04A0"/>
      </w:tblPr>
      <w:tblGrid>
        <w:gridCol w:w="2340"/>
        <w:gridCol w:w="2340"/>
        <w:gridCol w:w="2340"/>
        <w:gridCol w:w="2340"/>
      </w:tblGrid>
      <w:tr>
        <w:tc>
          <w:tcPr>
            <w:tcW w:type="dxa" w:w="3168"/>
            <w:shd w:fill="0F172A"/>
            <w:tcMar>
              <w:top w:w="120" w:type="dxa"/>
              <w:bottom w:w="120" w:type="dxa"/>
              <w:left w:w="140" w:type="dxa"/>
              <w:right w:w="140" w:type="dxa"/>
            </w:tcMar>
          </w:tcPr>
          <w:p>
            <w:pPr>
              <w:spacing w:before="40" w:after="40"/>
              <w:jc w:val="left"/>
            </w:pPr>
            <w:r>
              <w:rPr>
                <w:b/>
                <w:color w:val="FFFFFF"/>
                <w:sz w:val="18"/>
              </w:rPr>
              <w:t>Metric Description</w:t>
            </w:r>
          </w:p>
        </w:tc>
        <w:tc>
          <w:tcPr>
            <w:tcW w:type="dxa" w:w="2016"/>
            <w:shd w:fill="0F172A"/>
            <w:tcMar>
              <w:top w:w="120" w:type="dxa"/>
              <w:bottom w:w="120" w:type="dxa"/>
              <w:left w:w="140" w:type="dxa"/>
              <w:right w:w="140" w:type="dxa"/>
            </w:tcMar>
          </w:tcPr>
          <w:p>
            <w:pPr>
              <w:spacing w:before="40" w:after="40"/>
              <w:jc w:val="left"/>
            </w:pPr>
            <w:r>
              <w:rPr>
                <w:b/>
                <w:color w:val="FFFFFF"/>
                <w:sz w:val="18"/>
              </w:rPr>
              <w:t>Baseline</w:t>
            </w:r>
          </w:p>
        </w:tc>
        <w:tc>
          <w:tcPr>
            <w:tcW w:type="dxa" w:w="2016"/>
            <w:shd w:fill="0F172A"/>
            <w:tcMar>
              <w:top w:w="120" w:type="dxa"/>
              <w:bottom w:w="120" w:type="dxa"/>
              <w:left w:w="140" w:type="dxa"/>
              <w:right w:w="140" w:type="dxa"/>
            </w:tcMar>
          </w:tcPr>
          <w:p>
            <w:pPr>
              <w:spacing w:before="40" w:after="40"/>
              <w:jc w:val="left"/>
            </w:pPr>
            <w:r>
              <w:rPr>
                <w:b/>
                <w:color w:val="FFFFFF"/>
                <w:sz w:val="18"/>
              </w:rPr>
              <w:t>PRD Target</w:t>
            </w:r>
          </w:p>
        </w:tc>
        <w:tc>
          <w:tcPr>
            <w:tcW w:type="dxa" w:w="2160"/>
            <w:shd w:fill="0F172A"/>
            <w:tcMar>
              <w:top w:w="120" w:type="dxa"/>
              <w:bottom w:w="120" w:type="dxa"/>
              <w:left w:w="140" w:type="dxa"/>
              <w:right w:w="140" w:type="dxa"/>
            </w:tcMar>
          </w:tcPr>
          <w:p>
            <w:pPr>
              <w:spacing w:before="40" w:after="40"/>
              <w:jc w:val="left"/>
            </w:pPr>
            <w:r>
              <w:rPr>
                <w:b/>
                <w:color w:val="FFFFFF"/>
                <w:sz w:val="18"/>
              </w:rPr>
              <w:t>Delivered Result</w:t>
            </w:r>
          </w:p>
        </w:tc>
      </w:tr>
      <w:tr>
        <w:tc>
          <w:tcPr>
            <w:tcW w:type="dxa" w:w="3168"/>
            <w:shd w:fill="FFFFFF"/>
            <w:tcMar>
              <w:top w:w="80" w:type="dxa"/>
              <w:bottom w:w="80" w:type="dxa"/>
              <w:left w:w="120" w:type="dxa"/>
              <w:right w:w="120" w:type="dxa"/>
            </w:tcMar>
          </w:tcPr>
          <w:p>
            <w:pPr>
              <w:spacing w:before="40" w:after="40"/>
            </w:pPr>
            <w:r>
              <w:rPr>
                <w:color w:val="1E293B"/>
                <w:sz w:val="17"/>
              </w:rPr>
              <w:t>Production Sigma Rules</w:t>
            </w:r>
          </w:p>
        </w:tc>
        <w:tc>
          <w:tcPr>
            <w:tcW w:type="dxa" w:w="2016"/>
            <w:shd w:fill="FFFFFF"/>
            <w:tcMar>
              <w:top w:w="80" w:type="dxa"/>
              <w:bottom w:w="80" w:type="dxa"/>
              <w:left w:w="120" w:type="dxa"/>
              <w:right w:w="120" w:type="dxa"/>
            </w:tcMar>
          </w:tcPr>
          <w:p>
            <w:pPr>
              <w:spacing w:before="40" w:after="40"/>
            </w:pPr>
            <w:r>
              <w:rPr>
                <w:color w:val="1E293B"/>
                <w:sz w:val="17"/>
              </w:rPr>
              <w:t>0 (Ad-hoc)</w:t>
            </w:r>
          </w:p>
        </w:tc>
        <w:tc>
          <w:tcPr>
            <w:tcW w:type="dxa" w:w="2016"/>
            <w:shd w:fill="FFFFFF"/>
            <w:tcMar>
              <w:top w:w="80" w:type="dxa"/>
              <w:bottom w:w="80" w:type="dxa"/>
              <w:left w:w="120" w:type="dxa"/>
              <w:right w:w="120" w:type="dxa"/>
            </w:tcMar>
          </w:tcPr>
          <w:p>
            <w:pPr>
              <w:spacing w:before="40" w:after="40"/>
            </w:pPr>
            <w:r>
              <w:rPr>
                <w:color w:val="1E293B"/>
                <w:sz w:val="17"/>
              </w:rPr>
              <w:t>15+ Rules</w:t>
            </w:r>
          </w:p>
        </w:tc>
        <w:tc>
          <w:tcPr>
            <w:tcW w:type="dxa" w:w="2160"/>
            <w:shd w:fill="FFFFFF"/>
            <w:tcMar>
              <w:top w:w="80" w:type="dxa"/>
              <w:bottom w:w="80" w:type="dxa"/>
              <w:left w:w="120" w:type="dxa"/>
              <w:right w:w="120" w:type="dxa"/>
            </w:tcMar>
          </w:tcPr>
          <w:p>
            <w:pPr>
              <w:spacing w:before="40" w:after="40"/>
            </w:pPr>
            <w:r>
              <w:rPr>
                <w:color w:val="1E293B"/>
                <w:sz w:val="17"/>
              </w:rPr>
              <w:t>18 Rules (Exceeded)</w:t>
            </w:r>
          </w:p>
        </w:tc>
      </w:tr>
      <w:tr>
        <w:tc>
          <w:tcPr>
            <w:tcW w:type="dxa" w:w="3168"/>
            <w:shd w:fill="F8FAFC"/>
            <w:tcMar>
              <w:top w:w="80" w:type="dxa"/>
              <w:bottom w:w="80" w:type="dxa"/>
              <w:left w:w="120" w:type="dxa"/>
              <w:right w:w="120" w:type="dxa"/>
            </w:tcMar>
          </w:tcPr>
          <w:p>
            <w:pPr>
              <w:spacing w:before="40" w:after="40"/>
            </w:pPr>
            <w:r>
              <w:rPr>
                <w:color w:val="1E293B"/>
                <w:sz w:val="17"/>
              </w:rPr>
              <w:t>Correlation-Style Rules</w:t>
            </w:r>
          </w:p>
        </w:tc>
        <w:tc>
          <w:tcPr>
            <w:tcW w:type="dxa" w:w="2016"/>
            <w:shd w:fill="F8FAFC"/>
            <w:tcMar>
              <w:top w:w="80" w:type="dxa"/>
              <w:bottom w:w="80" w:type="dxa"/>
              <w:left w:w="120" w:type="dxa"/>
              <w:right w:w="120" w:type="dxa"/>
            </w:tcMar>
          </w:tcPr>
          <w:p>
            <w:pPr>
              <w:spacing w:before="40" w:after="40"/>
            </w:pPr>
            <w:r>
              <w:rPr>
                <w:color w:val="1E293B"/>
                <w:sz w:val="17"/>
              </w:rPr>
              <w:t>0</w:t>
            </w:r>
          </w:p>
        </w:tc>
        <w:tc>
          <w:tcPr>
            <w:tcW w:type="dxa" w:w="2016"/>
            <w:shd w:fill="F8FAFC"/>
            <w:tcMar>
              <w:top w:w="80" w:type="dxa"/>
              <w:bottom w:w="80" w:type="dxa"/>
              <w:left w:w="120" w:type="dxa"/>
              <w:right w:w="120" w:type="dxa"/>
            </w:tcMar>
          </w:tcPr>
          <w:p>
            <w:pPr>
              <w:spacing w:before="40" w:after="40"/>
            </w:pPr>
            <w:r>
              <w:rPr>
                <w:color w:val="1E293B"/>
                <w:sz w:val="17"/>
              </w:rPr>
              <w:t>&gt;= 3 Rules</w:t>
            </w:r>
          </w:p>
        </w:tc>
        <w:tc>
          <w:tcPr>
            <w:tcW w:type="dxa" w:w="2160"/>
            <w:shd w:fill="F8FAFC"/>
            <w:tcMar>
              <w:top w:w="80" w:type="dxa"/>
              <w:bottom w:w="80" w:type="dxa"/>
              <w:left w:w="120" w:type="dxa"/>
              <w:right w:w="120" w:type="dxa"/>
            </w:tcMar>
          </w:tcPr>
          <w:p>
            <w:pPr>
              <w:spacing w:before="40" w:after="40"/>
            </w:pPr>
            <w:r>
              <w:rPr>
                <w:color w:val="1E293B"/>
                <w:sz w:val="17"/>
              </w:rPr>
              <w:t>3 Rules (Met)</w:t>
            </w:r>
          </w:p>
        </w:tc>
      </w:tr>
      <w:tr>
        <w:tc>
          <w:tcPr>
            <w:tcW w:type="dxa" w:w="3168"/>
            <w:shd w:fill="FFFFFF"/>
            <w:tcMar>
              <w:top w:w="80" w:type="dxa"/>
              <w:bottom w:w="80" w:type="dxa"/>
              <w:left w:w="120" w:type="dxa"/>
              <w:right w:w="120" w:type="dxa"/>
            </w:tcMar>
          </w:tcPr>
          <w:p>
            <w:pPr>
              <w:spacing w:before="40" w:after="40"/>
            </w:pPr>
            <w:r>
              <w:rPr>
                <w:color w:val="1E293B"/>
                <w:sz w:val="17"/>
              </w:rPr>
              <w:t>ATT&amp;CK Techniques Assessed</w:t>
            </w:r>
          </w:p>
        </w:tc>
        <w:tc>
          <w:tcPr>
            <w:tcW w:type="dxa" w:w="2016"/>
            <w:shd w:fill="FFFFFF"/>
            <w:tcMar>
              <w:top w:w="80" w:type="dxa"/>
              <w:bottom w:w="80" w:type="dxa"/>
              <w:left w:w="120" w:type="dxa"/>
              <w:right w:w="120" w:type="dxa"/>
            </w:tcMar>
          </w:tcPr>
          <w:p>
            <w:pPr>
              <w:spacing w:before="40" w:after="40"/>
            </w:pPr>
            <w:r>
              <w:rPr>
                <w:color w:val="1E293B"/>
                <w:sz w:val="17"/>
              </w:rPr>
              <w:t>0</w:t>
            </w:r>
          </w:p>
        </w:tc>
        <w:tc>
          <w:tcPr>
            <w:tcW w:type="dxa" w:w="2016"/>
            <w:shd w:fill="FFFFFF"/>
            <w:tcMar>
              <w:top w:w="80" w:type="dxa"/>
              <w:bottom w:w="80" w:type="dxa"/>
              <w:left w:w="120" w:type="dxa"/>
              <w:right w:w="120" w:type="dxa"/>
            </w:tcMar>
          </w:tcPr>
          <w:p>
            <w:pPr>
              <w:spacing w:before="40" w:after="40"/>
            </w:pPr>
            <w:r>
              <w:rPr>
                <w:color w:val="1E293B"/>
                <w:sz w:val="17"/>
              </w:rPr>
              <w:t>&gt;= 20 Tech.</w:t>
            </w:r>
          </w:p>
        </w:tc>
        <w:tc>
          <w:tcPr>
            <w:tcW w:type="dxa" w:w="2160"/>
            <w:shd w:fill="FFFFFF"/>
            <w:tcMar>
              <w:top w:w="80" w:type="dxa"/>
              <w:bottom w:w="80" w:type="dxa"/>
              <w:left w:w="120" w:type="dxa"/>
              <w:right w:w="120" w:type="dxa"/>
            </w:tcMar>
          </w:tcPr>
          <w:p>
            <w:pPr>
              <w:spacing w:before="40" w:after="40"/>
            </w:pPr>
            <w:r>
              <w:rPr>
                <w:color w:val="1E293B"/>
                <w:sz w:val="17"/>
              </w:rPr>
              <w:t>26 Tech. across 9 Tactics</w:t>
            </w:r>
          </w:p>
        </w:tc>
      </w:tr>
      <w:tr>
        <w:tc>
          <w:tcPr>
            <w:tcW w:type="dxa" w:w="3168"/>
            <w:shd w:fill="F8FAFC"/>
            <w:tcMar>
              <w:top w:w="80" w:type="dxa"/>
              <w:bottom w:w="80" w:type="dxa"/>
              <w:left w:w="120" w:type="dxa"/>
              <w:right w:w="120" w:type="dxa"/>
            </w:tcMar>
          </w:tcPr>
          <w:p>
            <w:pPr>
              <w:spacing w:before="40" w:after="40"/>
            </w:pPr>
            <w:r>
              <w:rPr>
                <w:color w:val="1E293B"/>
                <w:sz w:val="17"/>
              </w:rPr>
              <w:t>Overall ATT&amp;CK Coverage Rate</w:t>
            </w:r>
          </w:p>
        </w:tc>
        <w:tc>
          <w:tcPr>
            <w:tcW w:type="dxa" w:w="2016"/>
            <w:shd w:fill="F8FAFC"/>
            <w:tcMar>
              <w:top w:w="80" w:type="dxa"/>
              <w:bottom w:w="80" w:type="dxa"/>
              <w:left w:w="120" w:type="dxa"/>
              <w:right w:w="120" w:type="dxa"/>
            </w:tcMar>
          </w:tcPr>
          <w:p>
            <w:pPr>
              <w:spacing w:before="40" w:after="40"/>
            </w:pPr>
            <w:r>
              <w:rPr>
                <w:color w:val="1E293B"/>
                <w:sz w:val="17"/>
              </w:rPr>
              <w:t>~12% Est.</w:t>
            </w:r>
          </w:p>
        </w:tc>
        <w:tc>
          <w:tcPr>
            <w:tcW w:type="dxa" w:w="2016"/>
            <w:shd w:fill="F8FAFC"/>
            <w:tcMar>
              <w:top w:w="80" w:type="dxa"/>
              <w:bottom w:w="80" w:type="dxa"/>
              <w:left w:w="120" w:type="dxa"/>
              <w:right w:w="120" w:type="dxa"/>
            </w:tcMar>
          </w:tcPr>
          <w:p>
            <w:pPr>
              <w:spacing w:before="40" w:after="40"/>
            </w:pPr>
            <w:r>
              <w:rPr>
                <w:color w:val="1E293B"/>
                <w:sz w:val="17"/>
              </w:rPr>
              <w:t>&gt; 70%</w:t>
            </w:r>
          </w:p>
        </w:tc>
        <w:tc>
          <w:tcPr>
            <w:tcW w:type="dxa" w:w="2160"/>
            <w:shd w:fill="F8FAFC"/>
            <w:tcMar>
              <w:top w:w="80" w:type="dxa"/>
              <w:bottom w:w="80" w:type="dxa"/>
              <w:left w:w="120" w:type="dxa"/>
              <w:right w:w="120" w:type="dxa"/>
            </w:tcMar>
          </w:tcPr>
          <w:p>
            <w:pPr>
              <w:spacing w:before="40" w:after="40"/>
            </w:pPr>
            <w:r>
              <w:rPr>
                <w:color w:val="1E293B"/>
                <w:sz w:val="17"/>
              </w:rPr>
              <w:t>96.1% (Covered/Partial)</w:t>
            </w:r>
          </w:p>
        </w:tc>
      </w:tr>
      <w:tr>
        <w:tc>
          <w:tcPr>
            <w:tcW w:type="dxa" w:w="3168"/>
            <w:shd w:fill="FFFFFF"/>
            <w:tcMar>
              <w:top w:w="80" w:type="dxa"/>
              <w:bottom w:w="80" w:type="dxa"/>
              <w:left w:w="120" w:type="dxa"/>
              <w:right w:w="120" w:type="dxa"/>
            </w:tcMar>
          </w:tcPr>
          <w:p>
            <w:pPr>
              <w:spacing w:before="40" w:after="40"/>
            </w:pPr>
            <w:r>
              <w:rPr>
                <w:color w:val="1E293B"/>
                <w:sz w:val="17"/>
              </w:rPr>
              <w:t>Structured Threat Hunts</w:t>
            </w:r>
          </w:p>
        </w:tc>
        <w:tc>
          <w:tcPr>
            <w:tcW w:type="dxa" w:w="2016"/>
            <w:shd w:fill="FFFFFF"/>
            <w:tcMar>
              <w:top w:w="80" w:type="dxa"/>
              <w:bottom w:w="80" w:type="dxa"/>
              <w:left w:w="120" w:type="dxa"/>
              <w:right w:w="120" w:type="dxa"/>
            </w:tcMar>
          </w:tcPr>
          <w:p>
            <w:pPr>
              <w:spacing w:before="40" w:after="40"/>
            </w:pPr>
            <w:r>
              <w:rPr>
                <w:color w:val="1E293B"/>
                <w:sz w:val="17"/>
              </w:rPr>
              <w:t>0</w:t>
            </w:r>
          </w:p>
        </w:tc>
        <w:tc>
          <w:tcPr>
            <w:tcW w:type="dxa" w:w="2016"/>
            <w:shd w:fill="FFFFFF"/>
            <w:tcMar>
              <w:top w:w="80" w:type="dxa"/>
              <w:bottom w:w="80" w:type="dxa"/>
              <w:left w:w="120" w:type="dxa"/>
              <w:right w:w="120" w:type="dxa"/>
            </w:tcMar>
          </w:tcPr>
          <w:p>
            <w:pPr>
              <w:spacing w:before="40" w:after="40"/>
            </w:pPr>
            <w:r>
              <w:rPr>
                <w:color w:val="1E293B"/>
                <w:sz w:val="17"/>
              </w:rPr>
              <w:t>&gt;= 2 Hunts</w:t>
            </w:r>
          </w:p>
        </w:tc>
        <w:tc>
          <w:tcPr>
            <w:tcW w:type="dxa" w:w="2160"/>
            <w:shd w:fill="FFFFFF"/>
            <w:tcMar>
              <w:top w:w="80" w:type="dxa"/>
              <w:bottom w:w="80" w:type="dxa"/>
              <w:left w:w="120" w:type="dxa"/>
              <w:right w:w="120" w:type="dxa"/>
            </w:tcMar>
          </w:tcPr>
          <w:p>
            <w:pPr>
              <w:spacing w:before="40" w:after="40"/>
            </w:pPr>
            <w:r>
              <w:rPr>
                <w:color w:val="1E293B"/>
                <w:sz w:val="17"/>
              </w:rPr>
              <w:t>2 Hunts (100% Confirmed)</w:t>
            </w:r>
          </w:p>
        </w:tc>
      </w:tr>
      <w:tr>
        <w:tc>
          <w:tcPr>
            <w:tcW w:type="dxa" w:w="3168"/>
            <w:shd w:fill="F8FAFC"/>
            <w:tcMar>
              <w:top w:w="80" w:type="dxa"/>
              <w:bottom w:w="80" w:type="dxa"/>
              <w:left w:w="120" w:type="dxa"/>
              <w:right w:w="120" w:type="dxa"/>
            </w:tcMar>
          </w:tcPr>
          <w:p>
            <w:pPr>
              <w:spacing w:before="40" w:after="40"/>
            </w:pPr>
            <w:r>
              <w:rPr>
                <w:color w:val="1E293B"/>
                <w:sz w:val="17"/>
              </w:rPr>
              <w:t>Full Incident Case Reports</w:t>
            </w:r>
          </w:p>
        </w:tc>
        <w:tc>
          <w:tcPr>
            <w:tcW w:type="dxa" w:w="2016"/>
            <w:shd w:fill="F8FAFC"/>
            <w:tcMar>
              <w:top w:w="80" w:type="dxa"/>
              <w:bottom w:w="80" w:type="dxa"/>
              <w:left w:w="120" w:type="dxa"/>
              <w:right w:w="120" w:type="dxa"/>
            </w:tcMar>
          </w:tcPr>
          <w:p>
            <w:pPr>
              <w:spacing w:before="40" w:after="40"/>
            </w:pPr>
            <w:r>
              <w:rPr>
                <w:color w:val="1E293B"/>
                <w:sz w:val="17"/>
              </w:rPr>
              <w:t>0</w:t>
            </w:r>
          </w:p>
        </w:tc>
        <w:tc>
          <w:tcPr>
            <w:tcW w:type="dxa" w:w="2016"/>
            <w:shd w:fill="F8FAFC"/>
            <w:tcMar>
              <w:top w:w="80" w:type="dxa"/>
              <w:bottom w:w="80" w:type="dxa"/>
              <w:left w:w="120" w:type="dxa"/>
              <w:right w:w="120" w:type="dxa"/>
            </w:tcMar>
          </w:tcPr>
          <w:p>
            <w:pPr>
              <w:spacing w:before="40" w:after="40"/>
            </w:pPr>
            <w:r>
              <w:rPr>
                <w:color w:val="1E293B"/>
                <w:sz w:val="17"/>
              </w:rPr>
              <w:t>&gt;= 2 Cases</w:t>
            </w:r>
          </w:p>
        </w:tc>
        <w:tc>
          <w:tcPr>
            <w:tcW w:type="dxa" w:w="2160"/>
            <w:shd w:fill="F8FAFC"/>
            <w:tcMar>
              <w:top w:w="80" w:type="dxa"/>
              <w:bottom w:w="80" w:type="dxa"/>
              <w:left w:w="120" w:type="dxa"/>
              <w:right w:w="120" w:type="dxa"/>
            </w:tcMar>
          </w:tcPr>
          <w:p>
            <w:pPr>
              <w:spacing w:before="40" w:after="40"/>
            </w:pPr>
            <w:r>
              <w:rPr>
                <w:color w:val="1E293B"/>
                <w:sz w:val="17"/>
              </w:rPr>
              <w:t>2 Cases (True Positives)</w:t>
            </w:r>
          </w:p>
        </w:tc>
      </w:tr>
      <w:tr>
        <w:tc>
          <w:tcPr>
            <w:tcW w:type="dxa" w:w="3168"/>
            <w:shd w:fill="FFFFFF"/>
            <w:tcMar>
              <w:top w:w="80" w:type="dxa"/>
              <w:bottom w:w="80" w:type="dxa"/>
              <w:left w:w="120" w:type="dxa"/>
              <w:right w:w="120" w:type="dxa"/>
            </w:tcMar>
          </w:tcPr>
          <w:p>
            <w:pPr>
              <w:spacing w:before="40" w:after="40"/>
            </w:pPr>
            <w:r>
              <w:rPr>
                <w:color w:val="1E293B"/>
                <w:sz w:val="17"/>
              </w:rPr>
              <w:t>Incident Response Playbooks</w:t>
            </w:r>
          </w:p>
        </w:tc>
        <w:tc>
          <w:tcPr>
            <w:tcW w:type="dxa" w:w="2016"/>
            <w:shd w:fill="FFFFFF"/>
            <w:tcMar>
              <w:top w:w="80" w:type="dxa"/>
              <w:bottom w:w="80" w:type="dxa"/>
              <w:left w:w="120" w:type="dxa"/>
              <w:right w:w="120" w:type="dxa"/>
            </w:tcMar>
          </w:tcPr>
          <w:p>
            <w:pPr>
              <w:spacing w:before="40" w:after="40"/>
            </w:pPr>
            <w:r>
              <w:rPr>
                <w:color w:val="1E293B"/>
                <w:sz w:val="17"/>
              </w:rPr>
              <w:t>0</w:t>
            </w:r>
          </w:p>
        </w:tc>
        <w:tc>
          <w:tcPr>
            <w:tcW w:type="dxa" w:w="2016"/>
            <w:shd w:fill="FFFFFF"/>
            <w:tcMar>
              <w:top w:w="80" w:type="dxa"/>
              <w:bottom w:w="80" w:type="dxa"/>
              <w:left w:w="120" w:type="dxa"/>
              <w:right w:w="120" w:type="dxa"/>
            </w:tcMar>
          </w:tcPr>
          <w:p>
            <w:pPr>
              <w:spacing w:before="40" w:after="40"/>
            </w:pPr>
            <w:r>
              <w:rPr>
                <w:color w:val="1E293B"/>
                <w:sz w:val="17"/>
              </w:rPr>
              <w:t>&gt;= 3 Playbooks</w:t>
            </w:r>
          </w:p>
        </w:tc>
        <w:tc>
          <w:tcPr>
            <w:tcW w:type="dxa" w:w="2160"/>
            <w:shd w:fill="FFFFFF"/>
            <w:tcMar>
              <w:top w:w="80" w:type="dxa"/>
              <w:bottom w:w="80" w:type="dxa"/>
              <w:left w:w="120" w:type="dxa"/>
              <w:right w:w="120" w:type="dxa"/>
            </w:tcMar>
          </w:tcPr>
          <w:p>
            <w:pPr>
              <w:spacing w:before="40" w:after="40"/>
            </w:pPr>
            <w:r>
              <w:rPr>
                <w:color w:val="1E293B"/>
                <w:sz w:val="17"/>
              </w:rPr>
              <w:t>3 Comprehensive Playbooks</w:t>
            </w:r>
          </w:p>
        </w:tc>
      </w:tr>
      <w:tr>
        <w:tc>
          <w:tcPr>
            <w:tcW w:type="dxa" w:w="3168"/>
            <w:shd w:fill="F8FAFC"/>
            <w:tcMar>
              <w:top w:w="80" w:type="dxa"/>
              <w:bottom w:w="80" w:type="dxa"/>
              <w:left w:w="120" w:type="dxa"/>
              <w:right w:w="120" w:type="dxa"/>
            </w:tcMar>
          </w:tcPr>
          <w:p>
            <w:pPr>
              <w:spacing w:before="40" w:after="40"/>
            </w:pPr>
            <w:r>
              <w:rPr>
                <w:color w:val="1E293B"/>
                <w:sz w:val="17"/>
              </w:rPr>
              <w:t>False-Positive Noise Reduction</w:t>
            </w:r>
          </w:p>
        </w:tc>
        <w:tc>
          <w:tcPr>
            <w:tcW w:type="dxa" w:w="2016"/>
            <w:shd w:fill="F8FAFC"/>
            <w:tcMar>
              <w:top w:w="80" w:type="dxa"/>
              <w:bottom w:w="80" w:type="dxa"/>
              <w:left w:w="120" w:type="dxa"/>
              <w:right w:w="120" w:type="dxa"/>
            </w:tcMar>
          </w:tcPr>
          <w:p>
            <w:pPr>
              <w:spacing w:before="40" w:after="40"/>
            </w:pPr>
            <w:r>
              <w:rPr>
                <w:color w:val="1E293B"/>
                <w:sz w:val="17"/>
              </w:rPr>
              <w:t>0%</w:t>
            </w:r>
          </w:p>
        </w:tc>
        <w:tc>
          <w:tcPr>
            <w:tcW w:type="dxa" w:w="2016"/>
            <w:shd w:fill="F8FAFC"/>
            <w:tcMar>
              <w:top w:w="80" w:type="dxa"/>
              <w:bottom w:w="80" w:type="dxa"/>
              <w:left w:w="120" w:type="dxa"/>
              <w:right w:w="120" w:type="dxa"/>
            </w:tcMar>
          </w:tcPr>
          <w:p>
            <w:pPr>
              <w:spacing w:before="40" w:after="40"/>
            </w:pPr>
            <w:r>
              <w:rPr>
                <w:color w:val="1E293B"/>
                <w:sz w:val="17"/>
              </w:rPr>
              <w:t>&gt; 80%</w:t>
            </w:r>
          </w:p>
        </w:tc>
        <w:tc>
          <w:tcPr>
            <w:tcW w:type="dxa" w:w="2160"/>
            <w:shd w:fill="F8FAFC"/>
            <w:tcMar>
              <w:top w:w="80" w:type="dxa"/>
              <w:bottom w:w="80" w:type="dxa"/>
              <w:left w:w="120" w:type="dxa"/>
              <w:right w:w="120" w:type="dxa"/>
            </w:tcMar>
          </w:tcPr>
          <w:p>
            <w:pPr>
              <w:spacing w:before="40" w:after="40"/>
            </w:pPr>
            <w:r>
              <w:rPr>
                <w:color w:val="1E293B"/>
                <w:sz w:val="17"/>
              </w:rPr>
              <w:t>99.6% (774 FP/day pruned)</w:t>
            </w:r>
          </w:p>
        </w:tc>
      </w:tr>
      <w:tr>
        <w:tc>
          <w:tcPr>
            <w:tcW w:type="dxa" w:w="3168"/>
            <w:shd w:fill="FFFFFF"/>
            <w:tcMar>
              <w:top w:w="80" w:type="dxa"/>
              <w:bottom w:w="80" w:type="dxa"/>
              <w:left w:w="120" w:type="dxa"/>
              <w:right w:w="120" w:type="dxa"/>
            </w:tcMar>
          </w:tcPr>
          <w:p>
            <w:pPr>
              <w:spacing w:before="40" w:after="40"/>
            </w:pPr>
            <w:r>
              <w:rPr>
                <w:color w:val="1E293B"/>
                <w:sz w:val="17"/>
              </w:rPr>
              <w:t>Multi-SIEM Dialects Provided</w:t>
            </w:r>
          </w:p>
        </w:tc>
        <w:tc>
          <w:tcPr>
            <w:tcW w:type="dxa" w:w="2016"/>
            <w:shd w:fill="FFFFFF"/>
            <w:tcMar>
              <w:top w:w="80" w:type="dxa"/>
              <w:bottom w:w="80" w:type="dxa"/>
              <w:left w:w="120" w:type="dxa"/>
              <w:right w:w="120" w:type="dxa"/>
            </w:tcMar>
          </w:tcPr>
          <w:p>
            <w:pPr>
              <w:spacing w:before="40" w:after="40"/>
            </w:pPr>
            <w:r>
              <w:rPr>
                <w:color w:val="1E293B"/>
                <w:sz w:val="17"/>
              </w:rPr>
              <w:t>None</w:t>
            </w:r>
          </w:p>
        </w:tc>
        <w:tc>
          <w:tcPr>
            <w:tcW w:type="dxa" w:w="2016"/>
            <w:shd w:fill="FFFFFF"/>
            <w:tcMar>
              <w:top w:w="80" w:type="dxa"/>
              <w:bottom w:w="80" w:type="dxa"/>
              <w:left w:w="120" w:type="dxa"/>
              <w:right w:w="120" w:type="dxa"/>
            </w:tcMar>
          </w:tcPr>
          <w:p>
            <w:pPr>
              <w:spacing w:before="40" w:after="40"/>
            </w:pPr>
            <w:r>
              <w:rPr>
                <w:color w:val="1E293B"/>
                <w:sz w:val="17"/>
              </w:rPr>
              <w:t>Stretch Goal</w:t>
            </w:r>
          </w:p>
        </w:tc>
        <w:tc>
          <w:tcPr>
            <w:tcW w:type="dxa" w:w="2160"/>
            <w:shd w:fill="FFFFFF"/>
            <w:tcMar>
              <w:top w:w="80" w:type="dxa"/>
              <w:bottom w:w="80" w:type="dxa"/>
              <w:left w:w="120" w:type="dxa"/>
              <w:right w:w="120" w:type="dxa"/>
            </w:tcMar>
          </w:tcPr>
          <w:p>
            <w:pPr>
              <w:spacing w:before="40" w:after="40"/>
            </w:pPr>
            <w:r>
              <w:rPr>
                <w:color w:val="1E293B"/>
                <w:sz w:val="17"/>
              </w:rPr>
              <w:t>Splunk SPL, KQL, Elastic ESQL</w:t>
            </w:r>
          </w:p>
        </w:tc>
      </w:tr>
      <w:tr>
        <w:tc>
          <w:tcPr>
            <w:tcW w:type="dxa" w:w="3168"/>
            <w:shd w:fill="F8FAFC"/>
            <w:tcMar>
              <w:top w:w="80" w:type="dxa"/>
              <w:bottom w:w="80" w:type="dxa"/>
              <w:left w:w="120" w:type="dxa"/>
              <w:right w:w="120" w:type="dxa"/>
            </w:tcMar>
          </w:tcPr>
          <w:p>
            <w:pPr>
              <w:spacing w:before="40" w:after="40"/>
            </w:pPr>
            <w:r>
              <w:rPr>
                <w:color w:val="1E293B"/>
                <w:sz w:val="17"/>
              </w:rPr>
              <w:t>Automated Test Harness Rate</w:t>
            </w:r>
          </w:p>
        </w:tc>
        <w:tc>
          <w:tcPr>
            <w:tcW w:type="dxa" w:w="2016"/>
            <w:shd w:fill="F8FAFC"/>
            <w:tcMar>
              <w:top w:w="80" w:type="dxa"/>
              <w:bottom w:w="80" w:type="dxa"/>
              <w:left w:w="120" w:type="dxa"/>
              <w:right w:w="120" w:type="dxa"/>
            </w:tcMar>
          </w:tcPr>
          <w:p>
            <w:pPr>
              <w:spacing w:before="40" w:after="40"/>
            </w:pPr>
            <w:r>
              <w:rPr>
                <w:color w:val="1E293B"/>
                <w:sz w:val="17"/>
              </w:rPr>
              <w:t>Untested</w:t>
            </w:r>
          </w:p>
        </w:tc>
        <w:tc>
          <w:tcPr>
            <w:tcW w:type="dxa" w:w="2016"/>
            <w:shd w:fill="F8FAFC"/>
            <w:tcMar>
              <w:top w:w="80" w:type="dxa"/>
              <w:bottom w:w="80" w:type="dxa"/>
              <w:left w:w="120" w:type="dxa"/>
              <w:right w:w="120" w:type="dxa"/>
            </w:tcMar>
          </w:tcPr>
          <w:p>
            <w:pPr>
              <w:spacing w:before="40" w:after="40"/>
            </w:pPr>
            <w:r>
              <w:rPr>
                <w:color w:val="1E293B"/>
                <w:sz w:val="17"/>
              </w:rPr>
              <w:t>100% Tested</w:t>
            </w:r>
          </w:p>
        </w:tc>
        <w:tc>
          <w:tcPr>
            <w:tcW w:type="dxa" w:w="2160"/>
            <w:shd w:fill="F8FAFC"/>
            <w:tcMar>
              <w:top w:w="80" w:type="dxa"/>
              <w:bottom w:w="80" w:type="dxa"/>
              <w:left w:w="120" w:type="dxa"/>
              <w:right w:w="120" w:type="dxa"/>
            </w:tcMar>
          </w:tcPr>
          <w:p>
            <w:pPr>
              <w:spacing w:before="40" w:after="40"/>
            </w:pPr>
            <w:r>
              <w:rPr>
                <w:color w:val="1E293B"/>
                <w:sz w:val="17"/>
              </w:rPr>
              <w:t>18/18 Rules (100% Pass)</w:t>
            </w:r>
          </w:p>
        </w:tc>
      </w:tr>
    </w:tbl>
    <w:p>
      <w:pPr>
        <w:spacing w:after="240"/>
      </w:pPr>
    </w:p>
    <w:p>
      <w:pPr>
        <w:pStyle w:val="Heading1"/>
        <w:spacing w:before="280" w:after="120"/>
      </w:pPr>
      <w:r>
        <w:rPr>
          <w:b/>
          <w:color w:val="0F172A"/>
          <w:sz w:val="40"/>
        </w:rPr>
        <w:t>2. Telemetry Data Dictionary &amp; Log Ingestion Pipeline</w:t>
      </w:r>
    </w:p>
    <w:p>
      <w:r>
        <w:t>To establish defensible detection content, Cyberion selected three authoritative log sources across endpoint, authentication, and network layers: Windows Security Audit Logs, Microsoft Sysmon (System Monitor) v15, and Zeek Network Security Monitoring wire telemetry.</w:t>
      </w:r>
    </w:p>
    <w:p>
      <w:pPr>
        <w:pStyle w:val="Heading2"/>
        <w:spacing w:before="280" w:after="120"/>
      </w:pPr>
      <w:r>
        <w:rPr>
          <w:b/>
          <w:color w:val="0284C7"/>
          <w:sz w:val="30"/>
        </w:rPr>
        <w:t>2.1 Windows Security Audit Log Schema (EVTX)</w:t>
      </w:r>
    </w:p>
    <w:tbl>
      <w:tblPr>
        <w:tblW w:type="auto" w:w="0"/>
        <w:tblLook w:firstColumn="1" w:firstRow="1" w:lastColumn="0" w:lastRow="0" w:noHBand="0" w:noVBand="1" w:val="04A0"/>
      </w:tblPr>
      <w:tblGrid>
        <w:gridCol w:w="3120"/>
        <w:gridCol w:w="3120"/>
        <w:gridCol w:w="3120"/>
      </w:tblGrid>
      <w:tr>
        <w:tc>
          <w:tcPr>
            <w:tcW w:type="dxa" w:w="1728"/>
            <w:shd w:fill="0F172A"/>
            <w:tcMar>
              <w:top w:w="120" w:type="dxa"/>
              <w:bottom w:w="120" w:type="dxa"/>
              <w:left w:w="140" w:type="dxa"/>
              <w:right w:w="140" w:type="dxa"/>
            </w:tcMar>
          </w:tcPr>
          <w:p>
            <w:pPr>
              <w:spacing w:before="40" w:after="40"/>
              <w:jc w:val="left"/>
            </w:pPr>
            <w:r>
              <w:rPr>
                <w:b/>
                <w:color w:val="FFFFFF"/>
                <w:sz w:val="18"/>
              </w:rPr>
              <w:t>Event ID</w:t>
            </w:r>
          </w:p>
        </w:tc>
        <w:tc>
          <w:tcPr>
            <w:tcW w:type="dxa" w:w="2592"/>
            <w:shd w:fill="0F172A"/>
            <w:tcMar>
              <w:top w:w="120" w:type="dxa"/>
              <w:bottom w:w="120" w:type="dxa"/>
              <w:left w:w="140" w:type="dxa"/>
              <w:right w:w="140" w:type="dxa"/>
            </w:tcMar>
          </w:tcPr>
          <w:p>
            <w:pPr>
              <w:spacing w:before="40" w:after="40"/>
              <w:jc w:val="left"/>
            </w:pPr>
            <w:r>
              <w:rPr>
                <w:b/>
                <w:color w:val="FFFFFF"/>
                <w:sz w:val="18"/>
              </w:rPr>
              <w:t>Category / Activity</w:t>
            </w:r>
          </w:p>
        </w:tc>
        <w:tc>
          <w:tcPr>
            <w:tcW w:type="dxa" w:w="5040"/>
            <w:shd w:fill="0F172A"/>
            <w:tcMar>
              <w:top w:w="120" w:type="dxa"/>
              <w:bottom w:w="120" w:type="dxa"/>
              <w:left w:w="140" w:type="dxa"/>
              <w:right w:w="140" w:type="dxa"/>
            </w:tcMar>
          </w:tcPr>
          <w:p>
            <w:pPr>
              <w:spacing w:before="40" w:after="40"/>
              <w:jc w:val="left"/>
            </w:pPr>
            <w:r>
              <w:rPr>
                <w:b/>
                <w:color w:val="FFFFFF"/>
                <w:sz w:val="18"/>
              </w:rPr>
              <w:t>Forensic &amp; Detection Significance</w:t>
            </w:r>
          </w:p>
        </w:tc>
      </w:tr>
      <w:tr>
        <w:tc>
          <w:tcPr>
            <w:tcW w:type="dxa" w:w="1728"/>
            <w:shd w:fill="FFFFFF"/>
            <w:tcMar>
              <w:top w:w="80" w:type="dxa"/>
              <w:bottom w:w="80" w:type="dxa"/>
              <w:left w:w="120" w:type="dxa"/>
              <w:right w:w="120" w:type="dxa"/>
            </w:tcMar>
          </w:tcPr>
          <w:p>
            <w:pPr>
              <w:spacing w:before="40" w:after="40"/>
            </w:pPr>
            <w:r>
              <w:rPr>
                <w:color w:val="1E293B"/>
                <w:sz w:val="17"/>
              </w:rPr>
              <w:t>4624</w:t>
            </w:r>
          </w:p>
        </w:tc>
        <w:tc>
          <w:tcPr>
            <w:tcW w:type="dxa" w:w="2592"/>
            <w:shd w:fill="FFFFFF"/>
            <w:tcMar>
              <w:top w:w="80" w:type="dxa"/>
              <w:bottom w:w="80" w:type="dxa"/>
              <w:left w:w="120" w:type="dxa"/>
              <w:right w:w="120" w:type="dxa"/>
            </w:tcMar>
          </w:tcPr>
          <w:p>
            <w:pPr>
              <w:spacing w:before="40" w:after="40"/>
            </w:pPr>
            <w:r>
              <w:rPr>
                <w:color w:val="1E293B"/>
                <w:sz w:val="17"/>
              </w:rPr>
              <w:t>Successful Logon</w:t>
            </w:r>
          </w:p>
        </w:tc>
        <w:tc>
          <w:tcPr>
            <w:tcW w:type="dxa" w:w="5040"/>
            <w:shd w:fill="FFFFFF"/>
            <w:tcMar>
              <w:top w:w="80" w:type="dxa"/>
              <w:bottom w:w="80" w:type="dxa"/>
              <w:left w:w="120" w:type="dxa"/>
              <w:right w:w="120" w:type="dxa"/>
            </w:tcMar>
          </w:tcPr>
          <w:p>
            <w:pPr>
              <w:spacing w:before="40" w:after="40"/>
            </w:pPr>
            <w:r>
              <w:rPr>
                <w:color w:val="1E293B"/>
                <w:sz w:val="17"/>
              </w:rPr>
              <w:t>Evaluates LogonType (Type 3 Network, Type 10 RDP) to trace lateral movement hops.</w:t>
            </w:r>
          </w:p>
        </w:tc>
      </w:tr>
      <w:tr>
        <w:tc>
          <w:tcPr>
            <w:tcW w:type="dxa" w:w="1728"/>
            <w:shd w:fill="F8FAFC"/>
            <w:tcMar>
              <w:top w:w="80" w:type="dxa"/>
              <w:bottom w:w="80" w:type="dxa"/>
              <w:left w:w="120" w:type="dxa"/>
              <w:right w:w="120" w:type="dxa"/>
            </w:tcMar>
          </w:tcPr>
          <w:p>
            <w:pPr>
              <w:spacing w:before="40" w:after="40"/>
            </w:pPr>
            <w:r>
              <w:rPr>
                <w:color w:val="1E293B"/>
                <w:sz w:val="17"/>
              </w:rPr>
              <w:t>4625</w:t>
            </w:r>
          </w:p>
        </w:tc>
        <w:tc>
          <w:tcPr>
            <w:tcW w:type="dxa" w:w="2592"/>
            <w:shd w:fill="F8FAFC"/>
            <w:tcMar>
              <w:top w:w="80" w:type="dxa"/>
              <w:bottom w:w="80" w:type="dxa"/>
              <w:left w:w="120" w:type="dxa"/>
              <w:right w:w="120" w:type="dxa"/>
            </w:tcMar>
          </w:tcPr>
          <w:p>
            <w:pPr>
              <w:spacing w:before="40" w:after="40"/>
            </w:pPr>
            <w:r>
              <w:rPr>
                <w:color w:val="1E293B"/>
                <w:sz w:val="17"/>
              </w:rPr>
              <w:t>Failed Logon</w:t>
            </w:r>
          </w:p>
        </w:tc>
        <w:tc>
          <w:tcPr>
            <w:tcW w:type="dxa" w:w="5040"/>
            <w:shd w:fill="F8FAFC"/>
            <w:tcMar>
              <w:top w:w="80" w:type="dxa"/>
              <w:bottom w:w="80" w:type="dxa"/>
              <w:left w:w="120" w:type="dxa"/>
              <w:right w:w="120" w:type="dxa"/>
            </w:tcMar>
          </w:tcPr>
          <w:p>
            <w:pPr>
              <w:spacing w:before="40" w:after="40"/>
            </w:pPr>
            <w:r>
              <w:rPr>
                <w:color w:val="1E293B"/>
                <w:sz w:val="17"/>
              </w:rPr>
              <w:t>Critical for brute-force password spraying and credential stuffing detection.</w:t>
            </w:r>
          </w:p>
        </w:tc>
      </w:tr>
      <w:tr>
        <w:tc>
          <w:tcPr>
            <w:tcW w:type="dxa" w:w="1728"/>
            <w:shd w:fill="FFFFFF"/>
            <w:tcMar>
              <w:top w:w="80" w:type="dxa"/>
              <w:bottom w:w="80" w:type="dxa"/>
              <w:left w:w="120" w:type="dxa"/>
              <w:right w:w="120" w:type="dxa"/>
            </w:tcMar>
          </w:tcPr>
          <w:p>
            <w:pPr>
              <w:spacing w:before="40" w:after="40"/>
            </w:pPr>
            <w:r>
              <w:rPr>
                <w:color w:val="1E293B"/>
                <w:sz w:val="17"/>
              </w:rPr>
              <w:t>4672</w:t>
            </w:r>
          </w:p>
        </w:tc>
        <w:tc>
          <w:tcPr>
            <w:tcW w:type="dxa" w:w="2592"/>
            <w:shd w:fill="FFFFFF"/>
            <w:tcMar>
              <w:top w:w="80" w:type="dxa"/>
              <w:bottom w:w="80" w:type="dxa"/>
              <w:left w:w="120" w:type="dxa"/>
              <w:right w:w="120" w:type="dxa"/>
            </w:tcMar>
          </w:tcPr>
          <w:p>
            <w:pPr>
              <w:spacing w:before="40" w:after="40"/>
            </w:pPr>
            <w:r>
              <w:rPr>
                <w:color w:val="1E293B"/>
                <w:sz w:val="17"/>
              </w:rPr>
              <w:t>Special Privileges Assigned</w:t>
            </w:r>
          </w:p>
        </w:tc>
        <w:tc>
          <w:tcPr>
            <w:tcW w:type="dxa" w:w="5040"/>
            <w:shd w:fill="FFFFFF"/>
            <w:tcMar>
              <w:top w:w="80" w:type="dxa"/>
              <w:bottom w:w="80" w:type="dxa"/>
              <w:left w:w="120" w:type="dxa"/>
              <w:right w:w="120" w:type="dxa"/>
            </w:tcMar>
          </w:tcPr>
          <w:p>
            <w:pPr>
              <w:spacing w:before="40" w:after="40"/>
            </w:pPr>
            <w:r>
              <w:rPr>
                <w:color w:val="1E293B"/>
                <w:sz w:val="17"/>
              </w:rPr>
              <w:t>Monitors assignment of SeDebugPrivilege, SeTcbPrivilege upon administrator logon.</w:t>
            </w:r>
          </w:p>
        </w:tc>
      </w:tr>
      <w:tr>
        <w:tc>
          <w:tcPr>
            <w:tcW w:type="dxa" w:w="1728"/>
            <w:shd w:fill="F8FAFC"/>
            <w:tcMar>
              <w:top w:w="80" w:type="dxa"/>
              <w:bottom w:w="80" w:type="dxa"/>
              <w:left w:w="120" w:type="dxa"/>
              <w:right w:w="120" w:type="dxa"/>
            </w:tcMar>
          </w:tcPr>
          <w:p>
            <w:pPr>
              <w:spacing w:before="40" w:after="40"/>
            </w:pPr>
            <w:r>
              <w:rPr>
                <w:color w:val="1E293B"/>
                <w:sz w:val="17"/>
              </w:rPr>
              <w:t>4688</w:t>
            </w:r>
          </w:p>
        </w:tc>
        <w:tc>
          <w:tcPr>
            <w:tcW w:type="dxa" w:w="2592"/>
            <w:shd w:fill="F8FAFC"/>
            <w:tcMar>
              <w:top w:w="80" w:type="dxa"/>
              <w:bottom w:w="80" w:type="dxa"/>
              <w:left w:w="120" w:type="dxa"/>
              <w:right w:w="120" w:type="dxa"/>
            </w:tcMar>
          </w:tcPr>
          <w:p>
            <w:pPr>
              <w:spacing w:before="40" w:after="40"/>
            </w:pPr>
            <w:r>
              <w:rPr>
                <w:color w:val="1E293B"/>
                <w:sz w:val="17"/>
              </w:rPr>
              <w:t>Process Creation</w:t>
            </w:r>
          </w:p>
        </w:tc>
        <w:tc>
          <w:tcPr>
            <w:tcW w:type="dxa" w:w="5040"/>
            <w:shd w:fill="F8FAFC"/>
            <w:tcMar>
              <w:top w:w="80" w:type="dxa"/>
              <w:bottom w:w="80" w:type="dxa"/>
              <w:left w:w="120" w:type="dxa"/>
              <w:right w:w="120" w:type="dxa"/>
            </w:tcMar>
          </w:tcPr>
          <w:p>
            <w:pPr>
              <w:spacing w:before="40" w:after="40"/>
            </w:pPr>
            <w:r>
              <w:rPr>
                <w:color w:val="1E293B"/>
                <w:sz w:val="17"/>
              </w:rPr>
              <w:t>Captures executable paths, parent processes, and command-line arguments.</w:t>
            </w:r>
          </w:p>
        </w:tc>
      </w:tr>
      <w:tr>
        <w:tc>
          <w:tcPr>
            <w:tcW w:type="dxa" w:w="1728"/>
            <w:shd w:fill="FFFFFF"/>
            <w:tcMar>
              <w:top w:w="80" w:type="dxa"/>
              <w:bottom w:w="80" w:type="dxa"/>
              <w:left w:w="120" w:type="dxa"/>
              <w:right w:w="120" w:type="dxa"/>
            </w:tcMar>
          </w:tcPr>
          <w:p>
            <w:pPr>
              <w:spacing w:before="40" w:after="40"/>
            </w:pPr>
            <w:r>
              <w:rPr>
                <w:color w:val="1E293B"/>
                <w:sz w:val="17"/>
              </w:rPr>
              <w:t>4728</w:t>
            </w:r>
          </w:p>
        </w:tc>
        <w:tc>
          <w:tcPr>
            <w:tcW w:type="dxa" w:w="2592"/>
            <w:shd w:fill="FFFFFF"/>
            <w:tcMar>
              <w:top w:w="80" w:type="dxa"/>
              <w:bottom w:w="80" w:type="dxa"/>
              <w:left w:w="120" w:type="dxa"/>
              <w:right w:w="120" w:type="dxa"/>
            </w:tcMar>
          </w:tcPr>
          <w:p>
            <w:pPr>
              <w:spacing w:before="40" w:after="40"/>
            </w:pPr>
            <w:r>
              <w:rPr>
                <w:color w:val="1E293B"/>
                <w:sz w:val="17"/>
              </w:rPr>
              <w:t>Member Added to Security Group</w:t>
            </w:r>
          </w:p>
        </w:tc>
        <w:tc>
          <w:tcPr>
            <w:tcW w:type="dxa" w:w="5040"/>
            <w:shd w:fill="FFFFFF"/>
            <w:tcMar>
              <w:top w:w="80" w:type="dxa"/>
              <w:bottom w:w="80" w:type="dxa"/>
              <w:left w:w="120" w:type="dxa"/>
              <w:right w:w="120" w:type="dxa"/>
            </w:tcMar>
          </w:tcPr>
          <w:p>
            <w:pPr>
              <w:spacing w:before="40" w:after="40"/>
            </w:pPr>
            <w:r>
              <w:rPr>
                <w:color w:val="1E293B"/>
                <w:sz w:val="17"/>
              </w:rPr>
              <w:t>Alerts when users are injected into Domain Admins or Enterprise Admins.</w:t>
            </w:r>
          </w:p>
        </w:tc>
      </w:tr>
      <w:tr>
        <w:tc>
          <w:tcPr>
            <w:tcW w:type="dxa" w:w="1728"/>
            <w:shd w:fill="F8FAFC"/>
            <w:tcMar>
              <w:top w:w="80" w:type="dxa"/>
              <w:bottom w:w="80" w:type="dxa"/>
              <w:left w:w="120" w:type="dxa"/>
              <w:right w:w="120" w:type="dxa"/>
            </w:tcMar>
          </w:tcPr>
          <w:p>
            <w:pPr>
              <w:spacing w:before="40" w:after="40"/>
            </w:pPr>
            <w:r>
              <w:rPr>
                <w:color w:val="1E293B"/>
                <w:sz w:val="17"/>
              </w:rPr>
              <w:t>4769</w:t>
            </w:r>
          </w:p>
        </w:tc>
        <w:tc>
          <w:tcPr>
            <w:tcW w:type="dxa" w:w="2592"/>
            <w:shd w:fill="F8FAFC"/>
            <w:tcMar>
              <w:top w:w="80" w:type="dxa"/>
              <w:bottom w:w="80" w:type="dxa"/>
              <w:left w:w="120" w:type="dxa"/>
              <w:right w:w="120" w:type="dxa"/>
            </w:tcMar>
          </w:tcPr>
          <w:p>
            <w:pPr>
              <w:spacing w:before="40" w:after="40"/>
            </w:pPr>
            <w:r>
              <w:rPr>
                <w:color w:val="1E293B"/>
                <w:sz w:val="17"/>
              </w:rPr>
              <w:t>Kerberos Service Ticket (TGS)</w:t>
            </w:r>
          </w:p>
        </w:tc>
        <w:tc>
          <w:tcPr>
            <w:tcW w:type="dxa" w:w="5040"/>
            <w:shd w:fill="F8FAFC"/>
            <w:tcMar>
              <w:top w:w="80" w:type="dxa"/>
              <w:bottom w:w="80" w:type="dxa"/>
              <w:left w:w="120" w:type="dxa"/>
              <w:right w:w="120" w:type="dxa"/>
            </w:tcMar>
          </w:tcPr>
          <w:p>
            <w:pPr>
              <w:spacing w:before="40" w:after="40"/>
            </w:pPr>
            <w:r>
              <w:rPr>
                <w:color w:val="1E293B"/>
                <w:sz w:val="17"/>
              </w:rPr>
              <w:t>Surfaces Kerberoasting via TicketEncryptionType 0x17 (RC4) requests.</w:t>
            </w:r>
          </w:p>
        </w:tc>
      </w:tr>
    </w:tbl>
    <w:p>
      <w:pPr>
        <w:spacing w:after="160"/>
      </w:pPr>
    </w:p>
    <w:p>
      <w:pPr>
        <w:pStyle w:val="Heading2"/>
        <w:spacing w:before="280" w:after="120"/>
      </w:pPr>
      <w:r>
        <w:rPr>
          <w:b/>
          <w:color w:val="0284C7"/>
          <w:sz w:val="30"/>
        </w:rPr>
        <w:t>2.2 Microsoft Sysmon Schema</w:t>
      </w:r>
    </w:p>
    <w:tbl>
      <w:tblPr>
        <w:tblW w:type="auto" w:w="0"/>
        <w:tblLook w:firstColumn="1" w:firstRow="1" w:lastColumn="0" w:lastRow="0" w:noHBand="0" w:noVBand="1" w:val="04A0"/>
      </w:tblPr>
      <w:tblGrid>
        <w:gridCol w:w="3120"/>
        <w:gridCol w:w="3120"/>
        <w:gridCol w:w="3120"/>
      </w:tblGrid>
      <w:tr>
        <w:tc>
          <w:tcPr>
            <w:tcW w:type="dxa" w:w="1728"/>
            <w:shd w:fill="0F172A"/>
            <w:tcMar>
              <w:top w:w="120" w:type="dxa"/>
              <w:bottom w:w="120" w:type="dxa"/>
              <w:left w:w="140" w:type="dxa"/>
              <w:right w:w="140" w:type="dxa"/>
            </w:tcMar>
          </w:tcPr>
          <w:p>
            <w:pPr>
              <w:spacing w:before="40" w:after="40"/>
              <w:jc w:val="left"/>
            </w:pPr>
            <w:r>
              <w:rPr>
                <w:b/>
                <w:color w:val="FFFFFF"/>
                <w:sz w:val="18"/>
              </w:rPr>
              <w:t>Event ID</w:t>
            </w:r>
          </w:p>
        </w:tc>
        <w:tc>
          <w:tcPr>
            <w:tcW w:type="dxa" w:w="2592"/>
            <w:shd w:fill="0F172A"/>
            <w:tcMar>
              <w:top w:w="120" w:type="dxa"/>
              <w:bottom w:w="120" w:type="dxa"/>
              <w:left w:w="140" w:type="dxa"/>
              <w:right w:w="140" w:type="dxa"/>
            </w:tcMar>
          </w:tcPr>
          <w:p>
            <w:pPr>
              <w:spacing w:before="40" w:after="40"/>
              <w:jc w:val="left"/>
            </w:pPr>
            <w:r>
              <w:rPr>
                <w:b/>
                <w:color w:val="FFFFFF"/>
                <w:sz w:val="18"/>
              </w:rPr>
              <w:t>Telemetry Event Type</w:t>
            </w:r>
          </w:p>
        </w:tc>
        <w:tc>
          <w:tcPr>
            <w:tcW w:type="dxa" w:w="5040"/>
            <w:shd w:fill="0F172A"/>
            <w:tcMar>
              <w:top w:w="120" w:type="dxa"/>
              <w:bottom w:w="120" w:type="dxa"/>
              <w:left w:w="140" w:type="dxa"/>
              <w:right w:w="140" w:type="dxa"/>
            </w:tcMar>
          </w:tcPr>
          <w:p>
            <w:pPr>
              <w:spacing w:before="40" w:after="40"/>
              <w:jc w:val="left"/>
            </w:pPr>
            <w:r>
              <w:rPr>
                <w:b/>
                <w:color w:val="FFFFFF"/>
                <w:sz w:val="18"/>
              </w:rPr>
              <w:t>Detection Significance</w:t>
            </w:r>
          </w:p>
        </w:tc>
      </w:tr>
      <w:tr>
        <w:tc>
          <w:tcPr>
            <w:tcW w:type="dxa" w:w="1728"/>
            <w:shd w:fill="FFFFFF"/>
            <w:tcMar>
              <w:top w:w="80" w:type="dxa"/>
              <w:bottom w:w="80" w:type="dxa"/>
              <w:left w:w="120" w:type="dxa"/>
              <w:right w:w="120" w:type="dxa"/>
            </w:tcMar>
          </w:tcPr>
          <w:p>
            <w:pPr>
              <w:spacing w:before="40" w:after="40"/>
            </w:pPr>
            <w:r>
              <w:rPr>
                <w:color w:val="1E293B"/>
                <w:sz w:val="17"/>
              </w:rPr>
              <w:t>1</w:t>
            </w:r>
          </w:p>
        </w:tc>
        <w:tc>
          <w:tcPr>
            <w:tcW w:type="dxa" w:w="2592"/>
            <w:shd w:fill="FFFFFF"/>
            <w:tcMar>
              <w:top w:w="80" w:type="dxa"/>
              <w:bottom w:w="80" w:type="dxa"/>
              <w:left w:w="120" w:type="dxa"/>
              <w:right w:w="120" w:type="dxa"/>
            </w:tcMar>
          </w:tcPr>
          <w:p>
            <w:pPr>
              <w:spacing w:before="40" w:after="40"/>
            </w:pPr>
            <w:r>
              <w:rPr>
                <w:color w:val="1E293B"/>
                <w:sz w:val="17"/>
              </w:rPr>
              <w:t>Process Creation</w:t>
            </w:r>
          </w:p>
        </w:tc>
        <w:tc>
          <w:tcPr>
            <w:tcW w:type="dxa" w:w="5040"/>
            <w:shd w:fill="FFFFFF"/>
            <w:tcMar>
              <w:top w:w="80" w:type="dxa"/>
              <w:bottom w:w="80" w:type="dxa"/>
              <w:left w:w="120" w:type="dxa"/>
              <w:right w:w="120" w:type="dxa"/>
            </w:tcMar>
          </w:tcPr>
          <w:p>
            <w:pPr>
              <w:spacing w:before="40" w:after="40"/>
            </w:pPr>
            <w:r>
              <w:rPr>
                <w:color w:val="1E293B"/>
                <w:sz w:val="17"/>
              </w:rPr>
              <w:t>Full execution lineage, hashes (SHA256), current directory, and user security context.</w:t>
            </w:r>
          </w:p>
        </w:tc>
      </w:tr>
      <w:tr>
        <w:tc>
          <w:tcPr>
            <w:tcW w:type="dxa" w:w="1728"/>
            <w:shd w:fill="F8FAFC"/>
            <w:tcMar>
              <w:top w:w="80" w:type="dxa"/>
              <w:bottom w:w="80" w:type="dxa"/>
              <w:left w:w="120" w:type="dxa"/>
              <w:right w:w="120" w:type="dxa"/>
            </w:tcMar>
          </w:tcPr>
          <w:p>
            <w:pPr>
              <w:spacing w:before="40" w:after="40"/>
            </w:pPr>
            <w:r>
              <w:rPr>
                <w:color w:val="1E293B"/>
                <w:sz w:val="17"/>
              </w:rPr>
              <w:t>3</w:t>
            </w:r>
          </w:p>
        </w:tc>
        <w:tc>
          <w:tcPr>
            <w:tcW w:type="dxa" w:w="2592"/>
            <w:shd w:fill="F8FAFC"/>
            <w:tcMar>
              <w:top w:w="80" w:type="dxa"/>
              <w:bottom w:w="80" w:type="dxa"/>
              <w:left w:w="120" w:type="dxa"/>
              <w:right w:w="120" w:type="dxa"/>
            </w:tcMar>
          </w:tcPr>
          <w:p>
            <w:pPr>
              <w:spacing w:before="40" w:after="40"/>
            </w:pPr>
            <w:r>
              <w:rPr>
                <w:color w:val="1E293B"/>
                <w:sz w:val="17"/>
              </w:rPr>
              <w:t>Network Connection</w:t>
            </w:r>
          </w:p>
        </w:tc>
        <w:tc>
          <w:tcPr>
            <w:tcW w:type="dxa" w:w="5040"/>
            <w:shd w:fill="F8FAFC"/>
            <w:tcMar>
              <w:top w:w="80" w:type="dxa"/>
              <w:bottom w:w="80" w:type="dxa"/>
              <w:left w:w="120" w:type="dxa"/>
              <w:right w:w="120" w:type="dxa"/>
            </w:tcMar>
          </w:tcPr>
          <w:p>
            <w:pPr>
              <w:spacing w:before="40" w:after="40"/>
            </w:pPr>
            <w:r>
              <w:rPr>
                <w:color w:val="1E293B"/>
                <w:sz w:val="17"/>
              </w:rPr>
              <w:t>Correlates socket sessions (DestinationIp, DestinationPort) to initiating process image and PID.</w:t>
            </w:r>
          </w:p>
        </w:tc>
      </w:tr>
      <w:tr>
        <w:tc>
          <w:tcPr>
            <w:tcW w:type="dxa" w:w="1728"/>
            <w:shd w:fill="FFFFFF"/>
            <w:tcMar>
              <w:top w:w="80" w:type="dxa"/>
              <w:bottom w:w="80" w:type="dxa"/>
              <w:left w:w="120" w:type="dxa"/>
              <w:right w:w="120" w:type="dxa"/>
            </w:tcMar>
          </w:tcPr>
          <w:p>
            <w:pPr>
              <w:spacing w:before="40" w:after="40"/>
            </w:pPr>
            <w:r>
              <w:rPr>
                <w:color w:val="1E293B"/>
                <w:sz w:val="17"/>
              </w:rPr>
              <w:t>10</w:t>
            </w:r>
          </w:p>
        </w:tc>
        <w:tc>
          <w:tcPr>
            <w:tcW w:type="dxa" w:w="2592"/>
            <w:shd w:fill="FFFFFF"/>
            <w:tcMar>
              <w:top w:w="80" w:type="dxa"/>
              <w:bottom w:w="80" w:type="dxa"/>
              <w:left w:w="120" w:type="dxa"/>
              <w:right w:w="120" w:type="dxa"/>
            </w:tcMar>
          </w:tcPr>
          <w:p>
            <w:pPr>
              <w:spacing w:before="40" w:after="40"/>
            </w:pPr>
            <w:r>
              <w:rPr>
                <w:color w:val="1E293B"/>
                <w:sz w:val="17"/>
              </w:rPr>
              <w:t>ProcessAccess</w:t>
            </w:r>
          </w:p>
        </w:tc>
        <w:tc>
          <w:tcPr>
            <w:tcW w:type="dxa" w:w="5040"/>
            <w:shd w:fill="FFFFFF"/>
            <w:tcMar>
              <w:top w:w="80" w:type="dxa"/>
              <w:bottom w:w="80" w:type="dxa"/>
              <w:left w:w="120" w:type="dxa"/>
              <w:right w:w="120" w:type="dxa"/>
            </w:tcMar>
          </w:tcPr>
          <w:p>
            <w:pPr>
              <w:spacing w:before="40" w:after="40"/>
            </w:pPr>
            <w:r>
              <w:rPr>
                <w:color w:val="1E293B"/>
                <w:sz w:val="17"/>
              </w:rPr>
              <w:t>Monitors OpenProcess calls to lsass.exe with GrantedAccess masks (0x1010, 0x1FFFFF).</w:t>
            </w:r>
          </w:p>
        </w:tc>
      </w:tr>
      <w:tr>
        <w:tc>
          <w:tcPr>
            <w:tcW w:type="dxa" w:w="1728"/>
            <w:shd w:fill="F8FAFC"/>
            <w:tcMar>
              <w:top w:w="80" w:type="dxa"/>
              <w:bottom w:w="80" w:type="dxa"/>
              <w:left w:w="120" w:type="dxa"/>
              <w:right w:w="120" w:type="dxa"/>
            </w:tcMar>
          </w:tcPr>
          <w:p>
            <w:pPr>
              <w:spacing w:before="40" w:after="40"/>
            </w:pPr>
            <w:r>
              <w:rPr>
                <w:color w:val="1E293B"/>
                <w:sz w:val="17"/>
              </w:rPr>
              <w:t>11</w:t>
            </w:r>
          </w:p>
        </w:tc>
        <w:tc>
          <w:tcPr>
            <w:tcW w:type="dxa" w:w="2592"/>
            <w:shd w:fill="F8FAFC"/>
            <w:tcMar>
              <w:top w:w="80" w:type="dxa"/>
              <w:bottom w:w="80" w:type="dxa"/>
              <w:left w:w="120" w:type="dxa"/>
              <w:right w:w="120" w:type="dxa"/>
            </w:tcMar>
          </w:tcPr>
          <w:p>
            <w:pPr>
              <w:spacing w:before="40" w:after="40"/>
            </w:pPr>
            <w:r>
              <w:rPr>
                <w:color w:val="1E293B"/>
                <w:sz w:val="17"/>
              </w:rPr>
              <w:t>FileCreate</w:t>
            </w:r>
          </w:p>
        </w:tc>
        <w:tc>
          <w:tcPr>
            <w:tcW w:type="dxa" w:w="5040"/>
            <w:shd w:fill="F8FAFC"/>
            <w:tcMar>
              <w:top w:w="80" w:type="dxa"/>
              <w:bottom w:w="80" w:type="dxa"/>
              <w:left w:w="120" w:type="dxa"/>
              <w:right w:w="120" w:type="dxa"/>
            </w:tcMar>
          </w:tcPr>
          <w:p>
            <w:pPr>
              <w:spacing w:before="40" w:after="40"/>
            </w:pPr>
            <w:r>
              <w:rPr>
                <w:color w:val="1E293B"/>
                <w:sz w:val="17"/>
              </w:rPr>
              <w:t>Monitors staging archives (e.g. backup_stage.7z) and dropped DLL payloads.</w:t>
            </w:r>
          </w:p>
        </w:tc>
      </w:tr>
      <w:tr>
        <w:tc>
          <w:tcPr>
            <w:tcW w:type="dxa" w:w="1728"/>
            <w:shd w:fill="FFFFFF"/>
            <w:tcMar>
              <w:top w:w="80" w:type="dxa"/>
              <w:bottom w:w="80" w:type="dxa"/>
              <w:left w:w="120" w:type="dxa"/>
              <w:right w:w="120" w:type="dxa"/>
            </w:tcMar>
          </w:tcPr>
          <w:p>
            <w:pPr>
              <w:spacing w:before="40" w:after="40"/>
            </w:pPr>
            <w:r>
              <w:rPr>
                <w:color w:val="1E293B"/>
                <w:sz w:val="17"/>
              </w:rPr>
              <w:t>13</w:t>
            </w:r>
          </w:p>
        </w:tc>
        <w:tc>
          <w:tcPr>
            <w:tcW w:type="dxa" w:w="2592"/>
            <w:shd w:fill="FFFFFF"/>
            <w:tcMar>
              <w:top w:w="80" w:type="dxa"/>
              <w:bottom w:w="80" w:type="dxa"/>
              <w:left w:w="120" w:type="dxa"/>
              <w:right w:w="120" w:type="dxa"/>
            </w:tcMar>
          </w:tcPr>
          <w:p>
            <w:pPr>
              <w:spacing w:before="40" w:after="40"/>
            </w:pPr>
            <w:r>
              <w:rPr>
                <w:color w:val="1E293B"/>
                <w:sz w:val="17"/>
              </w:rPr>
              <w:t>RegistryEvent (Value Set)</w:t>
            </w:r>
          </w:p>
        </w:tc>
        <w:tc>
          <w:tcPr>
            <w:tcW w:type="dxa" w:w="5040"/>
            <w:shd w:fill="FFFFFF"/>
            <w:tcMar>
              <w:top w:w="80" w:type="dxa"/>
              <w:bottom w:w="80" w:type="dxa"/>
              <w:left w:w="120" w:type="dxa"/>
              <w:right w:w="120" w:type="dxa"/>
            </w:tcMar>
          </w:tcPr>
          <w:p>
            <w:pPr>
              <w:spacing w:before="40" w:after="40"/>
            </w:pPr>
            <w:r>
              <w:rPr>
                <w:color w:val="1E293B"/>
                <w:sz w:val="17"/>
              </w:rPr>
              <w:t>Detects persistence entries in CurrentVersion\Run and RunOnce keys.</w:t>
            </w:r>
          </w:p>
        </w:tc>
      </w:tr>
      <w:tr>
        <w:tc>
          <w:tcPr>
            <w:tcW w:type="dxa" w:w="1728"/>
            <w:shd w:fill="F8FAFC"/>
            <w:tcMar>
              <w:top w:w="80" w:type="dxa"/>
              <w:bottom w:w="80" w:type="dxa"/>
              <w:left w:w="120" w:type="dxa"/>
              <w:right w:w="120" w:type="dxa"/>
            </w:tcMar>
          </w:tcPr>
          <w:p>
            <w:pPr>
              <w:spacing w:before="40" w:after="40"/>
            </w:pPr>
            <w:r>
              <w:rPr>
                <w:color w:val="1E293B"/>
                <w:sz w:val="17"/>
              </w:rPr>
              <w:t>22</w:t>
            </w:r>
          </w:p>
        </w:tc>
        <w:tc>
          <w:tcPr>
            <w:tcW w:type="dxa" w:w="2592"/>
            <w:shd w:fill="F8FAFC"/>
            <w:tcMar>
              <w:top w:w="80" w:type="dxa"/>
              <w:bottom w:w="80" w:type="dxa"/>
              <w:left w:w="120" w:type="dxa"/>
              <w:right w:w="120" w:type="dxa"/>
            </w:tcMar>
          </w:tcPr>
          <w:p>
            <w:pPr>
              <w:spacing w:before="40" w:after="40"/>
            </w:pPr>
            <w:r>
              <w:rPr>
                <w:color w:val="1E293B"/>
                <w:sz w:val="17"/>
              </w:rPr>
              <w:t>DNSEvent</w:t>
            </w:r>
          </w:p>
        </w:tc>
        <w:tc>
          <w:tcPr>
            <w:tcW w:type="dxa" w:w="5040"/>
            <w:shd w:fill="F8FAFC"/>
            <w:tcMar>
              <w:top w:w="80" w:type="dxa"/>
              <w:bottom w:w="80" w:type="dxa"/>
              <w:left w:w="120" w:type="dxa"/>
              <w:right w:w="120" w:type="dxa"/>
            </w:tcMar>
          </w:tcPr>
          <w:p>
            <w:pPr>
              <w:spacing w:before="40" w:after="40"/>
            </w:pPr>
            <w:r>
              <w:rPr>
                <w:color w:val="1E293B"/>
                <w:sz w:val="17"/>
              </w:rPr>
              <w:t>Monitors DNS requests originated by individual processes for tunneling identification.</w:t>
            </w:r>
          </w:p>
        </w:tc>
      </w:tr>
    </w:tbl>
    <w:p>
      <w:pPr>
        <w:spacing w:after="160"/>
      </w:pPr>
    </w:p>
    <w:p>
      <w:pPr>
        <w:pStyle w:val="Heading2"/>
        <w:spacing w:before="280" w:after="120"/>
      </w:pPr>
      <w:r>
        <w:rPr>
          <w:b/>
          <w:color w:val="0284C7"/>
          <w:sz w:val="30"/>
        </w:rPr>
        <w:t>2.3 Zeek Wire Telemetry Schema</w:t>
      </w:r>
    </w:p>
    <w:tbl>
      <w:tblPr>
        <w:tblW w:type="auto" w:w="0"/>
        <w:tblLook w:firstColumn="1" w:firstRow="1" w:lastColumn="0" w:lastRow="0" w:noHBand="0" w:noVBand="1" w:val="04A0"/>
      </w:tblPr>
      <w:tblGrid>
        <w:gridCol w:w="3120"/>
        <w:gridCol w:w="3120"/>
        <w:gridCol w:w="3120"/>
      </w:tblGrid>
      <w:tr>
        <w:tc>
          <w:tcPr>
            <w:tcW w:type="dxa" w:w="1728"/>
            <w:shd w:fill="0F172A"/>
            <w:tcMar>
              <w:top w:w="120" w:type="dxa"/>
              <w:bottom w:w="120" w:type="dxa"/>
              <w:left w:w="140" w:type="dxa"/>
              <w:right w:w="140" w:type="dxa"/>
            </w:tcMar>
          </w:tcPr>
          <w:p>
            <w:pPr>
              <w:spacing w:before="40" w:after="40"/>
              <w:jc w:val="left"/>
            </w:pPr>
            <w:r>
              <w:rPr>
                <w:b/>
                <w:color w:val="FFFFFF"/>
                <w:sz w:val="18"/>
              </w:rPr>
              <w:t>Log Name</w:t>
            </w:r>
          </w:p>
        </w:tc>
        <w:tc>
          <w:tcPr>
            <w:tcW w:type="dxa" w:w="2592"/>
            <w:shd w:fill="0F172A"/>
            <w:tcMar>
              <w:top w:w="120" w:type="dxa"/>
              <w:bottom w:w="120" w:type="dxa"/>
              <w:left w:w="140" w:type="dxa"/>
              <w:right w:w="140" w:type="dxa"/>
            </w:tcMar>
          </w:tcPr>
          <w:p>
            <w:pPr>
              <w:spacing w:before="40" w:after="40"/>
              <w:jc w:val="left"/>
            </w:pPr>
            <w:r>
              <w:rPr>
                <w:b/>
                <w:color w:val="FFFFFF"/>
                <w:sz w:val="18"/>
              </w:rPr>
              <w:t>Monitored Protocol</w:t>
            </w:r>
          </w:p>
        </w:tc>
        <w:tc>
          <w:tcPr>
            <w:tcW w:type="dxa" w:w="5040"/>
            <w:shd w:fill="0F172A"/>
            <w:tcMar>
              <w:top w:w="120" w:type="dxa"/>
              <w:bottom w:w="120" w:type="dxa"/>
              <w:left w:w="140" w:type="dxa"/>
              <w:right w:w="140" w:type="dxa"/>
            </w:tcMar>
          </w:tcPr>
          <w:p>
            <w:pPr>
              <w:spacing w:before="40" w:after="40"/>
              <w:jc w:val="left"/>
            </w:pPr>
            <w:r>
              <w:rPr>
                <w:b/>
                <w:color w:val="FFFFFF"/>
                <w:sz w:val="18"/>
              </w:rPr>
              <w:t>Forensic Utility</w:t>
            </w:r>
          </w:p>
        </w:tc>
      </w:tr>
      <w:tr>
        <w:tc>
          <w:tcPr>
            <w:tcW w:type="dxa" w:w="1728"/>
            <w:shd w:fill="FFFFFF"/>
            <w:tcMar>
              <w:top w:w="80" w:type="dxa"/>
              <w:bottom w:w="80" w:type="dxa"/>
              <w:left w:w="120" w:type="dxa"/>
              <w:right w:w="120" w:type="dxa"/>
            </w:tcMar>
          </w:tcPr>
          <w:p>
            <w:pPr>
              <w:spacing w:before="40" w:after="40"/>
            </w:pPr>
            <w:r>
              <w:rPr>
                <w:color w:val="1E293B"/>
                <w:sz w:val="17"/>
              </w:rPr>
              <w:t>conn.log</w:t>
            </w:r>
          </w:p>
        </w:tc>
        <w:tc>
          <w:tcPr>
            <w:tcW w:type="dxa" w:w="2592"/>
            <w:shd w:fill="FFFFFF"/>
            <w:tcMar>
              <w:top w:w="80" w:type="dxa"/>
              <w:bottom w:w="80" w:type="dxa"/>
              <w:left w:w="120" w:type="dxa"/>
              <w:right w:w="120" w:type="dxa"/>
            </w:tcMar>
          </w:tcPr>
          <w:p>
            <w:pPr>
              <w:spacing w:before="40" w:after="40"/>
            </w:pPr>
            <w:r>
              <w:rPr>
                <w:color w:val="1E293B"/>
                <w:sz w:val="17"/>
              </w:rPr>
              <w:t>TCP/UDP Flow Records</w:t>
            </w:r>
          </w:p>
        </w:tc>
        <w:tc>
          <w:tcPr>
            <w:tcW w:type="dxa" w:w="5040"/>
            <w:shd w:fill="FFFFFF"/>
            <w:tcMar>
              <w:top w:w="80" w:type="dxa"/>
              <w:bottom w:w="80" w:type="dxa"/>
              <w:left w:w="120" w:type="dxa"/>
              <w:right w:w="120" w:type="dxa"/>
            </w:tcMar>
          </w:tcPr>
          <w:p>
            <w:pPr>
              <w:spacing w:before="40" w:after="40"/>
            </w:pPr>
            <w:r>
              <w:rPr>
                <w:color w:val="1E293B"/>
                <w:sz w:val="17"/>
              </w:rPr>
              <w:t>Tracks connection duration, orig/resp byte ratios, and inter-arrival timing.</w:t>
            </w:r>
          </w:p>
        </w:tc>
      </w:tr>
      <w:tr>
        <w:tc>
          <w:tcPr>
            <w:tcW w:type="dxa" w:w="1728"/>
            <w:shd w:fill="F8FAFC"/>
            <w:tcMar>
              <w:top w:w="80" w:type="dxa"/>
              <w:bottom w:w="80" w:type="dxa"/>
              <w:left w:w="120" w:type="dxa"/>
              <w:right w:w="120" w:type="dxa"/>
            </w:tcMar>
          </w:tcPr>
          <w:p>
            <w:pPr>
              <w:spacing w:before="40" w:after="40"/>
            </w:pPr>
            <w:r>
              <w:rPr>
                <w:color w:val="1E293B"/>
                <w:sz w:val="17"/>
              </w:rPr>
              <w:t>dns.log</w:t>
            </w:r>
          </w:p>
        </w:tc>
        <w:tc>
          <w:tcPr>
            <w:tcW w:type="dxa" w:w="2592"/>
            <w:shd w:fill="F8FAFC"/>
            <w:tcMar>
              <w:top w:w="80" w:type="dxa"/>
              <w:bottom w:w="80" w:type="dxa"/>
              <w:left w:w="120" w:type="dxa"/>
              <w:right w:w="120" w:type="dxa"/>
            </w:tcMar>
          </w:tcPr>
          <w:p>
            <w:pPr>
              <w:spacing w:before="40" w:after="40"/>
            </w:pPr>
            <w:r>
              <w:rPr>
                <w:color w:val="1E293B"/>
                <w:sz w:val="17"/>
              </w:rPr>
              <w:t>DNS Resolution (Port 53)</w:t>
            </w:r>
          </w:p>
        </w:tc>
        <w:tc>
          <w:tcPr>
            <w:tcW w:type="dxa" w:w="5040"/>
            <w:shd w:fill="F8FAFC"/>
            <w:tcMar>
              <w:top w:w="80" w:type="dxa"/>
              <w:bottom w:w="80" w:type="dxa"/>
              <w:left w:w="120" w:type="dxa"/>
              <w:right w:w="120" w:type="dxa"/>
            </w:tcMar>
          </w:tcPr>
          <w:p>
            <w:pPr>
              <w:spacing w:before="40" w:after="40"/>
            </w:pPr>
            <w:r>
              <w:rPr>
                <w:color w:val="1E293B"/>
                <w:sz w:val="17"/>
              </w:rPr>
              <w:t>Captures query strings, record types (TXT, NULL, A), and TTL anomalies.</w:t>
            </w:r>
          </w:p>
        </w:tc>
      </w:tr>
      <w:tr>
        <w:tc>
          <w:tcPr>
            <w:tcW w:type="dxa" w:w="1728"/>
            <w:shd w:fill="FFFFFF"/>
            <w:tcMar>
              <w:top w:w="80" w:type="dxa"/>
              <w:bottom w:w="80" w:type="dxa"/>
              <w:left w:w="120" w:type="dxa"/>
              <w:right w:w="120" w:type="dxa"/>
            </w:tcMar>
          </w:tcPr>
          <w:p>
            <w:pPr>
              <w:spacing w:before="40" w:after="40"/>
            </w:pPr>
            <w:r>
              <w:rPr>
                <w:color w:val="1E293B"/>
                <w:sz w:val="17"/>
              </w:rPr>
              <w:t>http.log</w:t>
            </w:r>
          </w:p>
        </w:tc>
        <w:tc>
          <w:tcPr>
            <w:tcW w:type="dxa" w:w="2592"/>
            <w:shd w:fill="FFFFFF"/>
            <w:tcMar>
              <w:top w:w="80" w:type="dxa"/>
              <w:bottom w:w="80" w:type="dxa"/>
              <w:left w:w="120" w:type="dxa"/>
              <w:right w:w="120" w:type="dxa"/>
            </w:tcMar>
          </w:tcPr>
          <w:p>
            <w:pPr>
              <w:spacing w:before="40" w:after="40"/>
            </w:pPr>
            <w:r>
              <w:rPr>
                <w:color w:val="1E293B"/>
                <w:sz w:val="17"/>
              </w:rPr>
              <w:t>HTTP Protocol (Port 80/8080)</w:t>
            </w:r>
          </w:p>
        </w:tc>
        <w:tc>
          <w:tcPr>
            <w:tcW w:type="dxa" w:w="5040"/>
            <w:shd w:fill="FFFFFF"/>
            <w:tcMar>
              <w:top w:w="80" w:type="dxa"/>
              <w:bottom w:w="80" w:type="dxa"/>
              <w:left w:w="120" w:type="dxa"/>
              <w:right w:w="120" w:type="dxa"/>
            </w:tcMar>
          </w:tcPr>
          <w:p>
            <w:pPr>
              <w:spacing w:before="40" w:after="40"/>
            </w:pPr>
            <w:r>
              <w:rPr>
                <w:color w:val="1E293B"/>
                <w:sz w:val="17"/>
              </w:rPr>
              <w:t>Monitors URIs, request methods, User-Agent strings, and server response codes.</w:t>
            </w:r>
          </w:p>
        </w:tc>
      </w:tr>
      <w:tr>
        <w:tc>
          <w:tcPr>
            <w:tcW w:type="dxa" w:w="1728"/>
            <w:shd w:fill="F8FAFC"/>
            <w:tcMar>
              <w:top w:w="80" w:type="dxa"/>
              <w:bottom w:w="80" w:type="dxa"/>
              <w:left w:w="120" w:type="dxa"/>
              <w:right w:w="120" w:type="dxa"/>
            </w:tcMar>
          </w:tcPr>
          <w:p>
            <w:pPr>
              <w:spacing w:before="40" w:after="40"/>
            </w:pPr>
            <w:r>
              <w:rPr>
                <w:color w:val="1E293B"/>
                <w:sz w:val="17"/>
              </w:rPr>
              <w:t>ssl.log</w:t>
            </w:r>
          </w:p>
        </w:tc>
        <w:tc>
          <w:tcPr>
            <w:tcW w:type="dxa" w:w="2592"/>
            <w:shd w:fill="F8FAFC"/>
            <w:tcMar>
              <w:top w:w="80" w:type="dxa"/>
              <w:bottom w:w="80" w:type="dxa"/>
              <w:left w:w="120" w:type="dxa"/>
              <w:right w:w="120" w:type="dxa"/>
            </w:tcMar>
          </w:tcPr>
          <w:p>
            <w:pPr>
              <w:spacing w:before="40" w:after="40"/>
            </w:pPr>
            <w:r>
              <w:rPr>
                <w:color w:val="1E293B"/>
                <w:sz w:val="17"/>
              </w:rPr>
              <w:t>TLS/SSL Sessions (Port 443)</w:t>
            </w:r>
          </w:p>
        </w:tc>
        <w:tc>
          <w:tcPr>
            <w:tcW w:type="dxa" w:w="5040"/>
            <w:shd w:fill="F8FAFC"/>
            <w:tcMar>
              <w:top w:w="80" w:type="dxa"/>
              <w:bottom w:w="80" w:type="dxa"/>
              <w:left w:w="120" w:type="dxa"/>
              <w:right w:w="120" w:type="dxa"/>
            </w:tcMar>
          </w:tcPr>
          <w:p>
            <w:pPr>
              <w:spacing w:before="40" w:after="40"/>
            </w:pPr>
            <w:r>
              <w:rPr>
                <w:color w:val="1E293B"/>
                <w:sz w:val="17"/>
              </w:rPr>
              <w:t>Extracts SNI server names, certificate issuers, and JA3/JA3S client fingerprints.</w:t>
            </w:r>
          </w:p>
        </w:tc>
      </w:tr>
    </w:tbl>
    <w:p>
      <w:r>
        <w:br w:type="page"/>
      </w:r>
    </w:p>
    <w:p>
      <w:pPr>
        <w:pStyle w:val="Heading1"/>
        <w:spacing w:before="280" w:after="120"/>
      </w:pPr>
      <w:r>
        <w:rPr>
          <w:b/>
          <w:color w:val="0F172A"/>
          <w:sz w:val="40"/>
        </w:rPr>
        <w:t>3. MITRE ATT&amp;CK Enterprise Coverage Matrix</w:t>
      </w:r>
    </w:p>
    <w:p>
      <w:r>
        <w:t>Cyberion evaluated 26 distinct techniques across 9 Enterprise ATT&amp;CK Tactics. In accordance with PRD Section 4.3, each technique is classified as Covered, Partially Covered, or Not Covered, referencing supporting Sigma rules or threat hunts.</w:t>
      </w:r>
    </w:p>
    <w:tbl>
      <w:tblPr>
        <w:tblW w:type="auto" w:w="0"/>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40" w:type="dxa"/>
              <w:right w:w="140" w:type="dxa"/>
            </w:tcMar>
          </w:tcPr>
          <w:p>
            <w:pPr>
              <w:spacing w:before="40" w:after="40"/>
              <w:jc w:val="left"/>
            </w:pPr>
            <w:r>
              <w:rPr>
                <w:b/>
                <w:color w:val="FFFFFF"/>
                <w:sz w:val="18"/>
              </w:rPr>
              <w:t>Tactic</w:t>
            </w:r>
          </w:p>
        </w:tc>
        <w:tc>
          <w:tcPr>
            <w:tcW w:type="dxa" w:w="1440"/>
            <w:shd w:fill="0F172A"/>
            <w:tcMar>
              <w:top w:w="120" w:type="dxa"/>
              <w:bottom w:w="120" w:type="dxa"/>
              <w:left w:w="140" w:type="dxa"/>
              <w:right w:w="140" w:type="dxa"/>
            </w:tcMar>
          </w:tcPr>
          <w:p>
            <w:pPr>
              <w:spacing w:before="40" w:after="40"/>
              <w:jc w:val="left"/>
            </w:pPr>
            <w:r>
              <w:rPr>
                <w:b/>
                <w:color w:val="FFFFFF"/>
                <w:sz w:val="18"/>
              </w:rPr>
              <w:t>Tech ID</w:t>
            </w:r>
          </w:p>
        </w:tc>
        <w:tc>
          <w:tcPr>
            <w:tcW w:type="dxa" w:w="2592"/>
            <w:shd w:fill="0F172A"/>
            <w:tcMar>
              <w:top w:w="120" w:type="dxa"/>
              <w:bottom w:w="120" w:type="dxa"/>
              <w:left w:w="140" w:type="dxa"/>
              <w:right w:w="140" w:type="dxa"/>
            </w:tcMar>
          </w:tcPr>
          <w:p>
            <w:pPr>
              <w:spacing w:before="40" w:after="40"/>
              <w:jc w:val="left"/>
            </w:pPr>
            <w:r>
              <w:rPr>
                <w:b/>
                <w:color w:val="FFFFFF"/>
                <w:sz w:val="18"/>
              </w:rPr>
              <w:t>Technique Name</w:t>
            </w:r>
          </w:p>
        </w:tc>
        <w:tc>
          <w:tcPr>
            <w:tcW w:type="dxa" w:w="1584"/>
            <w:shd w:fill="0F172A"/>
            <w:tcMar>
              <w:top w:w="120" w:type="dxa"/>
              <w:bottom w:w="120" w:type="dxa"/>
              <w:left w:w="140" w:type="dxa"/>
              <w:right w:w="140" w:type="dxa"/>
            </w:tcMar>
          </w:tcPr>
          <w:p>
            <w:pPr>
              <w:spacing w:before="40" w:after="40"/>
              <w:jc w:val="left"/>
            </w:pPr>
            <w:r>
              <w:rPr>
                <w:b/>
                <w:color w:val="FFFFFF"/>
                <w:sz w:val="18"/>
              </w:rPr>
              <w:t>Status</w:t>
            </w:r>
          </w:p>
        </w:tc>
        <w:tc>
          <w:tcPr>
            <w:tcW w:type="dxa" w:w="1872"/>
            <w:shd w:fill="0F172A"/>
            <w:tcMar>
              <w:top w:w="120" w:type="dxa"/>
              <w:bottom w:w="120" w:type="dxa"/>
              <w:left w:w="140" w:type="dxa"/>
              <w:right w:w="140" w:type="dxa"/>
            </w:tcMar>
          </w:tcPr>
          <w:p>
            <w:pPr>
              <w:spacing w:before="40" w:after="40"/>
              <w:jc w:val="left"/>
            </w:pPr>
            <w:r>
              <w:rPr>
                <w:b/>
                <w:color w:val="FFFFFF"/>
                <w:sz w:val="18"/>
              </w:rPr>
              <w:t>Supporting ID</w:t>
            </w:r>
          </w:p>
        </w:tc>
      </w:tr>
      <w:tr>
        <w:tc>
          <w:tcPr>
            <w:tcW w:type="dxa" w:w="1872"/>
            <w:shd w:fill="FFFFFF"/>
            <w:tcMar>
              <w:top w:w="80" w:type="dxa"/>
              <w:bottom w:w="80" w:type="dxa"/>
              <w:left w:w="120" w:type="dxa"/>
              <w:right w:w="120" w:type="dxa"/>
            </w:tcMar>
          </w:tcPr>
          <w:p>
            <w:pPr>
              <w:spacing w:before="40" w:after="40"/>
            </w:pPr>
            <w:r>
              <w:rPr>
                <w:color w:val="1E293B"/>
                <w:sz w:val="17"/>
              </w:rPr>
              <w:t>Initial Access</w:t>
            </w:r>
          </w:p>
        </w:tc>
        <w:tc>
          <w:tcPr>
            <w:tcW w:type="dxa" w:w="1440"/>
            <w:shd w:fill="FFFFFF"/>
            <w:tcMar>
              <w:top w:w="80" w:type="dxa"/>
              <w:bottom w:w="80" w:type="dxa"/>
              <w:left w:w="120" w:type="dxa"/>
              <w:right w:w="120" w:type="dxa"/>
            </w:tcMar>
          </w:tcPr>
          <w:p>
            <w:pPr>
              <w:spacing w:before="40" w:after="40"/>
            </w:pPr>
            <w:r>
              <w:rPr>
                <w:color w:val="1E293B"/>
                <w:sz w:val="17"/>
              </w:rPr>
              <w:t>T1078</w:t>
            </w:r>
          </w:p>
        </w:tc>
        <w:tc>
          <w:tcPr>
            <w:tcW w:type="dxa" w:w="2592"/>
            <w:shd w:fill="FFFFFF"/>
            <w:tcMar>
              <w:top w:w="80" w:type="dxa"/>
              <w:bottom w:w="80" w:type="dxa"/>
              <w:left w:w="120" w:type="dxa"/>
              <w:right w:w="120" w:type="dxa"/>
            </w:tcMar>
          </w:tcPr>
          <w:p>
            <w:pPr>
              <w:spacing w:before="40" w:after="40"/>
            </w:pPr>
            <w:r>
              <w:rPr>
                <w:color w:val="1E293B"/>
                <w:sz w:val="17"/>
              </w:rPr>
              <w:t>Valid Accounts</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CDL-RULE-016</w:t>
            </w:r>
          </w:p>
        </w:tc>
      </w:tr>
      <w:tr>
        <w:tc>
          <w:tcPr>
            <w:tcW w:type="dxa" w:w="1872"/>
            <w:shd w:fill="F8FAFC"/>
            <w:tcMar>
              <w:top w:w="80" w:type="dxa"/>
              <w:bottom w:w="80" w:type="dxa"/>
              <w:left w:w="120" w:type="dxa"/>
              <w:right w:w="120" w:type="dxa"/>
            </w:tcMar>
          </w:tcPr>
          <w:p>
            <w:pPr>
              <w:spacing w:before="40" w:after="40"/>
            </w:pPr>
            <w:r>
              <w:rPr>
                <w:color w:val="1E293B"/>
                <w:sz w:val="17"/>
              </w:rPr>
              <w:t>Initial Access</w:t>
            </w:r>
          </w:p>
        </w:tc>
        <w:tc>
          <w:tcPr>
            <w:tcW w:type="dxa" w:w="1440"/>
            <w:shd w:fill="F8FAFC"/>
            <w:tcMar>
              <w:top w:w="80" w:type="dxa"/>
              <w:bottom w:w="80" w:type="dxa"/>
              <w:left w:w="120" w:type="dxa"/>
              <w:right w:w="120" w:type="dxa"/>
            </w:tcMar>
          </w:tcPr>
          <w:p>
            <w:pPr>
              <w:spacing w:before="40" w:after="40"/>
            </w:pPr>
            <w:r>
              <w:rPr>
                <w:color w:val="1E293B"/>
                <w:sz w:val="17"/>
              </w:rPr>
              <w:t>T1566.001</w:t>
            </w:r>
          </w:p>
        </w:tc>
        <w:tc>
          <w:tcPr>
            <w:tcW w:type="dxa" w:w="2592"/>
            <w:shd w:fill="F8FAFC"/>
            <w:tcMar>
              <w:top w:w="80" w:type="dxa"/>
              <w:bottom w:w="80" w:type="dxa"/>
              <w:left w:w="120" w:type="dxa"/>
              <w:right w:w="120" w:type="dxa"/>
            </w:tcMar>
          </w:tcPr>
          <w:p>
            <w:pPr>
              <w:spacing w:before="40" w:after="40"/>
            </w:pPr>
            <w:r>
              <w:rPr>
                <w:color w:val="1E293B"/>
                <w:sz w:val="17"/>
              </w:rPr>
              <w:t>Spearphishing Attachment</w:t>
            </w:r>
          </w:p>
        </w:tc>
        <w:tc>
          <w:tcPr>
            <w:tcW w:type="dxa" w:w="1584"/>
            <w:shd w:fill="F8FAFC"/>
            <w:tcMar>
              <w:top w:w="80" w:type="dxa"/>
              <w:bottom w:w="80" w:type="dxa"/>
              <w:left w:w="120" w:type="dxa"/>
              <w:right w:w="120" w:type="dxa"/>
            </w:tcMar>
          </w:tcPr>
          <w:p>
            <w:pPr>
              <w:spacing w:before="40" w:after="40"/>
            </w:pPr>
            <w:r>
              <w:rPr>
                <w:color w:val="1E293B"/>
                <w:sz w:val="17"/>
              </w:rPr>
              <w:t>Partially Covered</w:t>
            </w:r>
          </w:p>
        </w:tc>
        <w:tc>
          <w:tcPr>
            <w:tcW w:type="dxa" w:w="1872"/>
            <w:shd w:fill="F8FAFC"/>
            <w:tcMar>
              <w:top w:w="80" w:type="dxa"/>
              <w:bottom w:w="80" w:type="dxa"/>
              <w:left w:w="120" w:type="dxa"/>
              <w:right w:w="120" w:type="dxa"/>
            </w:tcMar>
          </w:tcPr>
          <w:p>
            <w:pPr>
              <w:spacing w:before="40" w:after="40"/>
            </w:pPr>
            <w:r>
              <w:rPr>
                <w:color w:val="1E293B"/>
                <w:sz w:val="17"/>
              </w:rPr>
              <w:t>CDL-RULE-013, INC-001</w:t>
            </w:r>
          </w:p>
        </w:tc>
      </w:tr>
      <w:tr>
        <w:tc>
          <w:tcPr>
            <w:tcW w:type="dxa" w:w="1872"/>
            <w:shd w:fill="FFFFFF"/>
            <w:tcMar>
              <w:top w:w="80" w:type="dxa"/>
              <w:bottom w:w="80" w:type="dxa"/>
              <w:left w:w="120" w:type="dxa"/>
              <w:right w:w="120" w:type="dxa"/>
            </w:tcMar>
          </w:tcPr>
          <w:p>
            <w:pPr>
              <w:spacing w:before="40" w:after="40"/>
            </w:pPr>
            <w:r>
              <w:rPr>
                <w:color w:val="1E293B"/>
                <w:sz w:val="17"/>
              </w:rPr>
              <w:t>Execution</w:t>
            </w:r>
          </w:p>
        </w:tc>
        <w:tc>
          <w:tcPr>
            <w:tcW w:type="dxa" w:w="1440"/>
            <w:shd w:fill="FFFFFF"/>
            <w:tcMar>
              <w:top w:w="80" w:type="dxa"/>
              <w:bottom w:w="80" w:type="dxa"/>
              <w:left w:w="120" w:type="dxa"/>
              <w:right w:w="120" w:type="dxa"/>
            </w:tcMar>
          </w:tcPr>
          <w:p>
            <w:pPr>
              <w:spacing w:before="40" w:after="40"/>
            </w:pPr>
            <w:r>
              <w:rPr>
                <w:color w:val="1E293B"/>
                <w:sz w:val="17"/>
              </w:rPr>
              <w:t>T1059.001</w:t>
            </w:r>
          </w:p>
        </w:tc>
        <w:tc>
          <w:tcPr>
            <w:tcW w:type="dxa" w:w="2592"/>
            <w:shd w:fill="FFFFFF"/>
            <w:tcMar>
              <w:top w:w="80" w:type="dxa"/>
              <w:bottom w:w="80" w:type="dxa"/>
              <w:left w:w="120" w:type="dxa"/>
              <w:right w:w="120" w:type="dxa"/>
            </w:tcMar>
          </w:tcPr>
          <w:p>
            <w:pPr>
              <w:spacing w:before="40" w:after="40"/>
            </w:pPr>
            <w:r>
              <w:rPr>
                <w:color w:val="1E293B"/>
                <w:sz w:val="17"/>
              </w:rPr>
              <w:t>PowerShell</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CDL-RULE-001</w:t>
            </w:r>
          </w:p>
        </w:tc>
      </w:tr>
      <w:tr>
        <w:tc>
          <w:tcPr>
            <w:tcW w:type="dxa" w:w="1872"/>
            <w:shd w:fill="F8FAFC"/>
            <w:tcMar>
              <w:top w:w="80" w:type="dxa"/>
              <w:bottom w:w="80" w:type="dxa"/>
              <w:left w:w="120" w:type="dxa"/>
              <w:right w:w="120" w:type="dxa"/>
            </w:tcMar>
          </w:tcPr>
          <w:p>
            <w:pPr>
              <w:spacing w:before="40" w:after="40"/>
            </w:pPr>
            <w:r>
              <w:rPr>
                <w:color w:val="1E293B"/>
                <w:sz w:val="17"/>
              </w:rPr>
              <w:t>Execution</w:t>
            </w:r>
          </w:p>
        </w:tc>
        <w:tc>
          <w:tcPr>
            <w:tcW w:type="dxa" w:w="1440"/>
            <w:shd w:fill="F8FAFC"/>
            <w:tcMar>
              <w:top w:w="80" w:type="dxa"/>
              <w:bottom w:w="80" w:type="dxa"/>
              <w:left w:w="120" w:type="dxa"/>
              <w:right w:w="120" w:type="dxa"/>
            </w:tcMar>
          </w:tcPr>
          <w:p>
            <w:pPr>
              <w:spacing w:before="40" w:after="40"/>
            </w:pPr>
            <w:r>
              <w:rPr>
                <w:color w:val="1E293B"/>
                <w:sz w:val="17"/>
              </w:rPr>
              <w:t>T1059.003</w:t>
            </w:r>
          </w:p>
        </w:tc>
        <w:tc>
          <w:tcPr>
            <w:tcW w:type="dxa" w:w="2592"/>
            <w:shd w:fill="F8FAFC"/>
            <w:tcMar>
              <w:top w:w="80" w:type="dxa"/>
              <w:bottom w:w="80" w:type="dxa"/>
              <w:left w:w="120" w:type="dxa"/>
              <w:right w:w="120" w:type="dxa"/>
            </w:tcMar>
          </w:tcPr>
          <w:p>
            <w:pPr>
              <w:spacing w:before="40" w:after="40"/>
            </w:pPr>
            <w:r>
              <w:rPr>
                <w:color w:val="1E293B"/>
                <w:sz w:val="17"/>
              </w:rPr>
              <w:t>Windows Command Shell</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CDL-RULE-004, CDL-RULE-017</w:t>
            </w:r>
          </w:p>
        </w:tc>
      </w:tr>
      <w:tr>
        <w:tc>
          <w:tcPr>
            <w:tcW w:type="dxa" w:w="1872"/>
            <w:shd w:fill="FFFFFF"/>
            <w:tcMar>
              <w:top w:w="80" w:type="dxa"/>
              <w:bottom w:w="80" w:type="dxa"/>
              <w:left w:w="120" w:type="dxa"/>
              <w:right w:w="120" w:type="dxa"/>
            </w:tcMar>
          </w:tcPr>
          <w:p>
            <w:pPr>
              <w:spacing w:before="40" w:after="40"/>
            </w:pPr>
            <w:r>
              <w:rPr>
                <w:color w:val="1E293B"/>
                <w:sz w:val="17"/>
              </w:rPr>
              <w:t>Execution</w:t>
            </w:r>
          </w:p>
        </w:tc>
        <w:tc>
          <w:tcPr>
            <w:tcW w:type="dxa" w:w="1440"/>
            <w:shd w:fill="FFFFFF"/>
            <w:tcMar>
              <w:top w:w="80" w:type="dxa"/>
              <w:bottom w:w="80" w:type="dxa"/>
              <w:left w:w="120" w:type="dxa"/>
              <w:right w:w="120" w:type="dxa"/>
            </w:tcMar>
          </w:tcPr>
          <w:p>
            <w:pPr>
              <w:spacing w:before="40" w:after="40"/>
            </w:pPr>
            <w:r>
              <w:rPr>
                <w:color w:val="1E293B"/>
                <w:sz w:val="17"/>
              </w:rPr>
              <w:t>T1047</w:t>
            </w:r>
          </w:p>
        </w:tc>
        <w:tc>
          <w:tcPr>
            <w:tcW w:type="dxa" w:w="2592"/>
            <w:shd w:fill="FFFFFF"/>
            <w:tcMar>
              <w:top w:w="80" w:type="dxa"/>
              <w:bottom w:w="80" w:type="dxa"/>
              <w:left w:w="120" w:type="dxa"/>
              <w:right w:w="120" w:type="dxa"/>
            </w:tcMar>
          </w:tcPr>
          <w:p>
            <w:pPr>
              <w:spacing w:before="40" w:after="40"/>
            </w:pPr>
            <w:r>
              <w:rPr>
                <w:color w:val="1E293B"/>
                <w:sz w:val="17"/>
              </w:rPr>
              <w:t>Windows Management Instrumentation</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CDL-RULE-004, CDL-HUNT-02</w:t>
            </w:r>
          </w:p>
        </w:tc>
      </w:tr>
      <w:tr>
        <w:tc>
          <w:tcPr>
            <w:tcW w:type="dxa" w:w="1872"/>
            <w:shd w:fill="F8FAFC"/>
            <w:tcMar>
              <w:top w:w="80" w:type="dxa"/>
              <w:bottom w:w="80" w:type="dxa"/>
              <w:left w:w="120" w:type="dxa"/>
              <w:right w:w="120" w:type="dxa"/>
            </w:tcMar>
          </w:tcPr>
          <w:p>
            <w:pPr>
              <w:spacing w:before="40" w:after="40"/>
            </w:pPr>
            <w:r>
              <w:rPr>
                <w:color w:val="1E293B"/>
                <w:sz w:val="17"/>
              </w:rPr>
              <w:t>Execution</w:t>
            </w:r>
          </w:p>
        </w:tc>
        <w:tc>
          <w:tcPr>
            <w:tcW w:type="dxa" w:w="1440"/>
            <w:shd w:fill="F8FAFC"/>
            <w:tcMar>
              <w:top w:w="80" w:type="dxa"/>
              <w:bottom w:w="80" w:type="dxa"/>
              <w:left w:w="120" w:type="dxa"/>
              <w:right w:w="120" w:type="dxa"/>
            </w:tcMar>
          </w:tcPr>
          <w:p>
            <w:pPr>
              <w:spacing w:before="40" w:after="40"/>
            </w:pPr>
            <w:r>
              <w:rPr>
                <w:color w:val="1E293B"/>
                <w:sz w:val="17"/>
              </w:rPr>
              <w:t>T1204.002</w:t>
            </w:r>
          </w:p>
        </w:tc>
        <w:tc>
          <w:tcPr>
            <w:tcW w:type="dxa" w:w="2592"/>
            <w:shd w:fill="F8FAFC"/>
            <w:tcMar>
              <w:top w:w="80" w:type="dxa"/>
              <w:bottom w:w="80" w:type="dxa"/>
              <w:left w:w="120" w:type="dxa"/>
              <w:right w:w="120" w:type="dxa"/>
            </w:tcMar>
          </w:tcPr>
          <w:p>
            <w:pPr>
              <w:spacing w:before="40" w:after="40"/>
            </w:pPr>
            <w:r>
              <w:rPr>
                <w:color w:val="1E293B"/>
                <w:sz w:val="17"/>
              </w:rPr>
              <w:t>User Execution: Malicious File</w:t>
            </w:r>
          </w:p>
        </w:tc>
        <w:tc>
          <w:tcPr>
            <w:tcW w:type="dxa" w:w="1584"/>
            <w:shd w:fill="F8FAFC"/>
            <w:tcMar>
              <w:top w:w="80" w:type="dxa"/>
              <w:bottom w:w="80" w:type="dxa"/>
              <w:left w:w="120" w:type="dxa"/>
              <w:right w:w="120" w:type="dxa"/>
            </w:tcMar>
          </w:tcPr>
          <w:p>
            <w:pPr>
              <w:spacing w:before="40" w:after="40"/>
            </w:pPr>
            <w:r>
              <w:rPr>
                <w:color w:val="1E293B"/>
                <w:sz w:val="17"/>
              </w:rPr>
              <w:t>Partially Covered</w:t>
            </w:r>
          </w:p>
        </w:tc>
        <w:tc>
          <w:tcPr>
            <w:tcW w:type="dxa" w:w="1872"/>
            <w:shd w:fill="F8FAFC"/>
            <w:tcMar>
              <w:top w:w="80" w:type="dxa"/>
              <w:bottom w:w="80" w:type="dxa"/>
              <w:left w:w="120" w:type="dxa"/>
              <w:right w:w="120" w:type="dxa"/>
            </w:tcMar>
          </w:tcPr>
          <w:p>
            <w:pPr>
              <w:spacing w:before="40" w:after="40"/>
            </w:pPr>
            <w:r>
              <w:rPr>
                <w:color w:val="1E293B"/>
                <w:sz w:val="17"/>
              </w:rPr>
              <w:t>CDL-RULE-008, CDL-RULE-013</w:t>
            </w:r>
          </w:p>
        </w:tc>
      </w:tr>
      <w:tr>
        <w:tc>
          <w:tcPr>
            <w:tcW w:type="dxa" w:w="1872"/>
            <w:shd w:fill="FFFFFF"/>
            <w:tcMar>
              <w:top w:w="80" w:type="dxa"/>
              <w:bottom w:w="80" w:type="dxa"/>
              <w:left w:w="120" w:type="dxa"/>
              <w:right w:w="120" w:type="dxa"/>
            </w:tcMar>
          </w:tcPr>
          <w:p>
            <w:pPr>
              <w:spacing w:before="40" w:after="40"/>
            </w:pPr>
            <w:r>
              <w:rPr>
                <w:color w:val="1E293B"/>
                <w:sz w:val="17"/>
              </w:rPr>
              <w:t>Persistence</w:t>
            </w:r>
          </w:p>
        </w:tc>
        <w:tc>
          <w:tcPr>
            <w:tcW w:type="dxa" w:w="1440"/>
            <w:shd w:fill="FFFFFF"/>
            <w:tcMar>
              <w:top w:w="80" w:type="dxa"/>
              <w:bottom w:w="80" w:type="dxa"/>
              <w:left w:w="120" w:type="dxa"/>
              <w:right w:w="120" w:type="dxa"/>
            </w:tcMar>
          </w:tcPr>
          <w:p>
            <w:pPr>
              <w:spacing w:before="40" w:after="40"/>
            </w:pPr>
            <w:r>
              <w:rPr>
                <w:color w:val="1E293B"/>
                <w:sz w:val="17"/>
              </w:rPr>
              <w:t>T1547.001</w:t>
            </w:r>
          </w:p>
        </w:tc>
        <w:tc>
          <w:tcPr>
            <w:tcW w:type="dxa" w:w="2592"/>
            <w:shd w:fill="FFFFFF"/>
            <w:tcMar>
              <w:top w:w="80" w:type="dxa"/>
              <w:bottom w:w="80" w:type="dxa"/>
              <w:left w:w="120" w:type="dxa"/>
              <w:right w:w="120" w:type="dxa"/>
            </w:tcMar>
          </w:tcPr>
          <w:p>
            <w:pPr>
              <w:spacing w:before="40" w:after="40"/>
            </w:pPr>
            <w:r>
              <w:rPr>
                <w:color w:val="1E293B"/>
                <w:sz w:val="17"/>
              </w:rPr>
              <w:t>Registry Run Keys / Startup Folder</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CDL-RULE-010</w:t>
            </w:r>
          </w:p>
        </w:tc>
      </w:tr>
      <w:tr>
        <w:tc>
          <w:tcPr>
            <w:tcW w:type="dxa" w:w="1872"/>
            <w:shd w:fill="F8FAFC"/>
            <w:tcMar>
              <w:top w:w="80" w:type="dxa"/>
              <w:bottom w:w="80" w:type="dxa"/>
              <w:left w:w="120" w:type="dxa"/>
              <w:right w:w="120" w:type="dxa"/>
            </w:tcMar>
          </w:tcPr>
          <w:p>
            <w:pPr>
              <w:spacing w:before="40" w:after="40"/>
            </w:pPr>
            <w:r>
              <w:rPr>
                <w:color w:val="1E293B"/>
                <w:sz w:val="17"/>
              </w:rPr>
              <w:t>Persistence</w:t>
            </w:r>
          </w:p>
        </w:tc>
        <w:tc>
          <w:tcPr>
            <w:tcW w:type="dxa" w:w="1440"/>
            <w:shd w:fill="F8FAFC"/>
            <w:tcMar>
              <w:top w:w="80" w:type="dxa"/>
              <w:bottom w:w="80" w:type="dxa"/>
              <w:left w:w="120" w:type="dxa"/>
              <w:right w:w="120" w:type="dxa"/>
            </w:tcMar>
          </w:tcPr>
          <w:p>
            <w:pPr>
              <w:spacing w:before="40" w:after="40"/>
            </w:pPr>
            <w:r>
              <w:rPr>
                <w:color w:val="1E293B"/>
                <w:sz w:val="17"/>
              </w:rPr>
              <w:t>T1053.005</w:t>
            </w:r>
          </w:p>
        </w:tc>
        <w:tc>
          <w:tcPr>
            <w:tcW w:type="dxa" w:w="2592"/>
            <w:shd w:fill="F8FAFC"/>
            <w:tcMar>
              <w:top w:w="80" w:type="dxa"/>
              <w:bottom w:w="80" w:type="dxa"/>
              <w:left w:w="120" w:type="dxa"/>
              <w:right w:w="120" w:type="dxa"/>
            </w:tcMar>
          </w:tcPr>
          <w:p>
            <w:pPr>
              <w:spacing w:before="40" w:after="40"/>
            </w:pPr>
            <w:r>
              <w:rPr>
                <w:color w:val="1E293B"/>
                <w:sz w:val="17"/>
              </w:rPr>
              <w:t>Scheduled Task</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CDL-RULE-009</w:t>
            </w:r>
          </w:p>
        </w:tc>
      </w:tr>
      <w:tr>
        <w:tc>
          <w:tcPr>
            <w:tcW w:type="dxa" w:w="1872"/>
            <w:shd w:fill="FFFFFF"/>
            <w:tcMar>
              <w:top w:w="80" w:type="dxa"/>
              <w:bottom w:w="80" w:type="dxa"/>
              <w:left w:w="120" w:type="dxa"/>
              <w:right w:w="120" w:type="dxa"/>
            </w:tcMar>
          </w:tcPr>
          <w:p>
            <w:pPr>
              <w:spacing w:before="40" w:after="40"/>
            </w:pPr>
            <w:r>
              <w:rPr>
                <w:color w:val="1E293B"/>
                <w:sz w:val="17"/>
              </w:rPr>
              <w:t>Persistence</w:t>
            </w:r>
          </w:p>
        </w:tc>
        <w:tc>
          <w:tcPr>
            <w:tcW w:type="dxa" w:w="1440"/>
            <w:shd w:fill="FFFFFF"/>
            <w:tcMar>
              <w:top w:w="80" w:type="dxa"/>
              <w:bottom w:w="80" w:type="dxa"/>
              <w:left w:w="120" w:type="dxa"/>
              <w:right w:w="120" w:type="dxa"/>
            </w:tcMar>
          </w:tcPr>
          <w:p>
            <w:pPr>
              <w:spacing w:before="40" w:after="40"/>
            </w:pPr>
            <w:r>
              <w:rPr>
                <w:color w:val="1E293B"/>
                <w:sz w:val="17"/>
              </w:rPr>
              <w:t>T1098</w:t>
            </w:r>
          </w:p>
        </w:tc>
        <w:tc>
          <w:tcPr>
            <w:tcW w:type="dxa" w:w="2592"/>
            <w:shd w:fill="FFFFFF"/>
            <w:tcMar>
              <w:top w:w="80" w:type="dxa"/>
              <w:bottom w:w="80" w:type="dxa"/>
              <w:left w:w="120" w:type="dxa"/>
              <w:right w:w="120" w:type="dxa"/>
            </w:tcMar>
          </w:tcPr>
          <w:p>
            <w:pPr>
              <w:spacing w:before="40" w:after="40"/>
            </w:pPr>
            <w:r>
              <w:rPr>
                <w:color w:val="1E293B"/>
                <w:sz w:val="17"/>
              </w:rPr>
              <w:t>Account Manipulation</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CDL-RULE-007</w:t>
            </w:r>
          </w:p>
        </w:tc>
      </w:tr>
      <w:tr>
        <w:tc>
          <w:tcPr>
            <w:tcW w:type="dxa" w:w="1872"/>
            <w:shd w:fill="F8FAFC"/>
            <w:tcMar>
              <w:top w:w="80" w:type="dxa"/>
              <w:bottom w:w="80" w:type="dxa"/>
              <w:left w:w="120" w:type="dxa"/>
              <w:right w:w="120" w:type="dxa"/>
            </w:tcMar>
          </w:tcPr>
          <w:p>
            <w:pPr>
              <w:spacing w:before="40" w:after="40"/>
            </w:pPr>
            <w:r>
              <w:rPr>
                <w:color w:val="1E293B"/>
                <w:sz w:val="17"/>
              </w:rPr>
              <w:t>Persistence</w:t>
            </w:r>
          </w:p>
        </w:tc>
        <w:tc>
          <w:tcPr>
            <w:tcW w:type="dxa" w:w="1440"/>
            <w:shd w:fill="F8FAFC"/>
            <w:tcMar>
              <w:top w:w="80" w:type="dxa"/>
              <w:bottom w:w="80" w:type="dxa"/>
              <w:left w:w="120" w:type="dxa"/>
              <w:right w:w="120" w:type="dxa"/>
            </w:tcMar>
          </w:tcPr>
          <w:p>
            <w:pPr>
              <w:spacing w:before="40" w:after="40"/>
            </w:pPr>
            <w:r>
              <w:rPr>
                <w:color w:val="1E293B"/>
                <w:sz w:val="17"/>
              </w:rPr>
              <w:t>T1136.001</w:t>
            </w:r>
          </w:p>
        </w:tc>
        <w:tc>
          <w:tcPr>
            <w:tcW w:type="dxa" w:w="2592"/>
            <w:shd w:fill="F8FAFC"/>
            <w:tcMar>
              <w:top w:w="80" w:type="dxa"/>
              <w:bottom w:w="80" w:type="dxa"/>
              <w:left w:w="120" w:type="dxa"/>
              <w:right w:w="120" w:type="dxa"/>
            </w:tcMar>
          </w:tcPr>
          <w:p>
            <w:pPr>
              <w:spacing w:before="40" w:after="40"/>
            </w:pPr>
            <w:r>
              <w:rPr>
                <w:color w:val="1E293B"/>
                <w:sz w:val="17"/>
              </w:rPr>
              <w:t>Create Account: Local Account</w:t>
            </w:r>
          </w:p>
        </w:tc>
        <w:tc>
          <w:tcPr>
            <w:tcW w:type="dxa" w:w="1584"/>
            <w:shd w:fill="F8FAFC"/>
            <w:tcMar>
              <w:top w:w="80" w:type="dxa"/>
              <w:bottom w:w="80" w:type="dxa"/>
              <w:left w:w="120" w:type="dxa"/>
              <w:right w:w="120" w:type="dxa"/>
            </w:tcMar>
          </w:tcPr>
          <w:p>
            <w:pPr>
              <w:spacing w:before="40" w:after="40"/>
            </w:pPr>
            <w:r>
              <w:rPr>
                <w:color w:val="1E293B"/>
                <w:sz w:val="17"/>
              </w:rPr>
              <w:t>Partially Covered</w:t>
            </w:r>
          </w:p>
        </w:tc>
        <w:tc>
          <w:tcPr>
            <w:tcW w:type="dxa" w:w="1872"/>
            <w:shd w:fill="F8FAFC"/>
            <w:tcMar>
              <w:top w:w="80" w:type="dxa"/>
              <w:bottom w:w="80" w:type="dxa"/>
              <w:left w:w="120" w:type="dxa"/>
              <w:right w:w="120" w:type="dxa"/>
            </w:tcMar>
          </w:tcPr>
          <w:p>
            <w:pPr>
              <w:spacing w:before="40" w:after="40"/>
            </w:pPr>
            <w:r>
              <w:rPr>
                <w:color w:val="1E293B"/>
                <w:sz w:val="17"/>
              </w:rPr>
              <w:t>CDL-RULE-007</w:t>
            </w:r>
          </w:p>
        </w:tc>
      </w:tr>
      <w:tr>
        <w:tc>
          <w:tcPr>
            <w:tcW w:type="dxa" w:w="1872"/>
            <w:shd w:fill="FFFFFF"/>
            <w:tcMar>
              <w:top w:w="80" w:type="dxa"/>
              <w:bottom w:w="80" w:type="dxa"/>
              <w:left w:w="120" w:type="dxa"/>
              <w:right w:w="120" w:type="dxa"/>
            </w:tcMar>
          </w:tcPr>
          <w:p>
            <w:pPr>
              <w:spacing w:before="40" w:after="40"/>
            </w:pPr>
            <w:r>
              <w:rPr>
                <w:color w:val="1E293B"/>
                <w:sz w:val="17"/>
              </w:rPr>
              <w:t>Privilege Escalation</w:t>
            </w:r>
          </w:p>
        </w:tc>
        <w:tc>
          <w:tcPr>
            <w:tcW w:type="dxa" w:w="1440"/>
            <w:shd w:fill="FFFFFF"/>
            <w:tcMar>
              <w:top w:w="80" w:type="dxa"/>
              <w:bottom w:w="80" w:type="dxa"/>
              <w:left w:w="120" w:type="dxa"/>
              <w:right w:w="120" w:type="dxa"/>
            </w:tcMar>
          </w:tcPr>
          <w:p>
            <w:pPr>
              <w:spacing w:before="40" w:after="40"/>
            </w:pPr>
            <w:r>
              <w:rPr>
                <w:color w:val="1E293B"/>
                <w:sz w:val="17"/>
              </w:rPr>
              <w:t>T1078.002</w:t>
            </w:r>
          </w:p>
        </w:tc>
        <w:tc>
          <w:tcPr>
            <w:tcW w:type="dxa" w:w="2592"/>
            <w:shd w:fill="FFFFFF"/>
            <w:tcMar>
              <w:top w:w="80" w:type="dxa"/>
              <w:bottom w:w="80" w:type="dxa"/>
              <w:left w:w="120" w:type="dxa"/>
              <w:right w:w="120" w:type="dxa"/>
            </w:tcMar>
          </w:tcPr>
          <w:p>
            <w:pPr>
              <w:spacing w:before="40" w:after="40"/>
            </w:pPr>
            <w:r>
              <w:rPr>
                <w:color w:val="1E293B"/>
                <w:sz w:val="17"/>
              </w:rPr>
              <w:t>Domain Accounts</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CDL-RULE-007, CDL-RULE-016</w:t>
            </w:r>
          </w:p>
        </w:tc>
      </w:tr>
      <w:tr>
        <w:tc>
          <w:tcPr>
            <w:tcW w:type="dxa" w:w="1872"/>
            <w:shd w:fill="F8FAFC"/>
            <w:tcMar>
              <w:top w:w="80" w:type="dxa"/>
              <w:bottom w:w="80" w:type="dxa"/>
              <w:left w:w="120" w:type="dxa"/>
              <w:right w:w="120" w:type="dxa"/>
            </w:tcMar>
          </w:tcPr>
          <w:p>
            <w:pPr>
              <w:spacing w:before="40" w:after="40"/>
            </w:pPr>
            <w:r>
              <w:rPr>
                <w:color w:val="1E293B"/>
                <w:sz w:val="17"/>
              </w:rPr>
              <w:t>Privilege Escalation</w:t>
            </w:r>
          </w:p>
        </w:tc>
        <w:tc>
          <w:tcPr>
            <w:tcW w:type="dxa" w:w="1440"/>
            <w:shd w:fill="F8FAFC"/>
            <w:tcMar>
              <w:top w:w="80" w:type="dxa"/>
              <w:bottom w:w="80" w:type="dxa"/>
              <w:left w:w="120" w:type="dxa"/>
              <w:right w:w="120" w:type="dxa"/>
            </w:tcMar>
          </w:tcPr>
          <w:p>
            <w:pPr>
              <w:spacing w:before="40" w:after="40"/>
            </w:pPr>
            <w:r>
              <w:rPr>
                <w:color w:val="1E293B"/>
                <w:sz w:val="17"/>
              </w:rPr>
              <w:t>T1543.003</w:t>
            </w:r>
          </w:p>
        </w:tc>
        <w:tc>
          <w:tcPr>
            <w:tcW w:type="dxa" w:w="2592"/>
            <w:shd w:fill="F8FAFC"/>
            <w:tcMar>
              <w:top w:w="80" w:type="dxa"/>
              <w:bottom w:w="80" w:type="dxa"/>
              <w:left w:w="120" w:type="dxa"/>
              <w:right w:w="120" w:type="dxa"/>
            </w:tcMar>
          </w:tcPr>
          <w:p>
            <w:pPr>
              <w:spacing w:before="40" w:after="40"/>
            </w:pPr>
            <w:r>
              <w:rPr>
                <w:color w:val="1E293B"/>
                <w:sz w:val="17"/>
              </w:rPr>
              <w:t>Windows Service Creation</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CDL-RULE-003</w:t>
            </w:r>
          </w:p>
        </w:tc>
      </w:tr>
      <w:tr>
        <w:tc>
          <w:tcPr>
            <w:tcW w:type="dxa" w:w="1872"/>
            <w:shd w:fill="FFFFFF"/>
            <w:tcMar>
              <w:top w:w="80" w:type="dxa"/>
              <w:bottom w:w="80" w:type="dxa"/>
              <w:left w:w="120" w:type="dxa"/>
              <w:right w:w="120" w:type="dxa"/>
            </w:tcMar>
          </w:tcPr>
          <w:p>
            <w:pPr>
              <w:spacing w:before="40" w:after="40"/>
            </w:pPr>
            <w:r>
              <w:rPr>
                <w:color w:val="1E293B"/>
                <w:sz w:val="17"/>
              </w:rPr>
              <w:t>Defense Evasion</w:t>
            </w:r>
          </w:p>
        </w:tc>
        <w:tc>
          <w:tcPr>
            <w:tcW w:type="dxa" w:w="1440"/>
            <w:shd w:fill="FFFFFF"/>
            <w:tcMar>
              <w:top w:w="80" w:type="dxa"/>
              <w:bottom w:w="80" w:type="dxa"/>
              <w:left w:w="120" w:type="dxa"/>
              <w:right w:w="120" w:type="dxa"/>
            </w:tcMar>
          </w:tcPr>
          <w:p>
            <w:pPr>
              <w:spacing w:before="40" w:after="40"/>
            </w:pPr>
            <w:r>
              <w:rPr>
                <w:color w:val="1E293B"/>
                <w:sz w:val="17"/>
              </w:rPr>
              <w:t>T1218.005</w:t>
            </w:r>
          </w:p>
        </w:tc>
        <w:tc>
          <w:tcPr>
            <w:tcW w:type="dxa" w:w="2592"/>
            <w:shd w:fill="FFFFFF"/>
            <w:tcMar>
              <w:top w:w="80" w:type="dxa"/>
              <w:bottom w:w="80" w:type="dxa"/>
              <w:left w:w="120" w:type="dxa"/>
              <w:right w:w="120" w:type="dxa"/>
            </w:tcMar>
          </w:tcPr>
          <w:p>
            <w:pPr>
              <w:spacing w:before="40" w:after="40"/>
            </w:pPr>
            <w:r>
              <w:rPr>
                <w:color w:val="1E293B"/>
                <w:sz w:val="17"/>
              </w:rPr>
              <w:t>Mshta</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CDL-RULE-013</w:t>
            </w:r>
          </w:p>
        </w:tc>
      </w:tr>
      <w:tr>
        <w:tc>
          <w:tcPr>
            <w:tcW w:type="dxa" w:w="1872"/>
            <w:shd w:fill="F8FAFC"/>
            <w:tcMar>
              <w:top w:w="80" w:type="dxa"/>
              <w:bottom w:w="80" w:type="dxa"/>
              <w:left w:w="120" w:type="dxa"/>
              <w:right w:w="120" w:type="dxa"/>
            </w:tcMar>
          </w:tcPr>
          <w:p>
            <w:pPr>
              <w:spacing w:before="40" w:after="40"/>
            </w:pPr>
            <w:r>
              <w:rPr>
                <w:color w:val="1E293B"/>
                <w:sz w:val="17"/>
              </w:rPr>
              <w:t>Defense Evasion</w:t>
            </w:r>
          </w:p>
        </w:tc>
        <w:tc>
          <w:tcPr>
            <w:tcW w:type="dxa" w:w="1440"/>
            <w:shd w:fill="F8FAFC"/>
            <w:tcMar>
              <w:top w:w="80" w:type="dxa"/>
              <w:bottom w:w="80" w:type="dxa"/>
              <w:left w:w="120" w:type="dxa"/>
              <w:right w:w="120" w:type="dxa"/>
            </w:tcMar>
          </w:tcPr>
          <w:p>
            <w:pPr>
              <w:spacing w:before="40" w:after="40"/>
            </w:pPr>
            <w:r>
              <w:rPr>
                <w:color w:val="1E293B"/>
                <w:sz w:val="17"/>
              </w:rPr>
              <w:t>T1218.011</w:t>
            </w:r>
          </w:p>
        </w:tc>
        <w:tc>
          <w:tcPr>
            <w:tcW w:type="dxa" w:w="2592"/>
            <w:shd w:fill="F8FAFC"/>
            <w:tcMar>
              <w:top w:w="80" w:type="dxa"/>
              <w:bottom w:w="80" w:type="dxa"/>
              <w:left w:w="120" w:type="dxa"/>
              <w:right w:w="120" w:type="dxa"/>
            </w:tcMar>
          </w:tcPr>
          <w:p>
            <w:pPr>
              <w:spacing w:before="40" w:after="40"/>
            </w:pPr>
            <w:r>
              <w:rPr>
                <w:color w:val="1E293B"/>
                <w:sz w:val="17"/>
              </w:rPr>
              <w:t>Rundll32</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CDL-RULE-008</w:t>
            </w:r>
          </w:p>
        </w:tc>
      </w:tr>
      <w:tr>
        <w:tc>
          <w:tcPr>
            <w:tcW w:type="dxa" w:w="1872"/>
            <w:shd w:fill="FFFFFF"/>
            <w:tcMar>
              <w:top w:w="80" w:type="dxa"/>
              <w:bottom w:w="80" w:type="dxa"/>
              <w:left w:w="120" w:type="dxa"/>
              <w:right w:w="120" w:type="dxa"/>
            </w:tcMar>
          </w:tcPr>
          <w:p>
            <w:pPr>
              <w:spacing w:before="40" w:after="40"/>
            </w:pPr>
            <w:r>
              <w:rPr>
                <w:color w:val="1E293B"/>
                <w:sz w:val="17"/>
              </w:rPr>
              <w:t>Defense Evasion</w:t>
            </w:r>
          </w:p>
        </w:tc>
        <w:tc>
          <w:tcPr>
            <w:tcW w:type="dxa" w:w="1440"/>
            <w:shd w:fill="FFFFFF"/>
            <w:tcMar>
              <w:top w:w="80" w:type="dxa"/>
              <w:bottom w:w="80" w:type="dxa"/>
              <w:left w:w="120" w:type="dxa"/>
              <w:right w:w="120" w:type="dxa"/>
            </w:tcMar>
          </w:tcPr>
          <w:p>
            <w:pPr>
              <w:spacing w:before="40" w:after="40"/>
            </w:pPr>
            <w:r>
              <w:rPr>
                <w:color w:val="1E293B"/>
                <w:sz w:val="17"/>
              </w:rPr>
              <w:t>T1105</w:t>
            </w:r>
          </w:p>
        </w:tc>
        <w:tc>
          <w:tcPr>
            <w:tcW w:type="dxa" w:w="2592"/>
            <w:shd w:fill="FFFFFF"/>
            <w:tcMar>
              <w:top w:w="80" w:type="dxa"/>
              <w:bottom w:w="80" w:type="dxa"/>
              <w:left w:w="120" w:type="dxa"/>
              <w:right w:w="120" w:type="dxa"/>
            </w:tcMar>
          </w:tcPr>
          <w:p>
            <w:pPr>
              <w:spacing w:before="40" w:after="40"/>
            </w:pPr>
            <w:r>
              <w:rPr>
                <w:color w:val="1E293B"/>
                <w:sz w:val="17"/>
              </w:rPr>
              <w:t>Ingress Tool Transfer</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CDL-RULE-012</w:t>
            </w:r>
          </w:p>
        </w:tc>
      </w:tr>
      <w:tr>
        <w:tc>
          <w:tcPr>
            <w:tcW w:type="dxa" w:w="1872"/>
            <w:shd w:fill="F8FAFC"/>
            <w:tcMar>
              <w:top w:w="80" w:type="dxa"/>
              <w:bottom w:w="80" w:type="dxa"/>
              <w:left w:w="120" w:type="dxa"/>
              <w:right w:w="120" w:type="dxa"/>
            </w:tcMar>
          </w:tcPr>
          <w:p>
            <w:pPr>
              <w:spacing w:before="40" w:after="40"/>
            </w:pPr>
            <w:r>
              <w:rPr>
                <w:color w:val="1E293B"/>
                <w:sz w:val="17"/>
              </w:rPr>
              <w:t>Defense Evasion</w:t>
            </w:r>
          </w:p>
        </w:tc>
        <w:tc>
          <w:tcPr>
            <w:tcW w:type="dxa" w:w="1440"/>
            <w:shd w:fill="F8FAFC"/>
            <w:tcMar>
              <w:top w:w="80" w:type="dxa"/>
              <w:bottom w:w="80" w:type="dxa"/>
              <w:left w:w="120" w:type="dxa"/>
              <w:right w:w="120" w:type="dxa"/>
            </w:tcMar>
          </w:tcPr>
          <w:p>
            <w:pPr>
              <w:spacing w:before="40" w:after="40"/>
            </w:pPr>
            <w:r>
              <w:rPr>
                <w:color w:val="1E293B"/>
                <w:sz w:val="17"/>
              </w:rPr>
              <w:t>T1562.001</w:t>
            </w:r>
          </w:p>
        </w:tc>
        <w:tc>
          <w:tcPr>
            <w:tcW w:type="dxa" w:w="2592"/>
            <w:shd w:fill="F8FAFC"/>
            <w:tcMar>
              <w:top w:w="80" w:type="dxa"/>
              <w:bottom w:w="80" w:type="dxa"/>
              <w:left w:w="120" w:type="dxa"/>
              <w:right w:w="120" w:type="dxa"/>
            </w:tcMar>
          </w:tcPr>
          <w:p>
            <w:pPr>
              <w:spacing w:before="40" w:after="40"/>
            </w:pPr>
            <w:r>
              <w:rPr>
                <w:color w:val="1E293B"/>
                <w:sz w:val="17"/>
              </w:rPr>
              <w:t>Disable or Modify Tools</w:t>
            </w:r>
          </w:p>
        </w:tc>
        <w:tc>
          <w:tcPr>
            <w:tcW w:type="dxa" w:w="1584"/>
            <w:shd w:fill="F8FAFC"/>
            <w:tcMar>
              <w:top w:w="80" w:type="dxa"/>
              <w:bottom w:w="80" w:type="dxa"/>
              <w:left w:w="120" w:type="dxa"/>
              <w:right w:w="120" w:type="dxa"/>
            </w:tcMar>
          </w:tcPr>
          <w:p>
            <w:pPr>
              <w:spacing w:before="40" w:after="40"/>
            </w:pPr>
            <w:r>
              <w:rPr>
                <w:color w:val="1E293B"/>
                <w:sz w:val="17"/>
              </w:rPr>
              <w:t>Not Covered</w:t>
            </w:r>
          </w:p>
        </w:tc>
        <w:tc>
          <w:tcPr>
            <w:tcW w:type="dxa" w:w="1872"/>
            <w:shd w:fill="F8FAFC"/>
            <w:tcMar>
              <w:top w:w="80" w:type="dxa"/>
              <w:bottom w:w="80" w:type="dxa"/>
              <w:left w:w="120" w:type="dxa"/>
              <w:right w:w="120" w:type="dxa"/>
            </w:tcMar>
          </w:tcPr>
          <w:p>
            <w:pPr>
              <w:spacing w:before="40" w:after="40"/>
            </w:pPr>
            <w:r>
              <w:rPr>
                <w:color w:val="1E293B"/>
                <w:sz w:val="17"/>
              </w:rPr>
              <w:t>Gap Identified</w:t>
            </w:r>
          </w:p>
        </w:tc>
      </w:tr>
      <w:tr>
        <w:tc>
          <w:tcPr>
            <w:tcW w:type="dxa" w:w="1872"/>
            <w:shd w:fill="FFFFFF"/>
            <w:tcMar>
              <w:top w:w="80" w:type="dxa"/>
              <w:bottom w:w="80" w:type="dxa"/>
              <w:left w:w="120" w:type="dxa"/>
              <w:right w:w="120" w:type="dxa"/>
            </w:tcMar>
          </w:tcPr>
          <w:p>
            <w:pPr>
              <w:spacing w:before="40" w:after="40"/>
            </w:pPr>
            <w:r>
              <w:rPr>
                <w:color w:val="1E293B"/>
                <w:sz w:val="17"/>
              </w:rPr>
              <w:t>Credential Access</w:t>
            </w:r>
          </w:p>
        </w:tc>
        <w:tc>
          <w:tcPr>
            <w:tcW w:type="dxa" w:w="1440"/>
            <w:shd w:fill="FFFFFF"/>
            <w:tcMar>
              <w:top w:w="80" w:type="dxa"/>
              <w:bottom w:w="80" w:type="dxa"/>
              <w:left w:w="120" w:type="dxa"/>
              <w:right w:w="120" w:type="dxa"/>
            </w:tcMar>
          </w:tcPr>
          <w:p>
            <w:pPr>
              <w:spacing w:before="40" w:after="40"/>
            </w:pPr>
            <w:r>
              <w:rPr>
                <w:color w:val="1E293B"/>
                <w:sz w:val="17"/>
              </w:rPr>
              <w:t>T1003.001</w:t>
            </w:r>
          </w:p>
        </w:tc>
        <w:tc>
          <w:tcPr>
            <w:tcW w:type="dxa" w:w="2592"/>
            <w:shd w:fill="FFFFFF"/>
            <w:tcMar>
              <w:top w:w="80" w:type="dxa"/>
              <w:bottom w:w="80" w:type="dxa"/>
              <w:left w:w="120" w:type="dxa"/>
              <w:right w:w="120" w:type="dxa"/>
            </w:tcMar>
          </w:tcPr>
          <w:p>
            <w:pPr>
              <w:spacing w:before="40" w:after="40"/>
            </w:pPr>
            <w:r>
              <w:rPr>
                <w:color w:val="1E293B"/>
                <w:sz w:val="17"/>
              </w:rPr>
              <w:t>LSASS Memory Dumping</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CDL-RULE-002, CDL-RULE-018</w:t>
            </w:r>
          </w:p>
        </w:tc>
      </w:tr>
      <w:tr>
        <w:tc>
          <w:tcPr>
            <w:tcW w:type="dxa" w:w="1872"/>
            <w:shd w:fill="F8FAFC"/>
            <w:tcMar>
              <w:top w:w="80" w:type="dxa"/>
              <w:bottom w:w="80" w:type="dxa"/>
              <w:left w:w="120" w:type="dxa"/>
              <w:right w:w="120" w:type="dxa"/>
            </w:tcMar>
          </w:tcPr>
          <w:p>
            <w:pPr>
              <w:spacing w:before="40" w:after="40"/>
            </w:pPr>
            <w:r>
              <w:rPr>
                <w:color w:val="1E293B"/>
                <w:sz w:val="17"/>
              </w:rPr>
              <w:t>Credential Access</w:t>
            </w:r>
          </w:p>
        </w:tc>
        <w:tc>
          <w:tcPr>
            <w:tcW w:type="dxa" w:w="1440"/>
            <w:shd w:fill="F8FAFC"/>
            <w:tcMar>
              <w:top w:w="80" w:type="dxa"/>
              <w:bottom w:w="80" w:type="dxa"/>
              <w:left w:w="120" w:type="dxa"/>
              <w:right w:w="120" w:type="dxa"/>
            </w:tcMar>
          </w:tcPr>
          <w:p>
            <w:pPr>
              <w:spacing w:before="40" w:after="40"/>
            </w:pPr>
            <w:r>
              <w:rPr>
                <w:color w:val="1E293B"/>
                <w:sz w:val="17"/>
              </w:rPr>
              <w:t>T1003.003</w:t>
            </w:r>
          </w:p>
        </w:tc>
        <w:tc>
          <w:tcPr>
            <w:tcW w:type="dxa" w:w="2592"/>
            <w:shd w:fill="F8FAFC"/>
            <w:tcMar>
              <w:top w:w="80" w:type="dxa"/>
              <w:bottom w:w="80" w:type="dxa"/>
              <w:left w:w="120" w:type="dxa"/>
              <w:right w:w="120" w:type="dxa"/>
            </w:tcMar>
          </w:tcPr>
          <w:p>
            <w:pPr>
              <w:spacing w:before="40" w:after="40"/>
            </w:pPr>
            <w:r>
              <w:rPr>
                <w:color w:val="1E293B"/>
                <w:sz w:val="17"/>
              </w:rPr>
              <w:t>NTDS.dit Shadow Copy Extraction</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CDL-RULE-006</w:t>
            </w:r>
          </w:p>
        </w:tc>
      </w:tr>
      <w:tr>
        <w:tc>
          <w:tcPr>
            <w:tcW w:type="dxa" w:w="1872"/>
            <w:shd w:fill="FFFFFF"/>
            <w:tcMar>
              <w:top w:w="80" w:type="dxa"/>
              <w:bottom w:w="80" w:type="dxa"/>
              <w:left w:w="120" w:type="dxa"/>
              <w:right w:w="120" w:type="dxa"/>
            </w:tcMar>
          </w:tcPr>
          <w:p>
            <w:pPr>
              <w:spacing w:before="40" w:after="40"/>
            </w:pPr>
            <w:r>
              <w:rPr>
                <w:color w:val="1E293B"/>
                <w:sz w:val="17"/>
              </w:rPr>
              <w:t>Credential Access</w:t>
            </w:r>
          </w:p>
        </w:tc>
        <w:tc>
          <w:tcPr>
            <w:tcW w:type="dxa" w:w="1440"/>
            <w:shd w:fill="FFFFFF"/>
            <w:tcMar>
              <w:top w:w="80" w:type="dxa"/>
              <w:bottom w:w="80" w:type="dxa"/>
              <w:left w:w="120" w:type="dxa"/>
              <w:right w:w="120" w:type="dxa"/>
            </w:tcMar>
          </w:tcPr>
          <w:p>
            <w:pPr>
              <w:spacing w:before="40" w:after="40"/>
            </w:pPr>
            <w:r>
              <w:rPr>
                <w:color w:val="1E293B"/>
                <w:sz w:val="17"/>
              </w:rPr>
              <w:t>T1558.003</w:t>
            </w:r>
          </w:p>
        </w:tc>
        <w:tc>
          <w:tcPr>
            <w:tcW w:type="dxa" w:w="2592"/>
            <w:shd w:fill="FFFFFF"/>
            <w:tcMar>
              <w:top w:w="80" w:type="dxa"/>
              <w:bottom w:w="80" w:type="dxa"/>
              <w:left w:w="120" w:type="dxa"/>
              <w:right w:w="120" w:type="dxa"/>
            </w:tcMar>
          </w:tcPr>
          <w:p>
            <w:pPr>
              <w:spacing w:before="40" w:after="40"/>
            </w:pPr>
            <w:r>
              <w:rPr>
                <w:color w:val="1E293B"/>
                <w:sz w:val="17"/>
              </w:rPr>
              <w:t>Kerberoasting</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CDL-RULE-015</w:t>
            </w:r>
          </w:p>
        </w:tc>
      </w:tr>
      <w:tr>
        <w:tc>
          <w:tcPr>
            <w:tcW w:type="dxa" w:w="1872"/>
            <w:shd w:fill="F8FAFC"/>
            <w:tcMar>
              <w:top w:w="80" w:type="dxa"/>
              <w:bottom w:w="80" w:type="dxa"/>
              <w:left w:w="120" w:type="dxa"/>
              <w:right w:w="120" w:type="dxa"/>
            </w:tcMar>
          </w:tcPr>
          <w:p>
            <w:pPr>
              <w:spacing w:before="40" w:after="40"/>
            </w:pPr>
            <w:r>
              <w:rPr>
                <w:color w:val="1E293B"/>
                <w:sz w:val="17"/>
              </w:rPr>
              <w:t>Credential Access</w:t>
            </w:r>
          </w:p>
        </w:tc>
        <w:tc>
          <w:tcPr>
            <w:tcW w:type="dxa" w:w="1440"/>
            <w:shd w:fill="F8FAFC"/>
            <w:tcMar>
              <w:top w:w="80" w:type="dxa"/>
              <w:bottom w:w="80" w:type="dxa"/>
              <w:left w:w="120" w:type="dxa"/>
              <w:right w:w="120" w:type="dxa"/>
            </w:tcMar>
          </w:tcPr>
          <w:p>
            <w:pPr>
              <w:spacing w:before="40" w:after="40"/>
            </w:pPr>
            <w:r>
              <w:rPr>
                <w:color w:val="1E293B"/>
                <w:sz w:val="17"/>
              </w:rPr>
              <w:t>T1110</w:t>
            </w:r>
          </w:p>
        </w:tc>
        <w:tc>
          <w:tcPr>
            <w:tcW w:type="dxa" w:w="2592"/>
            <w:shd w:fill="F8FAFC"/>
            <w:tcMar>
              <w:top w:w="80" w:type="dxa"/>
              <w:bottom w:w="80" w:type="dxa"/>
              <w:left w:w="120" w:type="dxa"/>
              <w:right w:w="120" w:type="dxa"/>
            </w:tcMar>
          </w:tcPr>
          <w:p>
            <w:pPr>
              <w:spacing w:before="40" w:after="40"/>
            </w:pPr>
            <w:r>
              <w:rPr>
                <w:color w:val="1E293B"/>
                <w:sz w:val="17"/>
              </w:rPr>
              <w:t>Brute Force</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CDL-RULE-016</w:t>
            </w:r>
          </w:p>
        </w:tc>
      </w:tr>
      <w:tr>
        <w:tc>
          <w:tcPr>
            <w:tcW w:type="dxa" w:w="1872"/>
            <w:shd w:fill="FFFFFF"/>
            <w:tcMar>
              <w:top w:w="80" w:type="dxa"/>
              <w:bottom w:w="80" w:type="dxa"/>
              <w:left w:w="120" w:type="dxa"/>
              <w:right w:w="120" w:type="dxa"/>
            </w:tcMar>
          </w:tcPr>
          <w:p>
            <w:pPr>
              <w:spacing w:before="40" w:after="40"/>
            </w:pPr>
            <w:r>
              <w:rPr>
                <w:color w:val="1E293B"/>
                <w:sz w:val="17"/>
              </w:rPr>
              <w:t>Discovery</w:t>
            </w:r>
          </w:p>
        </w:tc>
        <w:tc>
          <w:tcPr>
            <w:tcW w:type="dxa" w:w="1440"/>
            <w:shd w:fill="FFFFFF"/>
            <w:tcMar>
              <w:top w:w="80" w:type="dxa"/>
              <w:bottom w:w="80" w:type="dxa"/>
              <w:left w:w="120" w:type="dxa"/>
              <w:right w:w="120" w:type="dxa"/>
            </w:tcMar>
          </w:tcPr>
          <w:p>
            <w:pPr>
              <w:spacing w:before="40" w:after="40"/>
            </w:pPr>
            <w:r>
              <w:rPr>
                <w:color w:val="1E293B"/>
                <w:sz w:val="17"/>
              </w:rPr>
              <w:t>T1087.002</w:t>
            </w:r>
          </w:p>
        </w:tc>
        <w:tc>
          <w:tcPr>
            <w:tcW w:type="dxa" w:w="2592"/>
            <w:shd w:fill="FFFFFF"/>
            <w:tcMar>
              <w:top w:w="80" w:type="dxa"/>
              <w:bottom w:w="80" w:type="dxa"/>
              <w:left w:w="120" w:type="dxa"/>
              <w:right w:w="120" w:type="dxa"/>
            </w:tcMar>
          </w:tcPr>
          <w:p>
            <w:pPr>
              <w:spacing w:before="40" w:after="40"/>
            </w:pPr>
            <w:r>
              <w:rPr>
                <w:color w:val="1E293B"/>
                <w:sz w:val="17"/>
              </w:rPr>
              <w:t>Domain Account Discovery</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CDL-RULE-017, CDL-HUNT-02</w:t>
            </w:r>
          </w:p>
        </w:tc>
      </w:tr>
      <w:tr>
        <w:tc>
          <w:tcPr>
            <w:tcW w:type="dxa" w:w="1872"/>
            <w:shd w:fill="F8FAFC"/>
            <w:tcMar>
              <w:top w:w="80" w:type="dxa"/>
              <w:bottom w:w="80" w:type="dxa"/>
              <w:left w:w="120" w:type="dxa"/>
              <w:right w:w="120" w:type="dxa"/>
            </w:tcMar>
          </w:tcPr>
          <w:p>
            <w:pPr>
              <w:spacing w:before="40" w:after="40"/>
            </w:pPr>
            <w:r>
              <w:rPr>
                <w:color w:val="1E293B"/>
                <w:sz w:val="17"/>
              </w:rPr>
              <w:t>Discovery</w:t>
            </w:r>
          </w:p>
        </w:tc>
        <w:tc>
          <w:tcPr>
            <w:tcW w:type="dxa" w:w="1440"/>
            <w:shd w:fill="F8FAFC"/>
            <w:tcMar>
              <w:top w:w="80" w:type="dxa"/>
              <w:bottom w:w="80" w:type="dxa"/>
              <w:left w:w="120" w:type="dxa"/>
              <w:right w:w="120" w:type="dxa"/>
            </w:tcMar>
          </w:tcPr>
          <w:p>
            <w:pPr>
              <w:spacing w:before="40" w:after="40"/>
            </w:pPr>
            <w:r>
              <w:rPr>
                <w:color w:val="1E293B"/>
                <w:sz w:val="17"/>
              </w:rPr>
              <w:t>T1082</w:t>
            </w:r>
          </w:p>
        </w:tc>
        <w:tc>
          <w:tcPr>
            <w:tcW w:type="dxa" w:w="2592"/>
            <w:shd w:fill="F8FAFC"/>
            <w:tcMar>
              <w:top w:w="80" w:type="dxa"/>
              <w:bottom w:w="80" w:type="dxa"/>
              <w:left w:w="120" w:type="dxa"/>
              <w:right w:w="120" w:type="dxa"/>
            </w:tcMar>
          </w:tcPr>
          <w:p>
            <w:pPr>
              <w:spacing w:before="40" w:after="40"/>
            </w:pPr>
            <w:r>
              <w:rPr>
                <w:color w:val="1E293B"/>
                <w:sz w:val="17"/>
              </w:rPr>
              <w:t>System Information Discovery</w:t>
            </w:r>
          </w:p>
        </w:tc>
        <w:tc>
          <w:tcPr>
            <w:tcW w:type="dxa" w:w="1584"/>
            <w:shd w:fill="F8FAFC"/>
            <w:tcMar>
              <w:top w:w="80" w:type="dxa"/>
              <w:bottom w:w="80" w:type="dxa"/>
              <w:left w:w="120" w:type="dxa"/>
              <w:right w:w="120" w:type="dxa"/>
            </w:tcMar>
          </w:tcPr>
          <w:p>
            <w:pPr>
              <w:spacing w:before="40" w:after="40"/>
            </w:pPr>
            <w:r>
              <w:rPr>
                <w:color w:val="1E293B"/>
                <w:sz w:val="17"/>
              </w:rPr>
              <w:t>Partially Covered</w:t>
            </w:r>
          </w:p>
        </w:tc>
        <w:tc>
          <w:tcPr>
            <w:tcW w:type="dxa" w:w="1872"/>
            <w:shd w:fill="F8FAFC"/>
            <w:tcMar>
              <w:top w:w="80" w:type="dxa"/>
              <w:bottom w:w="80" w:type="dxa"/>
              <w:left w:w="120" w:type="dxa"/>
              <w:right w:w="120" w:type="dxa"/>
            </w:tcMar>
          </w:tcPr>
          <w:p>
            <w:pPr>
              <w:spacing w:before="40" w:after="40"/>
            </w:pPr>
            <w:r>
              <w:rPr>
                <w:color w:val="1E293B"/>
                <w:sz w:val="17"/>
              </w:rPr>
              <w:t>CDL-HUNT-02</w:t>
            </w:r>
          </w:p>
        </w:tc>
      </w:tr>
      <w:tr>
        <w:tc>
          <w:tcPr>
            <w:tcW w:type="dxa" w:w="1872"/>
            <w:shd w:fill="FFFFFF"/>
            <w:tcMar>
              <w:top w:w="80" w:type="dxa"/>
              <w:bottom w:w="80" w:type="dxa"/>
              <w:left w:w="120" w:type="dxa"/>
              <w:right w:w="120" w:type="dxa"/>
            </w:tcMar>
          </w:tcPr>
          <w:p>
            <w:pPr>
              <w:spacing w:before="40" w:after="40"/>
            </w:pPr>
            <w:r>
              <w:rPr>
                <w:color w:val="1E293B"/>
                <w:sz w:val="17"/>
              </w:rPr>
              <w:t>Lateral Movement</w:t>
            </w:r>
          </w:p>
        </w:tc>
        <w:tc>
          <w:tcPr>
            <w:tcW w:type="dxa" w:w="1440"/>
            <w:shd w:fill="FFFFFF"/>
            <w:tcMar>
              <w:top w:w="80" w:type="dxa"/>
              <w:bottom w:w="80" w:type="dxa"/>
              <w:left w:w="120" w:type="dxa"/>
              <w:right w:w="120" w:type="dxa"/>
            </w:tcMar>
          </w:tcPr>
          <w:p>
            <w:pPr>
              <w:spacing w:before="40" w:after="40"/>
            </w:pPr>
            <w:r>
              <w:rPr>
                <w:color w:val="1E293B"/>
                <w:sz w:val="17"/>
              </w:rPr>
              <w:t>T1021.002</w:t>
            </w:r>
          </w:p>
        </w:tc>
        <w:tc>
          <w:tcPr>
            <w:tcW w:type="dxa" w:w="2592"/>
            <w:shd w:fill="FFFFFF"/>
            <w:tcMar>
              <w:top w:w="80" w:type="dxa"/>
              <w:bottom w:w="80" w:type="dxa"/>
              <w:left w:w="120" w:type="dxa"/>
              <w:right w:w="120" w:type="dxa"/>
            </w:tcMar>
          </w:tcPr>
          <w:p>
            <w:pPr>
              <w:spacing w:before="40" w:after="40"/>
            </w:pPr>
            <w:r>
              <w:rPr>
                <w:color w:val="1E293B"/>
                <w:sz w:val="17"/>
              </w:rPr>
              <w:t>SMB/Windows Admin Shares</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CDL-RULE-003, CDL-RULE-017</w:t>
            </w:r>
          </w:p>
        </w:tc>
      </w:tr>
      <w:tr>
        <w:tc>
          <w:tcPr>
            <w:tcW w:type="dxa" w:w="1872"/>
            <w:shd w:fill="F8FAFC"/>
            <w:tcMar>
              <w:top w:w="80" w:type="dxa"/>
              <w:bottom w:w="80" w:type="dxa"/>
              <w:left w:w="120" w:type="dxa"/>
              <w:right w:w="120" w:type="dxa"/>
            </w:tcMar>
          </w:tcPr>
          <w:p>
            <w:pPr>
              <w:spacing w:before="40" w:after="40"/>
            </w:pPr>
            <w:r>
              <w:rPr>
                <w:color w:val="1E293B"/>
                <w:sz w:val="17"/>
              </w:rPr>
              <w:t>Lateral Movement</w:t>
            </w:r>
          </w:p>
        </w:tc>
        <w:tc>
          <w:tcPr>
            <w:tcW w:type="dxa" w:w="1440"/>
            <w:shd w:fill="F8FAFC"/>
            <w:tcMar>
              <w:top w:w="80" w:type="dxa"/>
              <w:bottom w:w="80" w:type="dxa"/>
              <w:left w:w="120" w:type="dxa"/>
              <w:right w:w="120" w:type="dxa"/>
            </w:tcMar>
          </w:tcPr>
          <w:p>
            <w:pPr>
              <w:spacing w:before="40" w:after="40"/>
            </w:pPr>
            <w:r>
              <w:rPr>
                <w:color w:val="1E293B"/>
                <w:sz w:val="17"/>
              </w:rPr>
              <w:t>T1021.001</w:t>
            </w:r>
          </w:p>
        </w:tc>
        <w:tc>
          <w:tcPr>
            <w:tcW w:type="dxa" w:w="2592"/>
            <w:shd w:fill="F8FAFC"/>
            <w:tcMar>
              <w:top w:w="80" w:type="dxa"/>
              <w:bottom w:w="80" w:type="dxa"/>
              <w:left w:w="120" w:type="dxa"/>
              <w:right w:w="120" w:type="dxa"/>
            </w:tcMar>
          </w:tcPr>
          <w:p>
            <w:pPr>
              <w:spacing w:before="40" w:after="40"/>
            </w:pPr>
            <w:r>
              <w:rPr>
                <w:color w:val="1E293B"/>
                <w:sz w:val="17"/>
              </w:rPr>
              <w:t>Remote Desktop Protocol</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CDL-RULE-014</w:t>
            </w:r>
          </w:p>
        </w:tc>
      </w:tr>
      <w:tr>
        <w:tc>
          <w:tcPr>
            <w:tcW w:type="dxa" w:w="1872"/>
            <w:shd w:fill="FFFFFF"/>
            <w:tcMar>
              <w:top w:w="80" w:type="dxa"/>
              <w:bottom w:w="80" w:type="dxa"/>
              <w:left w:w="120" w:type="dxa"/>
              <w:right w:w="120" w:type="dxa"/>
            </w:tcMar>
          </w:tcPr>
          <w:p>
            <w:pPr>
              <w:spacing w:before="40" w:after="40"/>
            </w:pPr>
            <w:r>
              <w:rPr>
                <w:color w:val="1E293B"/>
                <w:sz w:val="17"/>
              </w:rPr>
              <w:t>Command and Control</w:t>
            </w:r>
          </w:p>
        </w:tc>
        <w:tc>
          <w:tcPr>
            <w:tcW w:type="dxa" w:w="1440"/>
            <w:shd w:fill="FFFFFF"/>
            <w:tcMar>
              <w:top w:w="80" w:type="dxa"/>
              <w:bottom w:w="80" w:type="dxa"/>
              <w:left w:w="120" w:type="dxa"/>
              <w:right w:w="120" w:type="dxa"/>
            </w:tcMar>
          </w:tcPr>
          <w:p>
            <w:pPr>
              <w:spacing w:before="40" w:after="40"/>
            </w:pPr>
            <w:r>
              <w:rPr>
                <w:color w:val="1E293B"/>
                <w:sz w:val="17"/>
              </w:rPr>
              <w:t>T1071.001</w:t>
            </w:r>
          </w:p>
        </w:tc>
        <w:tc>
          <w:tcPr>
            <w:tcW w:type="dxa" w:w="2592"/>
            <w:shd w:fill="FFFFFF"/>
            <w:tcMar>
              <w:top w:w="80" w:type="dxa"/>
              <w:bottom w:w="80" w:type="dxa"/>
              <w:left w:w="120" w:type="dxa"/>
              <w:right w:w="120" w:type="dxa"/>
            </w:tcMar>
          </w:tcPr>
          <w:p>
            <w:pPr>
              <w:spacing w:before="40" w:after="40"/>
            </w:pPr>
            <w:r>
              <w:rPr>
                <w:color w:val="1E293B"/>
                <w:sz w:val="17"/>
              </w:rPr>
              <w:t>Web Protocols (HTTP/S)</w:t>
            </w:r>
          </w:p>
        </w:tc>
        <w:tc>
          <w:tcPr>
            <w:tcW w:type="dxa" w:w="1584"/>
            <w:shd w:fill="FFFFFF"/>
            <w:tcMar>
              <w:top w:w="80" w:type="dxa"/>
              <w:bottom w:w="80" w:type="dxa"/>
              <w:left w:w="120" w:type="dxa"/>
              <w:right w:w="120" w:type="dxa"/>
            </w:tcMar>
          </w:tcPr>
          <w:p>
            <w:pPr>
              <w:spacing w:before="40" w:after="40"/>
            </w:pPr>
            <w:r>
              <w:rPr>
                <w:color w:val="1E293B"/>
                <w:sz w:val="17"/>
              </w:rPr>
              <w:t>Covered</w:t>
            </w:r>
          </w:p>
        </w:tc>
        <w:tc>
          <w:tcPr>
            <w:tcW w:type="dxa" w:w="1872"/>
            <w:shd w:fill="FFFFFF"/>
            <w:tcMar>
              <w:top w:w="80" w:type="dxa"/>
              <w:bottom w:w="80" w:type="dxa"/>
              <w:left w:w="120" w:type="dxa"/>
              <w:right w:w="120" w:type="dxa"/>
            </w:tcMar>
          </w:tcPr>
          <w:p>
            <w:pPr>
              <w:spacing w:before="40" w:after="40"/>
            </w:pPr>
            <w:r>
              <w:rPr>
                <w:color w:val="1E293B"/>
                <w:sz w:val="17"/>
              </w:rPr>
              <w:t>CDL-RULE-005, CDL-RULE-018, CDL-HUNT-01</w:t>
            </w:r>
          </w:p>
        </w:tc>
      </w:tr>
      <w:tr>
        <w:tc>
          <w:tcPr>
            <w:tcW w:type="dxa" w:w="1872"/>
            <w:shd w:fill="F8FAFC"/>
            <w:tcMar>
              <w:top w:w="80" w:type="dxa"/>
              <w:bottom w:w="80" w:type="dxa"/>
              <w:left w:w="120" w:type="dxa"/>
              <w:right w:w="120" w:type="dxa"/>
            </w:tcMar>
          </w:tcPr>
          <w:p>
            <w:pPr>
              <w:spacing w:before="40" w:after="40"/>
            </w:pPr>
            <w:r>
              <w:rPr>
                <w:color w:val="1E293B"/>
                <w:sz w:val="17"/>
              </w:rPr>
              <w:t>Command and Control</w:t>
            </w:r>
          </w:p>
        </w:tc>
        <w:tc>
          <w:tcPr>
            <w:tcW w:type="dxa" w:w="1440"/>
            <w:shd w:fill="F8FAFC"/>
            <w:tcMar>
              <w:top w:w="80" w:type="dxa"/>
              <w:bottom w:w="80" w:type="dxa"/>
              <w:left w:w="120" w:type="dxa"/>
              <w:right w:w="120" w:type="dxa"/>
            </w:tcMar>
          </w:tcPr>
          <w:p>
            <w:pPr>
              <w:spacing w:before="40" w:after="40"/>
            </w:pPr>
            <w:r>
              <w:rPr>
                <w:color w:val="1E293B"/>
                <w:sz w:val="17"/>
              </w:rPr>
              <w:t>T1071.004</w:t>
            </w:r>
          </w:p>
        </w:tc>
        <w:tc>
          <w:tcPr>
            <w:tcW w:type="dxa" w:w="2592"/>
            <w:shd w:fill="F8FAFC"/>
            <w:tcMar>
              <w:top w:w="80" w:type="dxa"/>
              <w:bottom w:w="80" w:type="dxa"/>
              <w:left w:w="120" w:type="dxa"/>
              <w:right w:w="120" w:type="dxa"/>
            </w:tcMar>
          </w:tcPr>
          <w:p>
            <w:pPr>
              <w:spacing w:before="40" w:after="40"/>
            </w:pPr>
            <w:r>
              <w:rPr>
                <w:color w:val="1E293B"/>
                <w:sz w:val="17"/>
              </w:rPr>
              <w:t>DNS</w:t>
            </w:r>
          </w:p>
        </w:tc>
        <w:tc>
          <w:tcPr>
            <w:tcW w:type="dxa" w:w="1584"/>
            <w:shd w:fill="F8FAFC"/>
            <w:tcMar>
              <w:top w:w="80" w:type="dxa"/>
              <w:bottom w:w="80" w:type="dxa"/>
              <w:left w:w="120" w:type="dxa"/>
              <w:right w:w="120" w:type="dxa"/>
            </w:tcMar>
          </w:tcPr>
          <w:p>
            <w:pPr>
              <w:spacing w:before="40" w:after="40"/>
            </w:pPr>
            <w:r>
              <w:rPr>
                <w:color w:val="1E293B"/>
                <w:sz w:val="17"/>
              </w:rPr>
              <w:t>Covered</w:t>
            </w:r>
          </w:p>
        </w:tc>
        <w:tc>
          <w:tcPr>
            <w:tcW w:type="dxa" w:w="1872"/>
            <w:shd w:fill="F8FAFC"/>
            <w:tcMar>
              <w:top w:w="80" w:type="dxa"/>
              <w:bottom w:w="80" w:type="dxa"/>
              <w:left w:w="120" w:type="dxa"/>
              <w:right w:w="120" w:type="dxa"/>
            </w:tcMar>
          </w:tcPr>
          <w:p>
            <w:pPr>
              <w:spacing w:before="40" w:after="40"/>
            </w:pPr>
            <w:r>
              <w:rPr>
                <w:color w:val="1E293B"/>
                <w:sz w:val="17"/>
              </w:rPr>
              <w:t>CDL-RULE-011</w:t>
            </w:r>
          </w:p>
        </w:tc>
      </w:tr>
    </w:tbl>
    <w:p>
      <w:pPr>
        <w:spacing w:after="240"/>
      </w:pPr>
    </w:p>
    <w:p>
      <w:pPr>
        <w:pStyle w:val="Heading1"/>
        <w:spacing w:before="280" w:after="120"/>
      </w:pPr>
      <w:r>
        <w:rPr>
          <w:b/>
          <w:color w:val="0F172A"/>
          <w:sz w:val="40"/>
        </w:rPr>
        <w:t>4. Production Sigma Detection Rule Library (18 Rules)</w:t>
      </w:r>
    </w:p>
    <w:p>
      <w:r>
        <w:t>All 18 detection rules adhere strictly to the Sigma generic detection format v2.0, providing cross-platform portability across SIEM architectures. The library comprises 15 single-source rules and 3 multi-event correlation rules.</w:t>
      </w:r>
    </w:p>
    <w:p>
      <w:pPr>
        <w:pStyle w:val="Heading2"/>
        <w:spacing w:before="280" w:after="120"/>
      </w:pPr>
      <w:r>
        <w:rPr>
          <w:b/>
          <w:color w:val="0284C7"/>
          <w:sz w:val="30"/>
        </w:rPr>
        <w:t>CDL-RULE-001_powershell_download_cradle: Suspicious PowerShell Download Cradle</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3c8e4e6b-71a2-4a4f-9e6b-0b29e612f001</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attack.execution, attack.t1059.001</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in-memory execution cradles are the predominant method for establishing footholds and evading disk-based antivirus scans.</w:t>
            </w:r>
          </w:p>
        </w:tc>
      </w:tr>
    </w:tbl>
    <w:p>
      <w:pPr>
        <w:spacing w:before="80" w:after="80"/>
      </w:pPr>
      <w:r>
        <w:rPr>
          <w:i/>
          <w:sz w:val="18"/>
        </w:rPr>
        <w:t>Description: Detects the execution of PowerShell commands utilizing download cradles (e.g. Net.WebClient, DownloadString, Invoke-WebRequest, or IEX) commonly used by attackers to stage malicious scripts into memory.</w:t>
        <w:br/>
        <w:t>Known False Positives: - Legitimate automated administrative scripts or deployment agents (e.g. NinjaRMM, SCCM) downloading updates.</w:t>
        <w:br/>
        <w:t>- Development build agents downloading dependencies.</w:t>
      </w:r>
    </w:p>
    <w:p>
      <w:pPr>
        <w:pStyle w:val="Heading2"/>
        <w:spacing w:before="280" w:after="120"/>
      </w:pPr>
      <w:r>
        <w:rPr>
          <w:b/>
          <w:color w:val="0284C7"/>
          <w:sz w:val="30"/>
        </w:rPr>
        <w:t>CDL-RULE-002_mimikatz_lsass_dump: LSASS Memory Access for Credential Dumping</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5a7f9d8e-14b3-4f92-8a1c-3b74d9e0f002</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CRITICAL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attack.credential_access, attack.t1003.001</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process_access</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Critical severity because successful LSASS memory reads allow unprivileged or compromised administrators to extract plaintext passwords and NTLM hashes, enabling immediate domain-wide lateral movement.</w:t>
            </w:r>
          </w:p>
        </w:tc>
      </w:tr>
    </w:tbl>
    <w:p>
      <w:pPr>
        <w:spacing w:before="80" w:after="80"/>
      </w:pPr>
      <w:r>
        <w:rPr>
          <w:i/>
          <w:sz w:val="18"/>
        </w:rPr>
        <w:t>Description: Detects suspicious process access requests to Local Security Authority Subsystem Service (LSASS) with granted access masks typical of credential extraction tools such as Mimikatz, ProcDump, or Dumpert.</w:t>
        <w:br/>
        <w:t>Known False Positives: - Legitimate security agents, antivirus endpoint protection scanners, or Windows Error Reporting accessing LSASS.</w:t>
        <w:br/>
        <w:t>- Performance monitoring tools querying system process metrics.</w:t>
      </w:r>
    </w:p>
    <w:p>
      <w:pPr>
        <w:pStyle w:val="Heading2"/>
        <w:spacing w:before="280" w:after="120"/>
      </w:pPr>
      <w:r>
        <w:rPr>
          <w:b/>
          <w:color w:val="0284C7"/>
          <w:sz w:val="30"/>
        </w:rPr>
        <w:t>CDL-RULE-003_psexec_service_installation: PsExec Service Installation for Remote Execution</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8b1c4e72-9a3f-421d-91b7-6e42c8d1f003</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attack.execution, attack.lateral_movement, attack.t1569.002, attack.t1021.002</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PsExec execution indicates administrative credentials are being used to establish interactive or automated footholds across remote hosts.</w:t>
            </w:r>
          </w:p>
        </w:tc>
      </w:tr>
    </w:tbl>
    <w:p>
      <w:pPr>
        <w:spacing w:before="80" w:after="80"/>
      </w:pPr>
      <w:r>
        <w:rPr>
          <w:i/>
          <w:sz w:val="18"/>
        </w:rPr>
        <w:t>Description: Detects the installation or execution of the PsExec service wrapper (PSEXESVC.exe) or custom remote service binaries frequently abused by adversaries for remote command execution and lateral movement.</w:t>
        <w:br/>
        <w:t>Known False Positives: - Legitimate IT systems administration, helpdesk software, or patch management tools utilizing Sysinternals PsExec.</w:t>
      </w:r>
    </w:p>
    <w:p>
      <w:pPr>
        <w:pStyle w:val="Heading2"/>
        <w:spacing w:before="280" w:after="120"/>
      </w:pPr>
      <w:r>
        <w:rPr>
          <w:b/>
          <w:color w:val="0284C7"/>
          <w:sz w:val="30"/>
        </w:rPr>
        <w:t>CDL-RULE-004_wmi_process_creation: WMI Remote Process Creation</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9a2d3b4c-8e1f-4b72-a09c-7f51b6e4f004</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attack.execution, attack.t1047</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WMI execution bypasses traditional endpoint barriers and facilitates agentless lateral movement without dropped binaries.</w:t>
            </w:r>
          </w:p>
        </w:tc>
      </w:tr>
    </w:tbl>
    <w:p>
      <w:pPr>
        <w:spacing w:before="80" w:after="80"/>
      </w:pPr>
      <w:r>
        <w:rPr>
          <w:i/>
          <w:sz w:val="18"/>
        </w:rPr>
        <w:t>Description: Detects processes spawned via Windows Management Instrumentation (WMI Provider Service wmiprvse.exe) or invocations of wmic.exe creating processes, typical of remote code execution or stealthy local execution.</w:t>
        <w:br/>
        <w:t>Known False Positives: - Legitimate enterprise orchestration or inventory agents (e.g. SCCM, Tanium, Lansweeper) utilizing WMI for system queries.</w:t>
      </w:r>
    </w:p>
    <w:p>
      <w:pPr>
        <w:pStyle w:val="Heading2"/>
        <w:spacing w:before="280" w:after="120"/>
      </w:pPr>
      <w:r>
        <w:rPr>
          <w:b/>
          <w:color w:val="0284C7"/>
          <w:sz w:val="30"/>
        </w:rPr>
        <w:t>CDL-RULE-005_c2_periodic_beaconing_http: Suspicious C2 Beaconing via HTTP Telemetry</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1f4b8c9d-3e2a-45f1-b8d7-9e6a0c5b2005</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attack.command_and_control, attack.t1071.001</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zeek / network_traffic</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outbound interactive beaconing confirms active perimeter egress and adversary communication channels.</w:t>
            </w:r>
          </w:p>
        </w:tc>
      </w:tr>
    </w:tbl>
    <w:p>
      <w:pPr>
        <w:spacing w:before="80" w:after="80"/>
      </w:pPr>
      <w:r>
        <w:rPr>
          <w:i/>
          <w:sz w:val="18"/>
        </w:rPr>
        <w:t>Description: Detects suspicious HTTP outbound communications exhibiting anomalous request characteristics commonly observed in Command and Control (C2) beaconing, such as raw IP destination hosts, missing or generic user agents, and structured C2 URI endpoints.</w:t>
        <w:br/>
        <w:t>Known False Positives: - Legacy internal web services using deprecated user agents.</w:t>
        <w:br/>
        <w:t>- Development tools testing internal REST APIs on port 8080.</w:t>
      </w:r>
    </w:p>
    <w:p>
      <w:pPr>
        <w:pStyle w:val="Heading2"/>
        <w:spacing w:before="280" w:after="120"/>
      </w:pPr>
      <w:r>
        <w:rPr>
          <w:b/>
          <w:color w:val="0284C7"/>
          <w:sz w:val="30"/>
        </w:rPr>
        <w:t>CDL-RULE-006_ntds_dit_volume_shadow_copy: Active Directory Database Extraction via Volume Shadow Copy</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6e1a4d8b-2c5e-491f-9a0d-8b3f2e1c9006</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CRITICAL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attack.credential_access, attack.t1003.003</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Critical severity because exfiltration of ntds.dit enables total Active Directory domain compromise through offline golden ticket generation and hash extraction.</w:t>
            </w:r>
          </w:p>
        </w:tc>
      </w:tr>
    </w:tbl>
    <w:p>
      <w:pPr>
        <w:spacing w:before="80" w:after="80"/>
      </w:pPr>
      <w:r>
        <w:rPr>
          <w:i/>
          <w:sz w:val="18"/>
        </w:rPr>
        <w:t>Description: Detects command-line activity attempting to create Volume Shadow Copies or invoke utilities (vssadmin, ntdsutil, esentutl) to extract ntds.dit, the Active Directory database containing domain credential hashes.</w:t>
        <w:br/>
        <w:t>Known False Positives: - Legitimate scheduled enterprise backup routines (e.g. Veeam, Commvault, Windows Server Backup).</w:t>
      </w:r>
    </w:p>
    <w:p>
      <w:pPr>
        <w:pStyle w:val="Heading2"/>
        <w:spacing w:before="280" w:after="120"/>
      </w:pPr>
      <w:r>
        <w:rPr>
          <w:b/>
          <w:color w:val="0284C7"/>
          <w:sz w:val="30"/>
        </w:rPr>
        <w:t>CDL-RULE-007_user_added_to_domain_admins: Account Added to Privileged Domain Security Group</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4b9e2c1a-8f3d-4762-b10c-5e9a8f2d1007</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attack.persistence, attack.privilege_escalation, attack.t1098, attack.t1078.002</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security</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unauthorized elevation into Domain Admins provides persistent administrative control across all domain assets.</w:t>
            </w:r>
          </w:p>
        </w:tc>
      </w:tr>
    </w:tbl>
    <w:p>
      <w:pPr>
        <w:spacing w:before="80" w:after="80"/>
      </w:pPr>
      <w:r>
        <w:rPr>
          <w:i/>
          <w:sz w:val="18"/>
        </w:rPr>
        <w:t>Description: Detects the addition of user accounts to high-privileged Active Directory groups such as Domain Admins, Enterprise Admins, or Schema Admins via Windows Security Event IDs 4728 or 4732.</w:t>
        <w:br/>
        <w:t>Known False Positives: - Legitimate authorized administrative provisioning during approved change windows.</w:t>
      </w:r>
    </w:p>
    <w:p>
      <w:pPr>
        <w:pStyle w:val="Heading2"/>
        <w:spacing w:before="280" w:after="120"/>
      </w:pPr>
      <w:r>
        <w:rPr>
          <w:b/>
          <w:color w:val="0284C7"/>
          <w:sz w:val="30"/>
        </w:rPr>
        <w:t>CDL-RULE-008_suspicious_rundll32_execution: Suspicious Rundll32 Execution from User Directory</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7d2c9e1b-4a5f-4638-98e2-0c8a5f3d7008</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MEDIUM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attack.defense_evasion, attack.execution, attack.t1218.011</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Medium severity because Rundll32 is frequently leveraged by commodity loaders and Cobalt Strike stagers to disguise malicious payload execution.</w:t>
            </w:r>
          </w:p>
        </w:tc>
      </w:tr>
    </w:tbl>
    <w:p>
      <w:pPr>
        <w:spacing w:before="80" w:after="80"/>
      </w:pPr>
      <w:r>
        <w:rPr>
          <w:i/>
          <w:sz w:val="18"/>
        </w:rPr>
        <w:t>Description: Detects Rundll32.exe loading dynamic link libraries (DLLs) from suspicious user-writable directories (AppData, Temp, Public) or using unusual ordinal function exports, typical of defense evasion and payload proxy execution.</w:t>
        <w:br/>
        <w:t>Known False Positives: - Third-party software installers executing temporary DLL helpers from AppData\Local\Temp.</w:t>
      </w:r>
    </w:p>
    <w:p>
      <w:pPr>
        <w:pStyle w:val="Heading2"/>
        <w:spacing w:before="280" w:after="120"/>
      </w:pPr>
      <w:r>
        <w:rPr>
          <w:b/>
          <w:color w:val="0284C7"/>
          <w:sz w:val="30"/>
        </w:rPr>
        <w:t>CDL-RULE-009_scheduled_task_creation_schtasks: Suspicious Scheduled Task Creation via Schtasks</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2e8b1d9c-5a4f-4712-9c0e-3b6f8a7d4009</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MEDIUM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attack.persistence, attack.privilege_escalation, attack.t1053.005</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Medium severity because scheduled tasks provide persistent survival across reboots and execution privileges under LocalSystem.</w:t>
            </w:r>
          </w:p>
        </w:tc>
      </w:tr>
    </w:tbl>
    <w:p>
      <w:pPr>
        <w:spacing w:before="80" w:after="80"/>
      </w:pPr>
      <w:r>
        <w:rPr>
          <w:i/>
          <w:sz w:val="18"/>
        </w:rPr>
        <w:t>Description: Detects scheduled tasks created via the schtasks command-line utility configured to run under SYSTEM or elevated context, pointing to script interpreters or executable files in writable paths.</w:t>
        <w:br/>
        <w:t>Known False Positives: - Enterprise software updates (e.g. Adobe, Google Update, browser updaters) configuring scheduled tasks.</w:t>
      </w:r>
    </w:p>
    <w:p>
      <w:pPr>
        <w:pStyle w:val="Heading2"/>
        <w:spacing w:before="280" w:after="120"/>
      </w:pPr>
      <w:r>
        <w:rPr>
          <w:b/>
          <w:color w:val="0284C7"/>
          <w:sz w:val="30"/>
        </w:rPr>
        <w:t>CDL-RULE-010_reg_run_key_persistence: Persistence via Registry Run Key Modification</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3a9d7e1c-6b2f-4801-a1e4-8f0c9b2d3010</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MEDIUM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attack.persistence, attack.t1547.001</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registry_set</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Medium severity because registry Run keys remain one of the most reliable and prevalent persistence mechanisms across Windows platforms.</w:t>
            </w:r>
          </w:p>
        </w:tc>
      </w:tr>
    </w:tbl>
    <w:p>
      <w:pPr>
        <w:spacing w:before="80" w:after="80"/>
      </w:pPr>
      <w:r>
        <w:rPr>
          <w:i/>
          <w:sz w:val="18"/>
        </w:rPr>
        <w:t>Description: Detects registry value modifications within the CurrentVersion\Run or CurrentVersion\RunOnce keys pointing to executable payloads, script interpreters, or user-writable locations.</w:t>
        <w:br/>
        <w:t>Known False Positives: - Legitimate user software installers configuring auto-start entries for desktop applications.</w:t>
      </w:r>
    </w:p>
    <w:p>
      <w:pPr>
        <w:pStyle w:val="Heading2"/>
        <w:spacing w:before="280" w:after="120"/>
      </w:pPr>
      <w:r>
        <w:rPr>
          <w:b/>
          <w:color w:val="0284C7"/>
          <w:sz w:val="30"/>
        </w:rPr>
        <w:t>CDL-RULE-011_dns_txt_record_exfiltration: Potential DNS Tunneling or Exfiltration via TXT Queries</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5f1b8a3e-7c9d-4318-8e2b-4a9c1e7f5011</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attack.command_and_control, attack.exfiltration, attack.t1071.004, attack.t1048</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zeek / dns</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DNS tunneling allows adversaries to bypass proxy controls and firewalls that permit port 53 egress uninspected.</w:t>
            </w:r>
          </w:p>
        </w:tc>
      </w:tr>
    </w:tbl>
    <w:p>
      <w:pPr>
        <w:spacing w:before="80" w:after="80"/>
      </w:pPr>
      <w:r>
        <w:rPr>
          <w:i/>
          <w:sz w:val="18"/>
        </w:rPr>
        <w:t>Description: Detects suspicious DNS activity characterized by high-volume TXT record queries, long domain labels, or hex/base64 encoded subdomains indicative of DNS tunneling protocols (e.g. Iodine, DNSCat2, Cobalt Strike DNS beacons).</w:t>
        <w:br/>
        <w:t>Known False Positives: - Cloud provider verification records, SPF checks, DKIM email authentication validations.</w:t>
        <w:br/>
        <w:t>- Antivirus signature cloud lookups using DNS TXT records (e.g. Sophos, Trend Micro).</w:t>
      </w:r>
    </w:p>
    <w:p>
      <w:pPr>
        <w:pStyle w:val="Heading2"/>
        <w:spacing w:before="280" w:after="120"/>
      </w:pPr>
      <w:r>
        <w:rPr>
          <w:b/>
          <w:color w:val="0284C7"/>
          <w:sz w:val="30"/>
        </w:rPr>
        <w:t>CDL-RULE-012_suspicious_certutil_download: Ingress Tool Transfer via Certutil Living-Off-The-Land Binary</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8d3e1a7b-9c4f-4208-a5b1-6e9f2c8d1012</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attack.command_and_control, attack.defense_evasion, attack.t1105, attack.t1218</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certutil is signed by Microsoft and trusted by default, making it an ideal staging vehicle for attackers to evade web content filters.</w:t>
            </w:r>
          </w:p>
        </w:tc>
      </w:tr>
    </w:tbl>
    <w:p>
      <w:pPr>
        <w:spacing w:before="80" w:after="80"/>
      </w:pPr>
      <w:r>
        <w:rPr>
          <w:i/>
          <w:sz w:val="18"/>
        </w:rPr>
        <w:t>Description: Detects the use of certutil.exe to download remote files via command-line flags (-urlcache, -split, -f) or decode base64 payloads (-decode), a common Living-Off-The-Land technique for staging malware.</w:t>
        <w:br/>
        <w:t>Known False Positives: - Rare legitimate administrative certificate revocation list (CRL) troubleshooting using explicit URLs.</w:t>
      </w:r>
    </w:p>
    <w:p>
      <w:pPr>
        <w:pStyle w:val="Heading2"/>
        <w:spacing w:before="280" w:after="120"/>
      </w:pPr>
      <w:r>
        <w:rPr>
          <w:b/>
          <w:color w:val="0284C7"/>
          <w:sz w:val="30"/>
        </w:rPr>
        <w:t>CDL-RULE-013_mshta_obfuscated_vbs: Defense Evasion via Suspicious Mshta Execution</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1c7e9a2b-8d4f-4091-b3e5-7a6c9d1f8013</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attack.defense_evasion, attack.execution, attack.t1218.005</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mshta executes unconstrained VBScript/JScript outside of standard PowerShell/cmd logging constraints, frequently delivering initial payloads.</w:t>
            </w:r>
          </w:p>
        </w:tc>
      </w:tr>
    </w:tbl>
    <w:p>
      <w:pPr>
        <w:spacing w:before="80" w:after="80"/>
      </w:pPr>
      <w:r>
        <w:rPr>
          <w:i/>
          <w:sz w:val="18"/>
        </w:rPr>
        <w:t>Description: Detects the execution of Microsoft HTML Application Host (mshta.exe) with inline scripts (vbscript, javascript) or downloading remote .hta files from the internet, bypassing application control solutions.</w:t>
        <w:br/>
        <w:t>Known False Positives: - Rare legacy internal enterprise desktop utilities utilizing Microsoft HTML Applications.</w:t>
      </w:r>
    </w:p>
    <w:p>
      <w:pPr>
        <w:pStyle w:val="Heading2"/>
        <w:spacing w:before="280" w:after="120"/>
      </w:pPr>
      <w:r>
        <w:rPr>
          <w:b/>
          <w:color w:val="0284C7"/>
          <w:sz w:val="30"/>
        </w:rPr>
        <w:t>CDL-RULE-014_remote_desktop_tunneling: Remote Desktop Port Tunneling via Netsh Portproxy</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9d1b4f7e-2a8c-4519-8e3b-6f0a9c2d7014</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attack.lateral_movement, attack.command_and_control, attack.t1021.001, attack.t1572</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netsh portproxy enables attackers to bypass network segmentation and route unauthorized RDP traffic across firewalled subnets.</w:t>
            </w:r>
          </w:p>
        </w:tc>
      </w:tr>
    </w:tbl>
    <w:p>
      <w:pPr>
        <w:spacing w:before="80" w:after="80"/>
      </w:pPr>
      <w:r>
        <w:rPr>
          <w:i/>
          <w:sz w:val="18"/>
        </w:rPr>
        <w:t>Description: Detects the creation of network port forwarding rules using netsh interface portproxy to redirect local or external ports to RDP (3389) or internal services, facilitating covert lateral tunneling.</w:t>
        <w:br/>
        <w:t>Known False Positives: - Specialized network administration tools or Windows Subsystem for Linux (WSL) port mapping configurations.</w:t>
      </w:r>
    </w:p>
    <w:p>
      <w:pPr>
        <w:pStyle w:val="Heading2"/>
        <w:spacing w:before="280" w:after="120"/>
      </w:pPr>
      <w:r>
        <w:rPr>
          <w:b/>
          <w:color w:val="0284C7"/>
          <w:sz w:val="30"/>
        </w:rPr>
        <w:t>CDL-RULE-015_kerberoasting_spn_request: Kerberoasting Ticket Request with RC4 Encryption</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4e7a2b9c-1d5f-4830-a9e6-0b8c3f4d9015</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MEDIUM (Standard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attack.credential_access, attack.t1558.003</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security</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Medium severity because requesting RC4 tickets for service accounts allows offline brute forcing without interacting further with the target service.</w:t>
            </w:r>
          </w:p>
        </w:tc>
      </w:tr>
    </w:tbl>
    <w:p>
      <w:pPr>
        <w:spacing w:before="80" w:after="80"/>
      </w:pPr>
      <w:r>
        <w:rPr>
          <w:i/>
          <w:sz w:val="18"/>
        </w:rPr>
        <w:t>Description: Detects Kerberos Service Ticket (TGS) requests utilizing weak RC4-HMAC encryption (0x17) against user-associated Service Principal Names (SPNs), indicative of Kerberoasting attacks aimed at offline password cracking.</w:t>
        <w:br/>
        <w:t>Known False Positives: - Legacy domain services or outdated third-party applications that do not support modern AES-128/AES-256 Kerberos encryption.</w:t>
      </w:r>
    </w:p>
    <w:p>
      <w:pPr>
        <w:pStyle w:val="Heading2"/>
        <w:spacing w:before="280" w:after="120"/>
      </w:pPr>
      <w:r>
        <w:rPr>
          <w:b/>
          <w:color w:val="0284C7"/>
          <w:sz w:val="30"/>
        </w:rPr>
        <w:t>CDL-RULE-016_correlation_brute_force_to_success: Multiple Failed Logons Followed by Successful Logon (Brute Force to Compromise)</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7b2e1c9d-4f0a-4832-b1d5-9a8c3e2f1016</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(Correlation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attack.credential_access, attack.initial_access, attack.t1110, attack.t1078</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security</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a sudden successful logon immediately preceded by brute-force failures provides strong corroboration of unauthorized credential cracking.</w:t>
            </w:r>
          </w:p>
        </w:tc>
      </w:tr>
    </w:tbl>
    <w:p>
      <w:pPr>
        <w:spacing w:before="80" w:after="80"/>
      </w:pPr>
      <w:r>
        <w:rPr>
          <w:i/>
          <w:sz w:val="18"/>
        </w:rPr>
        <w:t>Description: Correlation rule detecting a sequence of 5 or more failed logon attempts (Event ID 4625) followed by a successful logon (Event ID 4624) from the same source IP within a 5-minute time window, indicating password guessing or credential spraying leading to initial access.</w:t>
        <w:br/>
        <w:t>Known False Positives: - User forgetting password repeatedly and entering correct credentials on the 6th attempt.</w:t>
        <w:br/>
        <w:t>- Stale cached domain credentials on a shared mobile device.</w:t>
      </w:r>
    </w:p>
    <w:p>
      <w:pPr>
        <w:pStyle w:val="Heading2"/>
        <w:spacing w:before="280" w:after="120"/>
      </w:pPr>
      <w:r>
        <w:rPr>
          <w:b/>
          <w:color w:val="0284C7"/>
          <w:sz w:val="30"/>
        </w:rPr>
        <w:t>CDL-RULE-017_correlation_recon_to_lateral_movement: Domain Reconnaissance Followed by Remote Execution (Recon to Lateral Movement)</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8c1d5e2a-3b9f-4710-a2e6-1f0b9c3e2017</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HIGH (Correlation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attack.discovery, attack.lateral_movement, attack.t1087, attack.t1021.002, attack.t1047</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process_creation</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High severity because adversaries systematically query domain architecture immediately before attempting credentialed lateral movement hops.</w:t>
            </w:r>
          </w:p>
        </w:tc>
      </w:tr>
    </w:tbl>
    <w:p>
      <w:pPr>
        <w:spacing w:before="80" w:after="80"/>
      </w:pPr>
      <w:r>
        <w:rPr>
          <w:i/>
          <w:sz w:val="18"/>
        </w:rPr>
        <w:t>Description: Correlation rule detecting internal Active Directory reconnaissance (net group, nltest, adfind) executed on a host, immediately followed within 10 minutes by lateral movement execution (WMI process creation or PsExec service installation) initiated by the same user account.</w:t>
        <w:br/>
        <w:t>Known False Positives: - Systems administrators running ad-hoc domain troubleshooting scripts before managing remote servers.</w:t>
      </w:r>
    </w:p>
    <w:p>
      <w:pPr>
        <w:pStyle w:val="Heading2"/>
        <w:spacing w:before="280" w:after="120"/>
      </w:pPr>
      <w:r>
        <w:rPr>
          <w:b/>
          <w:color w:val="0284C7"/>
          <w:sz w:val="30"/>
        </w:rPr>
        <w:t>CDL-RULE-018_correlation_lsass_dump_to_c2_egress: LSASS Process Access Followed by Anomalous Network Egress (Dump to Exfil)</w:t>
      </w:r>
    </w:p>
    <w:tbl>
      <w:tblPr>
        <w:tblW w:type="auto" w:w="0"/>
        <w:tblLook w:firstColumn="1" w:firstRow="1" w:lastColumn="0" w:lastRow="0" w:noHBand="0" w:noVBand="1" w:val="04A0"/>
      </w:tblPr>
      <w:tblGrid>
        <w:gridCol w:w="2592"/>
        <w:gridCol w:w="6768"/>
      </w:tblGrid>
      <w:tr>
        <w:tc>
          <w:tcPr>
            <w:tcW w:type="dxa" w:w="4680"/>
            <w:shd w:fill="F8FAFC"/>
            <w:tcMar>
              <w:top w:w="60" w:type="dxa"/>
              <w:bottom w:w="60" w:type="dxa"/>
              <w:left w:w="100" w:type="dxa"/>
              <w:right w:w="100" w:type="dxa"/>
            </w:tcMar>
          </w:tcPr>
          <w:p>
            <w:r>
              <w:rPr>
                <w:b/>
                <w:sz w:val="17"/>
              </w:rPr>
              <w:t>Rule UUID</w:t>
            </w:r>
          </w:p>
        </w:tc>
        <w:tc>
          <w:tcPr>
            <w:tcW w:type="dxa" w:w="4680"/>
            <w:shd w:fill="FFFFFF"/>
            <w:tcMar>
              <w:top w:w="60" w:type="dxa"/>
              <w:bottom w:w="60" w:type="dxa"/>
              <w:left w:w="100" w:type="dxa"/>
              <w:right w:w="100" w:type="dxa"/>
            </w:tcMar>
          </w:tcPr>
          <w:p>
            <w:r>
              <w:rPr>
                <w:sz w:val="17"/>
              </w:rPr>
              <w:t>9d3e7b1a-5c2f-4902-8f1b-4a6c8e3d2018</w:t>
            </w:r>
          </w:p>
        </w:tc>
      </w:tr>
      <w:tr>
        <w:tc>
          <w:tcPr>
            <w:tcW w:type="dxa" w:w="4680"/>
            <w:shd w:fill="F8FAFC"/>
            <w:tcMar>
              <w:top w:w="60" w:type="dxa"/>
              <w:bottom w:w="60" w:type="dxa"/>
              <w:left w:w="100" w:type="dxa"/>
              <w:right w:w="100" w:type="dxa"/>
            </w:tcMar>
          </w:tcPr>
          <w:p>
            <w:r>
              <w:rPr>
                <w:b/>
                <w:sz w:val="17"/>
              </w:rPr>
              <w:t>Severity Level</w:t>
            </w:r>
          </w:p>
        </w:tc>
        <w:tc>
          <w:tcPr>
            <w:tcW w:type="dxa" w:w="4680"/>
            <w:shd w:fill="FFFFFF"/>
            <w:tcMar>
              <w:top w:w="60" w:type="dxa"/>
              <w:bottom w:w="60" w:type="dxa"/>
              <w:left w:w="100" w:type="dxa"/>
              <w:right w:w="100" w:type="dxa"/>
            </w:tcMar>
          </w:tcPr>
          <w:p>
            <w:r>
              <w:rPr>
                <w:sz w:val="17"/>
              </w:rPr>
              <w:t>CRITICAL (Correlation Rule)</w:t>
            </w:r>
          </w:p>
        </w:tc>
      </w:tr>
      <w:tr>
        <w:tc>
          <w:tcPr>
            <w:tcW w:type="dxa" w:w="4680"/>
            <w:shd w:fill="F8FAFC"/>
            <w:tcMar>
              <w:top w:w="60" w:type="dxa"/>
              <w:bottom w:w="60" w:type="dxa"/>
              <w:left w:w="100" w:type="dxa"/>
              <w:right w:w="100" w:type="dxa"/>
            </w:tcMar>
          </w:tcPr>
          <w:p>
            <w:r>
              <w:rPr>
                <w:b/>
                <w:sz w:val="17"/>
              </w:rPr>
              <w:t>MITRE ATT&amp;CK Tags</w:t>
            </w:r>
          </w:p>
        </w:tc>
        <w:tc>
          <w:tcPr>
            <w:tcW w:type="dxa" w:w="4680"/>
            <w:shd w:fill="FFFFFF"/>
            <w:tcMar>
              <w:top w:w="60" w:type="dxa"/>
              <w:bottom w:w="60" w:type="dxa"/>
              <w:left w:w="100" w:type="dxa"/>
              <w:right w:w="100" w:type="dxa"/>
            </w:tcMar>
          </w:tcPr>
          <w:p>
            <w:r>
              <w:rPr>
                <w:sz w:val="17"/>
              </w:rPr>
              <w:t>attack.credential_access, attack.command_and_control, attack.t1003.001, attack.t1071.001</w:t>
            </w:r>
          </w:p>
        </w:tc>
      </w:tr>
      <w:tr>
        <w:tc>
          <w:tcPr>
            <w:tcW w:type="dxa" w:w="4680"/>
            <w:shd w:fill="F8FAFC"/>
            <w:tcMar>
              <w:top w:w="60" w:type="dxa"/>
              <w:bottom w:w="60" w:type="dxa"/>
              <w:left w:w="100" w:type="dxa"/>
              <w:right w:w="100" w:type="dxa"/>
            </w:tcMar>
          </w:tcPr>
          <w:p>
            <w:r>
              <w:rPr>
                <w:b/>
                <w:sz w:val="17"/>
              </w:rPr>
              <w:t>Log Source</w:t>
            </w:r>
          </w:p>
        </w:tc>
        <w:tc>
          <w:tcPr>
            <w:tcW w:type="dxa" w:w="4680"/>
            <w:shd w:fill="FFFFFF"/>
            <w:tcMar>
              <w:top w:w="60" w:type="dxa"/>
              <w:bottom w:w="60" w:type="dxa"/>
              <w:left w:w="100" w:type="dxa"/>
              <w:right w:w="100" w:type="dxa"/>
            </w:tcMar>
          </w:tcPr>
          <w:p>
            <w:r>
              <w:rPr>
                <w:sz w:val="17"/>
              </w:rPr>
              <w:t>windows / multi_source</w:t>
            </w:r>
          </w:p>
        </w:tc>
      </w:tr>
      <w:tr>
        <w:tc>
          <w:tcPr>
            <w:tcW w:type="dxa" w:w="4680"/>
            <w:shd w:fill="F8FAFC"/>
            <w:tcMar>
              <w:top w:w="60" w:type="dxa"/>
              <w:bottom w:w="60" w:type="dxa"/>
              <w:left w:w="100" w:type="dxa"/>
              <w:right w:w="100" w:type="dxa"/>
            </w:tcMar>
          </w:tcPr>
          <w:p>
            <w:r>
              <w:rPr>
                <w:b/>
                <w:sz w:val="17"/>
              </w:rPr>
              <w:t>Severity Rationale</w:t>
            </w:r>
          </w:p>
        </w:tc>
        <w:tc>
          <w:tcPr>
            <w:tcW w:type="dxa" w:w="4680"/>
            <w:shd w:fill="FFFFFF"/>
            <w:tcMar>
              <w:top w:w="60" w:type="dxa"/>
              <w:bottom w:w="60" w:type="dxa"/>
              <w:left w:w="100" w:type="dxa"/>
              <w:right w:w="100" w:type="dxa"/>
            </w:tcMar>
          </w:tcPr>
          <w:p>
            <w:r>
              <w:rPr>
                <w:sz w:val="17"/>
              </w:rPr>
              <w:t>Critical severity because rapid network transmission after LSASS access signifies active data exfiltration or operational check-in with stolen master keys.</w:t>
            </w:r>
          </w:p>
        </w:tc>
      </w:tr>
    </w:tbl>
    <w:p>
      <w:pPr>
        <w:spacing w:before="80" w:after="80"/>
      </w:pPr>
      <w:r>
        <w:rPr>
          <w:i/>
          <w:sz w:val="18"/>
        </w:rPr>
        <w:t>Description: Correlation rule detecting LSASS memory access handle acquisition (Sysmon Event ID 10) on an endpoint, immediately followed within 3 minutes by an anomalous outbound network connection (Sysmon Event ID 3 or Zeek conn) to an external destination, indicating exfiltration or C2 beacon sync of harvested credentials.</w:t>
        <w:br/>
        <w:t>Known False Positives: - Security software telemetry uploading endpoint memory inspection alerts to vendor cloud backends.</w:t>
      </w:r>
    </w:p>
    <w:p>
      <w:r>
        <w:br w:type="page"/>
      </w:r>
    </w:p>
    <w:p>
      <w:pPr>
        <w:pStyle w:val="Heading1"/>
        <w:spacing w:before="280" w:after="120"/>
      </w:pPr>
      <w:r>
        <w:rPr>
          <w:b/>
          <w:color w:val="0F172A"/>
          <w:sz w:val="40"/>
        </w:rPr>
        <w:t>5. Structured Threat Hunting Reports</w:t>
      </w:r>
    </w:p>
    <w:p>
      <w:pPr>
        <w:pStyle w:val="Heading2"/>
        <w:spacing w:before="280" w:after="120"/>
      </w:pPr>
      <w:r>
        <w:rPr>
          <w:b/>
          <w:color w:val="0284C7"/>
          <w:sz w:val="30"/>
        </w:rPr>
        <w:t>5.1 Threat Hunt 01: Covert HTTP/S C2 Beaconing with Sleep Jitter (T1071.001)</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Hunt 01 Outcome: CONFIRMED FINDING (Escalated to Case INC-2026-0841)</w:t>
              <w:br/>
            </w:r>
            <w:r>
              <w:rPr>
                <w:color w:val="1E293B"/>
                <w:sz w:val="19"/>
              </w:rPr>
              <w:t>Hypothesis: Endpoints within corporate workstation VLAN are infected with an undetected C2 stager communicating outbound with an external IP on an irregular but statistically bounded polling interval (mean sleep interval 30-60s with 10-25% jitter).</w:t>
              <w:br/>
              <w:br/>
              <w:t>Findings: Analyzed delta-T inter-arrival variance across 1,412 outbound connections from WKSTN-FIN-01. Isolated destination 185.106.94.234:8443 clustering tightly around 45.2s mean interval with standard deviation 5.4s (jitter 11.9%), matching Cobalt Strike malleable profiles. Handed off to Incident Case INC-2026-0841.</w:t>
            </w:r>
          </w:p>
        </w:tc>
      </w:tr>
    </w:tbl>
    <w:p>
      <w:pPr>
        <w:spacing w:after="80"/>
      </w:pPr>
    </w:p>
    <w:p>
      <w:pPr>
        <w:pStyle w:val="Heading2"/>
        <w:spacing w:before="280" w:after="120"/>
      </w:pPr>
      <w:r>
        <w:rPr>
          <w:b/>
          <w:color w:val="0284C7"/>
          <w:sz w:val="30"/>
        </w:rPr>
        <w:t>5.2 Threat Hunt 02: Silent LOLBAS &amp; Host Reconnaissance (T1082 / T1016)</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Hunt 02 Outcome: CONFIRMED FINDING (Escalated to Case INC-2026-0894)</w:t>
              <w:br/>
            </w:r>
            <w:r>
              <w:rPr>
                <w:color w:val="1E293B"/>
                <w:sz w:val="19"/>
              </w:rPr>
              <w:t>Hypothesis: An adversary or compromised internal principal is actively conducting host and network situational awareness queries executing three or more distinct built-in reconnaissance utilities within a 3-minute burst window under unusual service accounts.</w:t>
              <w:br/>
              <w:br/>
              <w:t>Findings: Audited tumbling 180-second windows across 7-day member server logs. Isolated WS-FIN-04 executing 5 distinct recon tools (whoami, systeminfo, nltest, net group, tasklist) at 02:18 UTC under headless backup service account svc_backup originating via WinRM from WS-MKTG-02. Handed off to Incident Case INC-2026-0894.</w:t>
            </w:r>
          </w:p>
        </w:tc>
      </w:tr>
    </w:tbl>
    <w:p>
      <w:pPr>
        <w:spacing w:after="80"/>
      </w:pPr>
    </w:p>
    <w:p>
      <w:r>
        <w:br w:type="page"/>
      </w:r>
    </w:p>
    <w:p>
      <w:pPr>
        <w:pStyle w:val="Heading1"/>
        <w:spacing w:before="280" w:after="120"/>
      </w:pPr>
      <w:r>
        <w:rPr>
          <w:b/>
          <w:color w:val="0F172A"/>
          <w:sz w:val="40"/>
        </w:rPr>
        <w:t>6. Full Incident Investigation Case Reports</w:t>
      </w:r>
    </w:p>
    <w:p>
      <w:pPr>
        <w:pStyle w:val="Heading2"/>
        <w:spacing w:before="280" w:after="120"/>
      </w:pPr>
      <w:r>
        <w:rPr>
          <w:b/>
          <w:color w:val="0284C7"/>
          <w:sz w:val="30"/>
        </w:rPr>
        <w:t>6.1 Incident Case 001: Cobalt Strike Ingress &amp; DC Pivot (INC-2026-0841)</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Classification: TRUE POSITIVE (P1 - Critical Severity)</w:t>
              <w:br/>
            </w:r>
            <w:r>
              <w:rPr>
                <w:color w:val="1E293B"/>
                <w:sz w:val="19"/>
              </w:rPr>
              <w:t>Adversary Kill-Chain:</w:t>
              <w:br/>
              <w:t>1. Initial Access: Phishing email delivering weaponized macro attachment Invoice_Q3_Statement.docm (T1566.001).</w:t>
              <w:br/>
              <w:t>2. Execution: WINWORD spawns powershell.exe executing download cradle fetching stage.ps1 (T1059.001 - Triggered CDL-RULE-001).</w:t>
              <w:br/>
              <w:t>3. Defense Evasion: PowerShell drops and executes sqlncli.dll via rundll32.exe (T1218.011 - Triggered CDL-RULE-008).</w:t>
              <w:br/>
              <w:t>4. Command &amp; Control: HTTPS beaconing established to 185.106.94.234:8443 with 45s interval (T1071.001 - Surfaced in CDL-HUNT-01).</w:t>
              <w:br/>
              <w:t>5. Credential Access: Rundll32 injects into lsass.exe (0x1010) stealing Tier-0 Domain Admin tickets (T1003.001 - Triggered CDL-RULE-002).</w:t>
              <w:br/>
              <w:t>6. Lateral Movement: PsExec execution from WKSTN-FIN-01 to Domain Controller DC-01 (T1021.002 - Triggered CDL-RULE-003).</w:t>
              <w:br/>
              <w:br/>
              <w:t>Containment: Network isolation of WKSTN-FIN-01, edge firewall null-routing of C2 IP, and double Active Directory krbtgt password reset prevented domain destruction and ransomware deployment.</w:t>
            </w:r>
          </w:p>
        </w:tc>
      </w:tr>
    </w:tbl>
    <w:p>
      <w:pPr>
        <w:spacing w:after="80"/>
      </w:pPr>
    </w:p>
    <w:p>
      <w:pPr>
        <w:pStyle w:val="Heading2"/>
        <w:spacing w:before="280" w:after="120"/>
      </w:pPr>
      <w:r>
        <w:rPr>
          <w:b/>
          <w:color w:val="0284C7"/>
          <w:sz w:val="30"/>
        </w:rPr>
        <w:t>6.2 Incident Case 002: Backup Principal Compromise &amp; NTDS.dit Staging (INC-2026-0894)</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Classification: TRUE POSITIVE (P2 - High Severity)</w:t>
              <w:br/>
            </w:r>
            <w:r>
              <w:rPr>
                <w:color w:val="1E293B"/>
                <w:sz w:val="19"/>
              </w:rPr>
              <w:t>Adversary Kill-Chain:</w:t>
              <w:br/>
              <w:t>1. Valid Accounts: Compromised service principal CYBERION\svc_backup authenticated via WinRM from marketing workstation WS-MKTG-02 (T1078.002).</w:t>
              <w:br/>
              <w:t>2. Discovery: LOLBAS discovery commands executed in rapid sequence on WS-FIN-04 (T1082/T1016 - Surfaced in CDL-HUNT-02).</w:t>
              <w:br/>
              <w:t>3. Lateral Movement: Remote administration hop to corporate file server FS-CORP-01 (T1021.002).</w:t>
              <w:br/>
              <w:t>4. Credential Access: Creation of Volume Shadow Copy using vssadmin.exe and extraction of Active Directory ntds.dit database and SYSTEM registry hive (T1003.003 - Triggered CDL-RULE-006).</w:t>
              <w:br/>
              <w:t>5. Collection: Staged data compressed into password-protected archive backup_stage.7z (T1560.001).</w:t>
              <w:br/>
              <w:t>6. C2 Probe: Outbound DNS TXT tunneling query to stage01.tunnel.data-exfil-c2.net (T1071.004 - Triggered CDL-RULE-011).</w:t>
              <w:br/>
              <w:br/>
              <w:t>Containment: Intercepted prior to exfiltration completion; endpoints isolated; staged 7z archives purged; backup service accounts migrated to Group Managed Service Accounts (gMSA).</w:t>
            </w:r>
          </w:p>
        </w:tc>
      </w:tr>
    </w:tbl>
    <w:p>
      <w:pPr>
        <w:spacing w:after="80"/>
      </w:pPr>
    </w:p>
    <w:p>
      <w:r>
        <w:br w:type="page"/>
      </w:r>
    </w:p>
    <w:p>
      <w:pPr>
        <w:pStyle w:val="Heading1"/>
        <w:spacing w:before="280" w:after="120"/>
      </w:pPr>
      <w:r>
        <w:rPr>
          <w:b/>
          <w:color w:val="0F172A"/>
          <w:sz w:val="40"/>
        </w:rPr>
        <w:t>7. Operational Incident Response Playbooks</w:t>
      </w:r>
    </w:p>
    <w:p>
      <w:pPr>
        <w:pStyle w:val="Heading2"/>
        <w:spacing w:before="280" w:after="120"/>
      </w:pPr>
      <w:r>
        <w:rPr>
          <w:b/>
          <w:color w:val="0284C7"/>
          <w:sz w:val="30"/>
        </w:rPr>
        <w:t>Playbook CDL-IRP-01: Compromised Credential Response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Target Techniques: T1078, T1110, T1098</w:t>
              <w:br/>
            </w:r>
            <w:r>
              <w:rPr>
                <w:color w:val="1E293B"/>
                <w:sz w:val="19"/>
              </w:rPr>
              <w:t>Phase 1 (Triage): Validate SIEM correlation alerts (CDL-RULE-016), verify Impossible Travel / MFA fatigue alerts.</w:t>
              <w:br/>
              <w:t>Phase 2 (Scoping): Audit 14-day logon history, enumerate Active Directory group memberships, check cloud tokens.</w:t>
              <w:br/>
              <w:t>Phase 3 (Containment): Disable AD account (Disable-ADAccount), revoke Azure AD refresh tokens, purge active Kerberos TGTs.</w:t>
              <w:br/>
              <w:t>Phase 4 (Eradication): Reset passwords with 20-character random strings, audit mailbox forwarding rules, double krbtgt reset if Tier-0.</w:t>
              <w:br/>
              <w:t>Phase 5 (Recovery &amp; Comms): Enforce MFA re-enrollment, maintain 30-day debug audit trail, brief CISO and legal.</w:t>
            </w:r>
          </w:p>
        </w:tc>
      </w:tr>
    </w:tbl>
    <w:p>
      <w:pPr>
        <w:spacing w:after="80"/>
      </w:pPr>
    </w:p>
    <w:p>
      <w:pPr>
        <w:pStyle w:val="Heading2"/>
        <w:spacing w:before="280" w:after="120"/>
      </w:pPr>
      <w:r>
        <w:rPr>
          <w:b/>
          <w:color w:val="0284C7"/>
          <w:sz w:val="30"/>
        </w:rPr>
        <w:t>Playbook CDL-IRP-02: Lateral Movement via Remote Services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Target Techniques: T1021.002, T1047, T1569.002</w:t>
              <w:br/>
            </w:r>
            <w:r>
              <w:rPr>
                <w:color w:val="1E293B"/>
                <w:sz w:val="19"/>
              </w:rPr>
              <w:t>Phase 1 (Triage): Match CDL-RULE-003 (PsExec), CDL-RULE-004 (WMI), or CDL-RULE-017 (Recon-to-Lateral).</w:t>
              <w:br/>
              <w:t>Phase 2 (Blast Radius): Map infection graph identifying source pivoting workstation and all touched target member servers.</w:t>
              <w:br/>
              <w:t>Phase 3 (Containment): Dual-endpoint isolation (source + targets), implement emergency internal firewall drops on TCP 445/135/5985.</w:t>
              <w:br/>
              <w:t>Phase 4 (Eradication): Terminate PSEXESVC/cmd processes, delete remote service registrations (sc delete), capture memory dumps.</w:t>
              <w:br/>
              <w:t>Phase 5 (Recovery &amp; Comms): Re-image compromised source machines, deploy LAPS across 100% of member workstations.</w:t>
            </w:r>
          </w:p>
        </w:tc>
      </w:tr>
    </w:tbl>
    <w:p>
      <w:pPr>
        <w:spacing w:after="80"/>
      </w:pPr>
    </w:p>
    <w:p>
      <w:pPr>
        <w:pStyle w:val="Heading2"/>
        <w:spacing w:before="280" w:after="120"/>
      </w:pPr>
      <w:r>
        <w:rPr>
          <w:b/>
          <w:color w:val="0284C7"/>
          <w:sz w:val="30"/>
        </w:rPr>
        <w:t>Playbook CDL-IRP-03: Command &amp; Control (C2) Beaconing</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Target Techniques: T1071.001, T1071.004, T1572</w:t>
              <w:br/>
            </w:r>
            <w:r>
              <w:rPr>
                <w:color w:val="1E293B"/>
                <w:sz w:val="19"/>
              </w:rPr>
              <w:t>Phase 1 (Triage): Match CDL-RULE-005 (HTTP C2), CDL-RULE-011 (DNS TXT), or CDL-HUNT-01 (Jitter-bounded sessions).</w:t>
              <w:br/>
              <w:t>Phase 2 (Scoping): Query Zeek conn.log/http.log, calculate mean interval and jitter ratio, inspect Sysmon Event 3 sockets.</w:t>
              <w:br/>
              <w:t>Phase 3 (Containment): Perimeter firewall null-route on edge routers, DNS sinkhole redirection, host quarantine via EDR agent.</w:t>
              <w:br/>
              <w:t>Phase 4 (Eradication): Terminate beacon process, acquire process memory dump (procdump.exe) to extract malleable profile.</w:t>
              <w:br/>
              <w:t>Phase 5 (Recovery &amp; Comms): Synchronize extracted IOCs to SIEM lookup tables, inspect proxies for non-standard port egress.</w:t>
            </w:r>
          </w:p>
        </w:tc>
      </w:tr>
    </w:tbl>
    <w:p>
      <w:pPr>
        <w:spacing w:after="80"/>
      </w:pPr>
    </w:p>
    <w:p>
      <w:r>
        <w:br w:type="page"/>
      </w:r>
    </w:p>
    <w:p>
      <w:pPr>
        <w:pStyle w:val="Heading1"/>
        <w:spacing w:before="280" w:after="120"/>
      </w:pPr>
      <w:r>
        <w:rPr>
          <w:b/>
          <w:color w:val="0F172A"/>
          <w:sz w:val="40"/>
        </w:rPr>
        <w:t>8. False-Positive Tuning &amp; Purple Team Validation</w:t>
      </w:r>
    </w:p>
    <w:p>
      <w:pPr>
        <w:pStyle w:val="Heading2"/>
        <w:spacing w:before="280" w:after="120"/>
      </w:pPr>
      <w:r>
        <w:rPr>
          <w:b/>
          <w:color w:val="0284C7"/>
          <w:sz w:val="30"/>
        </w:rPr>
        <w:t>8.1 False-Positive Tuning Register</w:t>
      </w:r>
    </w:p>
    <w:tbl>
      <w:tblPr>
        <w:tblW w:type="auto" w:w="0"/>
        <w:tblLook w:firstColumn="1" w:firstRow="1" w:lastColumn="0" w:lastRow="0" w:noHBand="0" w:noVBand="1" w:val="04A0"/>
      </w:tblPr>
      <w:tblGrid>
        <w:gridCol w:w="2340"/>
        <w:gridCol w:w="2340"/>
        <w:gridCol w:w="2340"/>
        <w:gridCol w:w="2340"/>
      </w:tblGrid>
      <w:tr>
        <w:tc>
          <w:tcPr>
            <w:tcW w:type="dxa" w:w="2016"/>
            <w:shd w:fill="0F172A"/>
            <w:tcMar>
              <w:top w:w="120" w:type="dxa"/>
              <w:bottom w:w="120" w:type="dxa"/>
              <w:left w:w="140" w:type="dxa"/>
              <w:right w:w="140" w:type="dxa"/>
            </w:tcMar>
          </w:tcPr>
          <w:p>
            <w:pPr>
              <w:spacing w:before="40" w:after="40"/>
              <w:jc w:val="left"/>
            </w:pPr>
            <w:r>
              <w:rPr>
                <w:b/>
                <w:color w:val="FFFFFF"/>
                <w:sz w:val="18"/>
              </w:rPr>
              <w:t>Rule ID</w:t>
            </w:r>
          </w:p>
        </w:tc>
        <w:tc>
          <w:tcPr>
            <w:tcW w:type="dxa" w:w="2016"/>
            <w:shd w:fill="0F172A"/>
            <w:tcMar>
              <w:top w:w="120" w:type="dxa"/>
              <w:bottom w:w="120" w:type="dxa"/>
              <w:left w:w="140" w:type="dxa"/>
              <w:right w:w="140" w:type="dxa"/>
            </w:tcMar>
          </w:tcPr>
          <w:p>
            <w:pPr>
              <w:spacing w:before="40" w:after="40"/>
              <w:jc w:val="left"/>
            </w:pPr>
            <w:r>
              <w:rPr>
                <w:b/>
                <w:color w:val="FFFFFF"/>
                <w:sz w:val="18"/>
              </w:rPr>
              <w:t>Pre-Tuning Noise</w:t>
            </w:r>
          </w:p>
        </w:tc>
        <w:tc>
          <w:tcPr>
            <w:tcW w:type="dxa" w:w="3168"/>
            <w:shd w:fill="0F172A"/>
            <w:tcMar>
              <w:top w:w="120" w:type="dxa"/>
              <w:bottom w:w="120" w:type="dxa"/>
              <w:left w:w="140" w:type="dxa"/>
              <w:right w:w="140" w:type="dxa"/>
            </w:tcMar>
          </w:tcPr>
          <w:p>
            <w:pPr>
              <w:spacing w:before="40" w:after="40"/>
              <w:jc w:val="left"/>
            </w:pPr>
            <w:r>
              <w:rPr>
                <w:b/>
                <w:color w:val="FFFFFF"/>
                <w:sz w:val="18"/>
              </w:rPr>
              <w:t>Applied Filter Logic</w:t>
            </w:r>
          </w:p>
        </w:tc>
        <w:tc>
          <w:tcPr>
            <w:tcW w:type="dxa" w:w="2160"/>
            <w:shd w:fill="0F172A"/>
            <w:tcMar>
              <w:top w:w="120" w:type="dxa"/>
              <w:bottom w:w="120" w:type="dxa"/>
              <w:left w:w="140" w:type="dxa"/>
              <w:right w:w="140" w:type="dxa"/>
            </w:tcMar>
          </w:tcPr>
          <w:p>
            <w:pPr>
              <w:spacing w:before="40" w:after="40"/>
              <w:jc w:val="left"/>
            </w:pPr>
            <w:r>
              <w:rPr>
                <w:b/>
                <w:color w:val="FFFFFF"/>
                <w:sz w:val="18"/>
              </w:rPr>
              <w:t>Accepted Trade-Off</w:t>
            </w:r>
          </w:p>
        </w:tc>
      </w:tr>
      <w:tr>
        <w:tc>
          <w:tcPr>
            <w:tcW w:type="dxa" w:w="2016"/>
            <w:shd w:fill="FFFFFF"/>
            <w:tcMar>
              <w:top w:w="80" w:type="dxa"/>
              <w:bottom w:w="80" w:type="dxa"/>
              <w:left w:w="120" w:type="dxa"/>
              <w:right w:w="120" w:type="dxa"/>
            </w:tcMar>
          </w:tcPr>
          <w:p>
            <w:pPr>
              <w:spacing w:before="40" w:after="40"/>
            </w:pPr>
            <w:r>
              <w:rPr>
                <w:color w:val="1E293B"/>
                <w:sz w:val="17"/>
              </w:rPr>
              <w:t>CDL-RULE-001 (PowerShell)</w:t>
            </w:r>
          </w:p>
        </w:tc>
        <w:tc>
          <w:tcPr>
            <w:tcW w:type="dxa" w:w="2016"/>
            <w:shd w:fill="FFFFFF"/>
            <w:tcMar>
              <w:top w:w="80" w:type="dxa"/>
              <w:bottom w:w="80" w:type="dxa"/>
              <w:left w:w="120" w:type="dxa"/>
              <w:right w:w="120" w:type="dxa"/>
            </w:tcMar>
          </w:tcPr>
          <w:p>
            <w:pPr>
              <w:spacing w:before="40" w:after="40"/>
            </w:pPr>
            <w:r>
              <w:rPr>
                <w:color w:val="1E293B"/>
                <w:sz w:val="17"/>
              </w:rPr>
              <w:t>184 FP/day (NinjaRMM)</w:t>
            </w:r>
          </w:p>
        </w:tc>
        <w:tc>
          <w:tcPr>
            <w:tcW w:type="dxa" w:w="3168"/>
            <w:shd w:fill="FFFFFF"/>
            <w:tcMar>
              <w:top w:w="80" w:type="dxa"/>
              <w:bottom w:w="80" w:type="dxa"/>
              <w:left w:w="120" w:type="dxa"/>
              <w:right w:w="120" w:type="dxa"/>
            </w:tcMar>
          </w:tcPr>
          <w:p>
            <w:pPr>
              <w:spacing w:before="40" w:after="40"/>
            </w:pPr>
            <w:r>
              <w:rPr>
                <w:color w:val="1E293B"/>
                <w:sz w:val="17"/>
              </w:rPr>
              <w:t>Path exception filter for C:\Program Files\NinjaRMM\ and Kaseya.</w:t>
            </w:r>
          </w:p>
        </w:tc>
        <w:tc>
          <w:tcPr>
            <w:tcW w:type="dxa" w:w="2160"/>
            <w:shd w:fill="FFFFFF"/>
            <w:tcMar>
              <w:top w:w="80" w:type="dxa"/>
              <w:bottom w:w="80" w:type="dxa"/>
              <w:left w:w="120" w:type="dxa"/>
              <w:right w:w="120" w:type="dxa"/>
            </w:tcMar>
          </w:tcPr>
          <w:p>
            <w:pPr>
              <w:spacing w:before="40" w:after="40"/>
            </w:pPr>
            <w:r>
              <w:rPr>
                <w:color w:val="1E293B"/>
                <w:sz w:val="17"/>
              </w:rPr>
              <w:t>Adversary dropping scripts in RMM directory (mitigated by ACLs).</w:t>
            </w:r>
          </w:p>
        </w:tc>
      </w:tr>
      <w:tr>
        <w:tc>
          <w:tcPr>
            <w:tcW w:type="dxa" w:w="2016"/>
            <w:shd w:fill="F8FAFC"/>
            <w:tcMar>
              <w:top w:w="80" w:type="dxa"/>
              <w:bottom w:w="80" w:type="dxa"/>
              <w:left w:w="120" w:type="dxa"/>
              <w:right w:w="120" w:type="dxa"/>
            </w:tcMar>
          </w:tcPr>
          <w:p>
            <w:pPr>
              <w:spacing w:before="40" w:after="40"/>
            </w:pPr>
            <w:r>
              <w:rPr>
                <w:color w:val="1E293B"/>
                <w:sz w:val="17"/>
              </w:rPr>
              <w:t>CDL-RULE-002 (LSASS Dump)</w:t>
            </w:r>
          </w:p>
        </w:tc>
        <w:tc>
          <w:tcPr>
            <w:tcW w:type="dxa" w:w="2016"/>
            <w:shd w:fill="F8FAFC"/>
            <w:tcMar>
              <w:top w:w="80" w:type="dxa"/>
              <w:bottom w:w="80" w:type="dxa"/>
              <w:left w:w="120" w:type="dxa"/>
              <w:right w:w="120" w:type="dxa"/>
            </w:tcMar>
          </w:tcPr>
          <w:p>
            <w:pPr>
              <w:spacing w:before="40" w:after="40"/>
            </w:pPr>
            <w:r>
              <w:rPr>
                <w:color w:val="1E293B"/>
                <w:sz w:val="17"/>
              </w:rPr>
              <w:t>512 FP/day (MsSense)</w:t>
            </w:r>
          </w:p>
        </w:tc>
        <w:tc>
          <w:tcPr>
            <w:tcW w:type="dxa" w:w="3168"/>
            <w:shd w:fill="F8FAFC"/>
            <w:tcMar>
              <w:top w:w="80" w:type="dxa"/>
              <w:bottom w:w="80" w:type="dxa"/>
              <w:left w:w="120" w:type="dxa"/>
              <w:right w:w="120" w:type="dxa"/>
            </w:tcMar>
          </w:tcPr>
          <w:p>
            <w:pPr>
              <w:spacing w:before="40" w:after="40"/>
            </w:pPr>
            <w:r>
              <w:rPr>
                <w:color w:val="1E293B"/>
                <w:sz w:val="17"/>
              </w:rPr>
              <w:t>Process image exclusion for MsSense.exe, svchost.exe, csrss.exe.</w:t>
            </w:r>
          </w:p>
        </w:tc>
        <w:tc>
          <w:tcPr>
            <w:tcW w:type="dxa" w:w="2160"/>
            <w:shd w:fill="F8FAFC"/>
            <w:tcMar>
              <w:top w:w="80" w:type="dxa"/>
              <w:bottom w:w="80" w:type="dxa"/>
              <w:left w:w="120" w:type="dxa"/>
              <w:right w:w="120" w:type="dxa"/>
            </w:tcMar>
          </w:tcPr>
          <w:p>
            <w:pPr>
              <w:spacing w:before="40" w:after="40"/>
            </w:pPr>
            <w:r>
              <w:rPr>
                <w:color w:val="1E293B"/>
                <w:sz w:val="17"/>
              </w:rPr>
              <w:t>Adversary process hollowing into svchost (mitigated by Event 8).</w:t>
            </w:r>
          </w:p>
        </w:tc>
      </w:tr>
      <w:tr>
        <w:tc>
          <w:tcPr>
            <w:tcW w:type="dxa" w:w="2016"/>
            <w:shd w:fill="FFFFFF"/>
            <w:tcMar>
              <w:top w:w="80" w:type="dxa"/>
              <w:bottom w:w="80" w:type="dxa"/>
              <w:left w:w="120" w:type="dxa"/>
              <w:right w:w="120" w:type="dxa"/>
            </w:tcMar>
          </w:tcPr>
          <w:p>
            <w:pPr>
              <w:spacing w:before="40" w:after="40"/>
            </w:pPr>
            <w:r>
              <w:rPr>
                <w:color w:val="1E293B"/>
                <w:sz w:val="17"/>
              </w:rPr>
              <w:t>CDL-RULE-009 (Schtasks)</w:t>
            </w:r>
          </w:p>
        </w:tc>
        <w:tc>
          <w:tcPr>
            <w:tcW w:type="dxa" w:w="2016"/>
            <w:shd w:fill="FFFFFF"/>
            <w:tcMar>
              <w:top w:w="80" w:type="dxa"/>
              <w:bottom w:w="80" w:type="dxa"/>
              <w:left w:w="120" w:type="dxa"/>
              <w:right w:w="120" w:type="dxa"/>
            </w:tcMar>
          </w:tcPr>
          <w:p>
            <w:pPr>
              <w:spacing w:before="40" w:after="40"/>
            </w:pPr>
            <w:r>
              <w:rPr>
                <w:color w:val="1E293B"/>
                <w:sz w:val="17"/>
              </w:rPr>
              <w:t>78 FP/day (GoogleUpdate)</w:t>
            </w:r>
          </w:p>
        </w:tc>
        <w:tc>
          <w:tcPr>
            <w:tcW w:type="dxa" w:w="3168"/>
            <w:shd w:fill="FFFFFF"/>
            <w:tcMar>
              <w:top w:w="80" w:type="dxa"/>
              <w:bottom w:w="80" w:type="dxa"/>
              <w:left w:w="120" w:type="dxa"/>
              <w:right w:w="120" w:type="dxa"/>
            </w:tcMar>
          </w:tcPr>
          <w:p>
            <w:pPr>
              <w:spacing w:before="40" w:after="40"/>
            </w:pPr>
            <w:r>
              <w:rPr>
                <w:color w:val="1E293B"/>
                <w:sz w:val="17"/>
              </w:rPr>
              <w:t>Restricted triggers to /ru SYSTEM and script interpreters.</w:t>
            </w:r>
          </w:p>
        </w:tc>
        <w:tc>
          <w:tcPr>
            <w:tcW w:type="dxa" w:w="2160"/>
            <w:shd w:fill="FFFFFF"/>
            <w:tcMar>
              <w:top w:w="80" w:type="dxa"/>
              <w:bottom w:w="80" w:type="dxa"/>
              <w:left w:w="120" w:type="dxa"/>
              <w:right w:w="120" w:type="dxa"/>
            </w:tcMar>
          </w:tcPr>
          <w:p>
            <w:pPr>
              <w:spacing w:before="40" w:after="40"/>
            </w:pPr>
            <w:r>
              <w:rPr>
                <w:color w:val="1E293B"/>
                <w:sz w:val="17"/>
              </w:rPr>
              <w:t>Adversary tasks running unprivileged binaries without scripts.</w:t>
            </w:r>
          </w:p>
        </w:tc>
      </w:tr>
    </w:tbl>
    <w:p>
      <w:pPr>
        <w:spacing w:after="240"/>
      </w:pPr>
    </w:p>
    <w:p>
      <w:pPr>
        <w:pStyle w:val="Heading2"/>
        <w:spacing w:before="280" w:after="120"/>
      </w:pPr>
      <w:r>
        <w:rPr>
          <w:b/>
          <w:color w:val="0284C7"/>
          <w:sz w:val="30"/>
        </w:rPr>
        <w:t>8.2 Purple Team Master Execution Plan</w:t>
      </w:r>
    </w:p>
    <w:p>
      <w:r>
        <w:t>The purple team exercise plan pairs all 18 detection rules with Atomic Red Team emulation commands, expected telemetry streams, and objective scoring criteria. Each procedure includes automated cleanup scripts to restore workstations to baseline.</w:t>
      </w:r>
    </w:p>
    <w:p>
      <w:pPr>
        <w:pStyle w:val="Heading1"/>
        <w:spacing w:before="280" w:after="120"/>
      </w:pPr>
      <w:r>
        <w:rPr>
          <w:b/>
          <w:color w:val="0F172A"/>
          <w:sz w:val="40"/>
        </w:rPr>
        <w:t>9. Final Compliance Audit &amp; Deliverables Certification</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36" w:space="0" w:color="0284C7"/>
              <w:top w:val="none"/>
              <w:right w:val="none"/>
              <w:bottom w:val="none"/>
            </w:tcBorders>
          </w:tcPr>
          <w:p>
            <w:pPr>
              <w:spacing w:before="40" w:after="80"/>
            </w:pPr>
            <w:r>
              <w:rPr>
                <w:b/>
                <w:color w:val="0284C7"/>
                <w:sz w:val="21"/>
              </w:rPr>
              <w:t>■ Audit Status: COMPLIANT AND VERIFIED (audit_report.json)</w:t>
              <w:br/>
            </w:r>
            <w:r>
              <w:rPr>
                <w:color w:val="1E293B"/>
                <w:sz w:val="19"/>
              </w:rPr>
              <w:t>Audit Engine: verify_all.py</w:t>
              <w:br/>
              <w:t>Total Mandated &amp; Advanced Deliverables: 34 / 34 Present on Disk</w:t>
              <w:br/>
              <w:t>Sigma Rule Schema &amp; Syntax Validation: 100% Pass (All 18 rules adhere to Sigma v2.0)</w:t>
              <w:br/>
              <w:t>Attack Telemetry Evaluation (True Positives): 18 / 18 Rules Matched (100% Hit Rate)</w:t>
              <w:br/>
              <w:t>Benign Enterprise Baseline Evaluation: 0 False Positives Triggered (100% Resilience)</w:t>
              <w:br/>
              <w:t>Automated Unit Test Suite: 8 / 8 Tests Passed in 0.055s</w:t>
              <w:br/>
              <w:t>Git Repository State: Clean working tree on branch master tagged v1.0.0-final</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