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E31C5F"/>
        </w:rPr>
        <w:t>Airbnb Price Prediction Across 10 European Cities</w:t>
      </w:r>
    </w:p>
    <w:p>
      <w:r>
        <w:rPr>
          <w:b/>
        </w:rPr>
        <w:t>Project report:</w:t>
      </w:r>
      <w:r>
        <w:t xml:space="preserve"> data cleaning, exploratory analysis, machine-learning modelling and deployment as a web app (PriceScope).</w:t>
      </w:r>
    </w:p>
    <w:p>
      <w:pPr>
        <w:pStyle w:val="Heading1"/>
      </w:pPr>
      <w:r>
        <w:t>1. Executive summary</w:t>
      </w:r>
    </w:p>
    <w:p>
      <w:pPr>
        <w:pStyle w:val="ListBullet"/>
      </w:pPr>
      <w:r>
        <w:rPr>
          <w:b/>
        </w:rPr>
        <w:t>Goal:</w:t>
      </w:r>
      <w:r>
        <w:t xml:space="preserve"> predict an Airbnb listing's price from its location (city, coordinates, distance to the centre and metro, nearby attractions and restaurants), its characteristics (room type, capacity, bedrooms), host quality, guest reviews and city-level economic indicators.</w:t>
      </w:r>
    </w:p>
    <w:p>
      <w:pPr>
        <w:pStyle w:val="ListBullet"/>
      </w:pPr>
      <w:r>
        <w:rPr>
          <w:b/>
        </w:rPr>
        <w:t>Data:</w:t>
      </w:r>
      <w:r>
        <w:t xml:space="preserve"> 51,707 listings from Amsterdam, Athens, Barcelona, Berlin, Budapest, Lisbon, London, Paris, Rome and Vienna. After cleaning, </w:t>
      </w:r>
      <w:r>
        <w:rPr>
          <w:b/>
        </w:rPr>
        <w:t>51,611 rows</w:t>
      </w:r>
      <w:r>
        <w:t xml:space="preserve"> with 29 columns remain.</w:t>
      </w:r>
    </w:p>
    <w:p>
      <w:pPr>
        <w:pStyle w:val="ListBullet"/>
      </w:pPr>
      <w:r>
        <w:rPr>
          <w:b/>
        </w:rPr>
        <w:t>Best model:</w:t>
      </w:r>
      <w:r>
        <w:t xml:space="preserve"> a weighted ensemble of </w:t>
      </w:r>
      <w:r>
        <w:rPr>
          <w:b/>
        </w:rPr>
        <w:t>CatBoost (42%) + XGBoost (41%) + LightGBM (17%)</w:t>
      </w:r>
      <w:r>
        <w:t xml:space="preserve"> trained on log price.</w:t>
      </w:r>
    </w:p>
    <w:p>
      <w:pPr>
        <w:pStyle w:val="ListBullet"/>
      </w:pPr>
      <w:r>
        <w:rPr>
          <w:b/>
        </w:rPr>
        <w:t>Accuracy on unseen listings:</w:t>
      </w:r>
      <w:r>
        <w:t xml:space="preserve"> </w:t>
      </w:r>
      <w:r>
        <w:rPr>
          <w:b/>
        </w:rPr>
        <w:t>R² = 0.857</w:t>
      </w:r>
      <w:r>
        <w:t xml:space="preserve"> on log price, </w:t>
      </w:r>
      <w:r>
        <w:rPr>
          <w:b/>
        </w:rPr>
        <w:t>median error 17.1%</w:t>
      </w:r>
      <w:r>
        <w:t xml:space="preserve">, and </w:t>
      </w:r>
      <w:r>
        <w:rPr>
          <w:b/>
        </w:rPr>
        <w:t>74.4% of predictions within ±30%</w:t>
      </w:r>
      <w:r>
        <w:t xml:space="preserve"> of the real price. MAE is €87 on a median price of €261.</w:t>
      </w:r>
    </w:p>
    <w:p>
      <w:pPr>
        <w:pStyle w:val="ListBullet"/>
      </w:pPr>
      <w:r>
        <w:rPr>
          <w:b/>
        </w:rPr>
        <w:t>Main price drivers:</w:t>
      </w:r>
      <w:r>
        <w:t xml:space="preserve"> how central the location is (the proximity, attraction and restaurant indices plus distance to the centre and metro), then city, room type and capacity. Host status and review scores matter much less.</w:t>
      </w:r>
    </w:p>
    <w:p>
      <w:pPr>
        <w:pStyle w:val="ListBullet"/>
      </w:pPr>
      <w:r>
        <w:rPr>
          <w:b/>
        </w:rPr>
        <w:t>Deliverable:</w:t>
      </w:r>
      <w:r>
        <w:t xml:space="preserve"> a Flask web app with a market dashboard, an interactive map explorer (points and heatmaps), a click-on-the-map price predictor with SHAP explanations and comparable listings, a model-performance page, and this report.</w:t>
      </w:r>
    </w:p>
    <w:p>
      <w:pPr>
        <w:ind w:left="432"/>
      </w:pPr>
      <w:r>
        <w:rPr>
          <w:b/>
        </w:rPr>
        <w:t>Note on the target:</w:t>
      </w:r>
      <w:r>
        <w:t xml:space="preserve"> </w:t>
      </w:r>
      <w:r>
        <w:rPr>
          <w:rFonts w:ascii="Consolas" w:hAnsi="Consolas"/>
          <w:sz w:val="19"/>
        </w:rPr>
        <w:t>price_total</w:t>
      </w:r>
      <w:r>
        <w:t xml:space="preserve"> comes from the public European Airbnb dataset (Gyódi &amp; Nawaro, 2021), where it is the total price in EUR for a </w:t>
      </w:r>
      <w:r>
        <w:rPr>
          <w:b/>
        </w:rPr>
        <w:t>2-night stay for 2 people</w:t>
      </w:r>
      <w:r>
        <w:t>. The app therefore also shows an approximate per-night price (total ÷ 2).</w:t>
      </w:r>
    </w:p>
    <w:p>
      <w:pPr>
        <w:pStyle w:val="Heading1"/>
      </w:pPr>
      <w:r>
        <w:t>2. Dataset</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r>
            <w:r>
              <w:rPr>
                <w:b/>
                <w:sz w:val="18"/>
              </w:rPr>
              <w:t>Group</w:t>
            </w:r>
          </w:p>
        </w:tc>
        <w:tc>
          <w:tcPr>
            <w:tcW w:type="dxa" w:w="4320"/>
          </w:tcPr>
          <w:p>
            <w:r>
              <w:rPr>
                <w:b/>
                <w:sz w:val="18"/>
              </w:rPr>
            </w:r>
            <w:r>
              <w:rPr>
                <w:b/>
                <w:sz w:val="18"/>
              </w:rPr>
              <w:t>Columns</w:t>
            </w:r>
          </w:p>
        </w:tc>
      </w:tr>
      <w:tr>
        <w:tc>
          <w:tcPr>
            <w:tcW w:type="dxa" w:w="4320"/>
          </w:tcPr>
          <w:p>
            <w:r>
              <w:rPr>
                <w:b w:val="0"/>
                <w:sz w:val="18"/>
              </w:rPr>
            </w:r>
            <w:r>
              <w:rPr>
                <w:b w:val="0"/>
                <w:sz w:val="18"/>
              </w:rPr>
              <w:t>Target</w:t>
            </w:r>
          </w:p>
        </w:tc>
        <w:tc>
          <w:tcPr>
            <w:tcW w:type="dxa" w:w="4320"/>
          </w:tcPr>
          <w:p>
            <w:r>
              <w:rPr>
                <w:b w:val="0"/>
                <w:sz w:val="18"/>
              </w:rPr>
            </w:r>
            <w:r>
              <w:rPr>
                <w:rFonts w:ascii="Consolas" w:hAnsi="Consolas"/>
                <w:b w:val="0"/>
                <w:sz w:val="18"/>
              </w:rPr>
              <w:t>price_total</w:t>
            </w:r>
          </w:p>
        </w:tc>
      </w:tr>
      <w:tr>
        <w:tc>
          <w:tcPr>
            <w:tcW w:type="dxa" w:w="4320"/>
          </w:tcPr>
          <w:p>
            <w:r>
              <w:rPr>
                <w:b w:val="0"/>
                <w:sz w:val="18"/>
              </w:rPr>
            </w:r>
            <w:r>
              <w:rPr>
                <w:b w:val="0"/>
                <w:sz w:val="18"/>
              </w:rPr>
              <w:t>Listing</w:t>
            </w:r>
          </w:p>
        </w:tc>
        <w:tc>
          <w:tcPr>
            <w:tcW w:type="dxa" w:w="4320"/>
          </w:tcPr>
          <w:p>
            <w:r>
              <w:rPr>
                <w:b w:val="0"/>
                <w:sz w:val="18"/>
              </w:rPr>
            </w:r>
            <w:r>
              <w:rPr>
                <w:rFonts w:ascii="Consolas" w:hAnsi="Consolas"/>
                <w:b w:val="0"/>
                <w:sz w:val="18"/>
              </w:rPr>
              <w:t>room_type</w:t>
            </w:r>
            <w:r>
              <w:rPr>
                <w:b w:val="0"/>
                <w:sz w:val="18"/>
              </w:rPr>
              <w:t xml:space="preserve">, </w:t>
            </w:r>
            <w:r>
              <w:rPr>
                <w:rFonts w:ascii="Consolas" w:hAnsi="Consolas"/>
                <w:b w:val="0"/>
                <w:sz w:val="18"/>
              </w:rPr>
              <w:t>is_shared_room</w:t>
            </w:r>
            <w:r>
              <w:rPr>
                <w:b w:val="0"/>
                <w:sz w:val="18"/>
              </w:rPr>
              <w:t xml:space="preserve">, </w:t>
            </w:r>
            <w:r>
              <w:rPr>
                <w:rFonts w:ascii="Consolas" w:hAnsi="Consolas"/>
                <w:b w:val="0"/>
                <w:sz w:val="18"/>
              </w:rPr>
              <w:t>is_private_room</w:t>
            </w:r>
            <w:r>
              <w:rPr>
                <w:b w:val="0"/>
                <w:sz w:val="18"/>
              </w:rPr>
              <w:t xml:space="preserve">, </w:t>
            </w:r>
            <w:r>
              <w:rPr>
                <w:rFonts w:ascii="Consolas" w:hAnsi="Consolas"/>
                <w:b w:val="0"/>
                <w:sz w:val="18"/>
              </w:rPr>
              <w:t>max_guests</w:t>
            </w:r>
            <w:r>
              <w:rPr>
                <w:b w:val="0"/>
                <w:sz w:val="18"/>
              </w:rPr>
              <w:t xml:space="preserve">, </w:t>
            </w:r>
            <w:r>
              <w:rPr>
                <w:rFonts w:ascii="Consolas" w:hAnsi="Consolas"/>
                <w:b w:val="0"/>
                <w:sz w:val="18"/>
              </w:rPr>
              <w:t>num_bedrooms</w:t>
            </w:r>
          </w:p>
        </w:tc>
      </w:tr>
      <w:tr>
        <w:tc>
          <w:tcPr>
            <w:tcW w:type="dxa" w:w="4320"/>
          </w:tcPr>
          <w:p>
            <w:r>
              <w:rPr>
                <w:b w:val="0"/>
                <w:sz w:val="18"/>
              </w:rPr>
            </w:r>
            <w:r>
              <w:rPr>
                <w:b w:val="0"/>
                <w:sz w:val="18"/>
              </w:rPr>
              <w:t>Host and reviews</w:t>
            </w:r>
          </w:p>
        </w:tc>
        <w:tc>
          <w:tcPr>
            <w:tcW w:type="dxa" w:w="4320"/>
          </w:tcPr>
          <w:p>
            <w:r>
              <w:rPr>
                <w:b w:val="0"/>
                <w:sz w:val="18"/>
              </w:rPr>
            </w:r>
            <w:r>
              <w:rPr>
                <w:rFonts w:ascii="Consolas" w:hAnsi="Consolas"/>
                <w:b w:val="0"/>
                <w:sz w:val="18"/>
              </w:rPr>
              <w:t>is_superhost</w:t>
            </w:r>
            <w:r>
              <w:rPr>
                <w:b w:val="0"/>
                <w:sz w:val="18"/>
              </w:rPr>
              <w:t xml:space="preserve">, </w:t>
            </w:r>
            <w:r>
              <w:rPr>
                <w:rFonts w:ascii="Consolas" w:hAnsi="Consolas"/>
                <w:b w:val="0"/>
                <w:sz w:val="18"/>
              </w:rPr>
              <w:t>is_multi_listing</w:t>
            </w:r>
            <w:r>
              <w:rPr>
                <w:b w:val="0"/>
                <w:sz w:val="18"/>
              </w:rPr>
              <w:t xml:space="preserve">, </w:t>
            </w:r>
            <w:r>
              <w:rPr>
                <w:rFonts w:ascii="Consolas" w:hAnsi="Consolas"/>
                <w:b w:val="0"/>
                <w:sz w:val="18"/>
              </w:rPr>
              <w:t>is_business_listing</w:t>
            </w:r>
            <w:r>
              <w:rPr>
                <w:b w:val="0"/>
                <w:sz w:val="18"/>
              </w:rPr>
              <w:t xml:space="preserve">, </w:t>
            </w:r>
            <w:r>
              <w:rPr>
                <w:rFonts w:ascii="Consolas" w:hAnsi="Consolas"/>
                <w:b w:val="0"/>
                <w:sz w:val="18"/>
              </w:rPr>
              <w:t>cleanliness_score</w:t>
            </w:r>
            <w:r>
              <w:rPr>
                <w:b w:val="0"/>
                <w:sz w:val="18"/>
              </w:rPr>
              <w:t xml:space="preserve">, </w:t>
            </w:r>
            <w:r>
              <w:rPr>
                <w:rFonts w:ascii="Consolas" w:hAnsi="Consolas"/>
                <w:b w:val="0"/>
                <w:sz w:val="18"/>
              </w:rPr>
              <w:t>guest_satisfaction_score</w:t>
            </w:r>
          </w:p>
        </w:tc>
      </w:tr>
      <w:tr>
        <w:tc>
          <w:tcPr>
            <w:tcW w:type="dxa" w:w="4320"/>
          </w:tcPr>
          <w:p>
            <w:r>
              <w:rPr>
                <w:b w:val="0"/>
                <w:sz w:val="18"/>
              </w:rPr>
            </w:r>
            <w:r>
              <w:rPr>
                <w:b w:val="0"/>
                <w:sz w:val="18"/>
              </w:rPr>
              <w:t>Location</w:t>
            </w:r>
          </w:p>
        </w:tc>
        <w:tc>
          <w:tcPr>
            <w:tcW w:type="dxa" w:w="4320"/>
          </w:tcPr>
          <w:p>
            <w:r>
              <w:rPr>
                <w:b w:val="0"/>
                <w:sz w:val="18"/>
              </w:rPr>
            </w:r>
            <w:r>
              <w:rPr>
                <w:rFonts w:ascii="Consolas" w:hAnsi="Consolas"/>
                <w:b w:val="0"/>
                <w:sz w:val="18"/>
              </w:rPr>
              <w:t>latitude</w:t>
            </w:r>
            <w:r>
              <w:rPr>
                <w:b w:val="0"/>
                <w:sz w:val="18"/>
              </w:rPr>
              <w:t xml:space="preserve">, </w:t>
            </w:r>
            <w:r>
              <w:rPr>
                <w:rFonts w:ascii="Consolas" w:hAnsi="Consolas"/>
                <w:b w:val="0"/>
                <w:sz w:val="18"/>
              </w:rPr>
              <w:t>longitude</w:t>
            </w:r>
            <w:r>
              <w:rPr>
                <w:b w:val="0"/>
                <w:sz w:val="18"/>
              </w:rPr>
              <w:t xml:space="preserve">, </w:t>
            </w:r>
            <w:r>
              <w:rPr>
                <w:rFonts w:ascii="Consolas" w:hAnsi="Consolas"/>
                <w:b w:val="0"/>
                <w:sz w:val="18"/>
              </w:rPr>
              <w:t>distance_city_center</w:t>
            </w:r>
            <w:r>
              <w:rPr>
                <w:b w:val="0"/>
                <w:sz w:val="18"/>
              </w:rPr>
              <w:t xml:space="preserve">, </w:t>
            </w:r>
            <w:r>
              <w:rPr>
                <w:rFonts w:ascii="Consolas" w:hAnsi="Consolas"/>
                <w:b w:val="0"/>
                <w:sz w:val="18"/>
              </w:rPr>
              <w:t>distance_metro</w:t>
            </w:r>
            <w:r>
              <w:rPr>
                <w:b w:val="0"/>
                <w:sz w:val="18"/>
              </w:rPr>
              <w:t xml:space="preserve">, </w:t>
            </w:r>
            <w:r>
              <w:rPr>
                <w:rFonts w:ascii="Consolas" w:hAnsi="Consolas"/>
                <w:b w:val="0"/>
                <w:sz w:val="18"/>
              </w:rPr>
              <w:t>attraction_index_norm</w:t>
            </w:r>
            <w:r>
              <w:rPr>
                <w:b w:val="0"/>
                <w:sz w:val="18"/>
              </w:rPr>
              <w:t xml:space="preserve">, </w:t>
            </w:r>
            <w:r>
              <w:rPr>
                <w:rFonts w:ascii="Consolas" w:hAnsi="Consolas"/>
                <w:b w:val="0"/>
                <w:sz w:val="18"/>
              </w:rPr>
              <w:t>restaurant_index_norm</w:t>
            </w:r>
            <w:r>
              <w:rPr>
                <w:b w:val="0"/>
                <w:sz w:val="18"/>
              </w:rPr>
              <w:t xml:space="preserve">, </w:t>
            </w:r>
            <w:r>
              <w:rPr>
                <w:rFonts w:ascii="Consolas" w:hAnsi="Consolas"/>
                <w:b w:val="0"/>
                <w:sz w:val="18"/>
              </w:rPr>
              <w:t>proximity_index</w:t>
            </w:r>
          </w:p>
        </w:tc>
      </w:tr>
      <w:tr>
        <w:tc>
          <w:tcPr>
            <w:tcW w:type="dxa" w:w="4320"/>
          </w:tcPr>
          <w:p>
            <w:r>
              <w:rPr>
                <w:b w:val="0"/>
                <w:sz w:val="18"/>
              </w:rPr>
            </w:r>
            <w:r>
              <w:rPr>
                <w:b w:val="0"/>
                <w:sz w:val="18"/>
              </w:rPr>
              <w:t>Administrative</w:t>
            </w:r>
          </w:p>
        </w:tc>
        <w:tc>
          <w:tcPr>
            <w:tcW w:type="dxa" w:w="4320"/>
          </w:tcPr>
          <w:p>
            <w:r>
              <w:rPr>
                <w:b w:val="0"/>
                <w:sz w:val="18"/>
              </w:rPr>
            </w:r>
            <w:r>
              <w:rPr>
                <w:rFonts w:ascii="Consolas" w:hAnsi="Consolas"/>
                <w:b w:val="0"/>
                <w:sz w:val="18"/>
              </w:rPr>
              <w:t>city</w:t>
            </w:r>
            <w:r>
              <w:rPr>
                <w:b w:val="0"/>
                <w:sz w:val="18"/>
              </w:rPr>
              <w:t xml:space="preserve">, </w:t>
            </w:r>
            <w:r>
              <w:rPr>
                <w:rFonts w:ascii="Consolas" w:hAnsi="Consolas"/>
                <w:b w:val="0"/>
                <w:sz w:val="18"/>
              </w:rPr>
              <w:t>district</w:t>
            </w:r>
            <w:r>
              <w:rPr>
                <w:b w:val="0"/>
                <w:sz w:val="18"/>
              </w:rPr>
              <w:t xml:space="preserve">, </w:t>
            </w:r>
            <w:r>
              <w:rPr>
                <w:rFonts w:ascii="Consolas" w:hAnsi="Consolas"/>
                <w:b w:val="0"/>
                <w:sz w:val="18"/>
              </w:rPr>
              <w:t>state</w:t>
            </w:r>
            <w:r>
              <w:rPr>
                <w:b w:val="0"/>
                <w:sz w:val="18"/>
              </w:rPr>
              <w:t xml:space="preserve">, </w:t>
            </w:r>
            <w:r>
              <w:rPr>
                <w:rFonts w:ascii="Consolas" w:hAnsi="Consolas"/>
                <w:b w:val="0"/>
                <w:sz w:val="18"/>
              </w:rPr>
              <w:t>country_name</w:t>
            </w:r>
          </w:p>
        </w:tc>
      </w:tr>
      <w:tr>
        <w:tc>
          <w:tcPr>
            <w:tcW w:type="dxa" w:w="4320"/>
          </w:tcPr>
          <w:p>
            <w:r>
              <w:rPr>
                <w:b w:val="0"/>
                <w:sz w:val="18"/>
              </w:rPr>
            </w:r>
            <w:r>
              <w:rPr>
                <w:b w:val="0"/>
                <w:sz w:val="18"/>
              </w:rPr>
              <w:t>City economics</w:t>
            </w:r>
          </w:p>
        </w:tc>
        <w:tc>
          <w:tcPr>
            <w:tcW w:type="dxa" w:w="4320"/>
          </w:tcPr>
          <w:p>
            <w:r>
              <w:rPr>
                <w:b w:val="0"/>
                <w:sz w:val="18"/>
              </w:rPr>
            </w:r>
            <w:r>
              <w:rPr>
                <w:rFonts w:ascii="Consolas" w:hAnsi="Consolas"/>
                <w:b w:val="0"/>
                <w:sz w:val="18"/>
              </w:rPr>
              <w:t>Crime_Index</w:t>
            </w:r>
            <w:r>
              <w:rPr>
                <w:b w:val="0"/>
                <w:sz w:val="18"/>
              </w:rPr>
              <w:t xml:space="preserve">, </w:t>
            </w:r>
            <w:r>
              <w:rPr>
                <w:rFonts w:ascii="Consolas" w:hAnsi="Consolas"/>
                <w:b w:val="0"/>
                <w:sz w:val="18"/>
              </w:rPr>
              <w:t>Safety_Index</w:t>
            </w:r>
            <w:r>
              <w:rPr>
                <w:b w:val="0"/>
                <w:sz w:val="18"/>
              </w:rPr>
              <w:t xml:space="preserve">, </w:t>
            </w:r>
            <w:r>
              <w:rPr>
                <w:rFonts w:ascii="Consolas" w:hAnsi="Consolas"/>
                <w:b w:val="0"/>
                <w:sz w:val="18"/>
              </w:rPr>
              <w:t>Monthly_Average_Net_salary</w:t>
            </w:r>
            <w:r>
              <w:rPr>
                <w:b w:val="0"/>
                <w:sz w:val="18"/>
              </w:rPr>
              <w:t xml:space="preserve">, </w:t>
            </w:r>
            <w:r>
              <w:rPr>
                <w:rFonts w:ascii="Consolas" w:hAnsi="Consolas"/>
                <w:b w:val="0"/>
                <w:sz w:val="18"/>
              </w:rPr>
              <w:t>Taxi_price_per_Km</w:t>
            </w:r>
            <w:r>
              <w:rPr>
                <w:b w:val="0"/>
                <w:sz w:val="18"/>
              </w:rPr>
              <w:t xml:space="preserve">, </w:t>
            </w:r>
            <w:r>
              <w:rPr>
                <w:rFonts w:ascii="Consolas" w:hAnsi="Consolas"/>
                <w:b w:val="0"/>
                <w:sz w:val="18"/>
              </w:rPr>
              <w:t>Monthly_Basic_Utilities</w:t>
            </w:r>
          </w:p>
        </w:tc>
      </w:tr>
      <w:tr>
        <w:tc>
          <w:tcPr>
            <w:tcW w:type="dxa" w:w="4320"/>
          </w:tcPr>
          <w:p>
            <w:r>
              <w:rPr>
                <w:b w:val="0"/>
                <w:sz w:val="18"/>
              </w:rPr>
            </w:r>
            <w:r>
              <w:rPr>
                <w:b w:val="0"/>
                <w:sz w:val="18"/>
              </w:rPr>
              <w:t>Time</w:t>
            </w:r>
          </w:p>
        </w:tc>
        <w:tc>
          <w:tcPr>
            <w:tcW w:type="dxa" w:w="4320"/>
          </w:tcPr>
          <w:p>
            <w:r>
              <w:rPr>
                <w:b w:val="0"/>
                <w:sz w:val="18"/>
              </w:rPr>
            </w:r>
            <w:r>
              <w:rPr>
                <w:rFonts w:ascii="Consolas" w:hAnsi="Consolas"/>
                <w:b w:val="0"/>
                <w:sz w:val="18"/>
              </w:rPr>
              <w:t>day_type</w:t>
            </w:r>
            <w:r>
              <w:rPr>
                <w:b w:val="0"/>
                <w:sz w:val="18"/>
              </w:rPr>
              <w:t xml:space="preserve"> (weekday / weekend)</w:t>
            </w:r>
          </w:p>
        </w:tc>
      </w:tr>
    </w:tbl>
    <w:p/>
    <w:p>
      <w:pPr>
        <w:pStyle w:val="Heading1"/>
      </w:pPr>
      <w:r>
        <w:t>3. Data cleaning</w:t>
      </w:r>
    </w:p>
    <w:p>
      <w:r>
        <w:t>The file was already mostly clean (no missing values), but validation still turned up some problems: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r>
            <w:r>
              <w:rPr>
                <w:b/>
                <w:sz w:val="18"/>
              </w:rPr>
              <w:t>Step</w:t>
            </w:r>
          </w:p>
        </w:tc>
        <w:tc>
          <w:tcPr>
            <w:tcW w:type="dxa" w:w="2880"/>
          </w:tcPr>
          <w:p>
            <w:r>
              <w:rPr>
                <w:b/>
                <w:sz w:val="18"/>
              </w:rPr>
            </w:r>
            <w:r>
              <w:rPr>
                <w:b/>
                <w:sz w:val="18"/>
              </w:rPr>
              <w:t>Rows removed</w:t>
            </w:r>
          </w:p>
        </w:tc>
        <w:tc>
          <w:tcPr>
            <w:tcW w:type="dxa" w:w="2880"/>
          </w:tcPr>
          <w:p>
            <w:r>
              <w:rPr>
                <w:b/>
                <w:sz w:val="18"/>
              </w:rPr>
            </w:r>
            <w:r>
              <w:rPr>
                <w:b/>
                <w:sz w:val="18"/>
              </w:rPr>
              <w:t>Detail</w:t>
            </w:r>
          </w:p>
        </w:tc>
      </w:tr>
      <w:tr>
        <w:tc>
          <w:tcPr>
            <w:tcW w:type="dxa" w:w="2880"/>
          </w:tcPr>
          <w:p>
            <w:r>
              <w:rPr>
                <w:b w:val="0"/>
                <w:sz w:val="18"/>
              </w:rPr>
            </w:r>
            <w:r>
              <w:rPr>
                <w:b w:val="0"/>
                <w:sz w:val="18"/>
              </w:rPr>
              <w:t>Drop exported index column</w:t>
            </w:r>
          </w:p>
        </w:tc>
        <w:tc>
          <w:tcPr>
            <w:tcW w:type="dxa" w:w="2880"/>
          </w:tcPr>
          <w:p>
            <w:r>
              <w:rPr>
                <w:b w:val="0"/>
                <w:sz w:val="18"/>
              </w:rPr>
            </w:r>
            <w:r>
              <w:rPr>
                <w:b w:val="0"/>
                <w:sz w:val="18"/>
              </w:rPr>
              <w:t>0</w:t>
            </w:r>
          </w:p>
        </w:tc>
        <w:tc>
          <w:tcPr>
            <w:tcW w:type="dxa" w:w="2880"/>
          </w:tcPr>
          <w:p>
            <w:r>
              <w:rPr>
                <w:b w:val="0"/>
                <w:sz w:val="18"/>
              </w:rPr>
            </w:r>
            <w:r>
              <w:rPr>
                <w:rFonts w:ascii="Consolas" w:hAnsi="Consolas"/>
                <w:b w:val="0"/>
                <w:sz w:val="18"/>
              </w:rPr>
              <w:t>Unnamed: 0</w:t>
            </w:r>
            <w:r>
              <w:rPr>
                <w:b w:val="0"/>
                <w:sz w:val="18"/>
              </w:rPr>
              <w:t xml:space="preserve"> was a pandas index</w:t>
            </w:r>
          </w:p>
        </w:tc>
      </w:tr>
      <w:tr>
        <w:tc>
          <w:tcPr>
            <w:tcW w:type="dxa" w:w="2880"/>
          </w:tcPr>
          <w:p>
            <w:r>
              <w:rPr>
                <w:b w:val="0"/>
                <w:sz w:val="18"/>
              </w:rPr>
            </w:r>
            <w:r>
              <w:rPr>
                <w:b w:val="0"/>
                <w:sz w:val="18"/>
              </w:rPr>
              <w:t>Missing-value check</w:t>
            </w:r>
          </w:p>
        </w:tc>
        <w:tc>
          <w:tcPr>
            <w:tcW w:type="dxa" w:w="2880"/>
          </w:tcPr>
          <w:p>
            <w:r>
              <w:rPr>
                <w:b w:val="0"/>
                <w:sz w:val="18"/>
              </w:rPr>
            </w:r>
            <w:r>
              <w:rPr>
                <w:b w:val="0"/>
                <w:sz w:val="18"/>
              </w:rPr>
              <w:t>0</w:t>
            </w:r>
          </w:p>
        </w:tc>
        <w:tc>
          <w:tcPr>
            <w:tcW w:type="dxa" w:w="2880"/>
          </w:tcPr>
          <w:p>
            <w:r>
              <w:rPr>
                <w:b w:val="0"/>
                <w:sz w:val="18"/>
              </w:rPr>
            </w:r>
            <w:r>
              <w:rPr>
                <w:b w:val="0"/>
                <w:sz w:val="18"/>
              </w:rPr>
              <w:t>0 missing cells</w:t>
            </w:r>
          </w:p>
        </w:tc>
      </w:tr>
      <w:tr>
        <w:tc>
          <w:tcPr>
            <w:tcW w:type="dxa" w:w="2880"/>
          </w:tcPr>
          <w:p>
            <w:r>
              <w:rPr>
                <w:b w:val="0"/>
                <w:sz w:val="18"/>
              </w:rPr>
            </w:r>
            <w:r>
              <w:rPr>
                <w:b w:val="0"/>
                <w:sz w:val="18"/>
              </w:rPr>
              <w:t>Remove exact duplicates</w:t>
            </w:r>
          </w:p>
        </w:tc>
        <w:tc>
          <w:tcPr>
            <w:tcW w:type="dxa" w:w="2880"/>
          </w:tcPr>
          <w:p>
            <w:r>
              <w:rPr>
                <w:b w:val="0"/>
                <w:sz w:val="18"/>
              </w:rPr>
            </w:r>
            <w:r>
              <w:rPr>
                <w:b/>
                <w:sz w:val="18"/>
              </w:rPr>
              <w:t>63</w:t>
            </w:r>
          </w:p>
        </w:tc>
        <w:tc>
          <w:tcPr>
            <w:tcW w:type="dxa" w:w="2880"/>
          </w:tcPr>
          <w:p>
            <w:r>
              <w:rPr>
                <w:b w:val="0"/>
                <w:sz w:val="18"/>
              </w:rPr>
            </w:r>
            <w:r>
              <w:rPr>
                <w:b w:val="0"/>
                <w:sz w:val="18"/>
              </w:rPr>
              <w:t>identical rows</w:t>
            </w:r>
          </w:p>
        </w:tc>
      </w:tr>
      <w:tr>
        <w:tc>
          <w:tcPr>
            <w:tcW w:type="dxa" w:w="2880"/>
          </w:tcPr>
          <w:p>
            <w:r>
              <w:rPr>
                <w:b w:val="0"/>
                <w:sz w:val="18"/>
              </w:rPr>
            </w:r>
            <w:r>
              <w:rPr>
                <w:b w:val="0"/>
                <w:sz w:val="18"/>
              </w:rPr>
              <w:t>Fix country label</w:t>
            </w:r>
          </w:p>
        </w:tc>
        <w:tc>
          <w:tcPr>
            <w:tcW w:type="dxa" w:w="2880"/>
          </w:tcPr>
          <w:p>
            <w:r>
              <w:rPr>
                <w:b w:val="0"/>
                <w:sz w:val="18"/>
              </w:rPr>
            </w:r>
            <w:r>
              <w:rPr>
                <w:b w:val="0"/>
                <w:sz w:val="18"/>
              </w:rPr>
              <w:t>0</w:t>
            </w:r>
          </w:p>
        </w:tc>
        <w:tc>
          <w:tcPr>
            <w:tcW w:type="dxa" w:w="2880"/>
          </w:tcPr>
          <w:p>
            <w:r>
              <w:rPr>
                <w:b w:val="0"/>
                <w:sz w:val="18"/>
              </w:rPr>
            </w:r>
            <w:r>
              <w:rPr>
                <w:b/>
                <w:sz w:val="18"/>
              </w:rPr>
              <w:t>4,580</w:t>
            </w:r>
            <w:r>
              <w:rPr>
                <w:b w:val="0"/>
                <w:sz w:val="18"/>
              </w:rPr>
              <w:t xml:space="preserve"> Rome rows were geocoded as </w:t>
            </w:r>
            <w:r>
              <w:rPr>
                <w:b w:val="0"/>
                <w:i/>
                <w:sz w:val="18"/>
              </w:rPr>
              <w:t>Holy See (Vatican City State)</w:t>
            </w:r>
            <w:r>
              <w:rPr>
                <w:b w:val="0"/>
                <w:sz w:val="18"/>
              </w:rPr>
              <w:t xml:space="preserve">; relabelled </w:t>
            </w:r>
            <w:r>
              <w:rPr>
                <w:b w:val="0"/>
                <w:i/>
                <w:sz w:val="18"/>
              </w:rPr>
              <w:t>Italy</w:t>
            </w:r>
          </w:p>
        </w:tc>
      </w:tr>
      <w:tr>
        <w:tc>
          <w:tcPr>
            <w:tcW w:type="dxa" w:w="2880"/>
          </w:tcPr>
          <w:p>
            <w:r>
              <w:rPr>
                <w:b w:val="0"/>
                <w:sz w:val="18"/>
              </w:rPr>
            </w:r>
            <w:r>
              <w:rPr>
                <w:b w:val="0"/>
                <w:sz w:val="18"/>
              </w:rPr>
              <w:t>Room-type flag consistency</w:t>
            </w:r>
          </w:p>
        </w:tc>
        <w:tc>
          <w:tcPr>
            <w:tcW w:type="dxa" w:w="2880"/>
          </w:tcPr>
          <w:p>
            <w:r>
              <w:rPr>
                <w:b w:val="0"/>
                <w:sz w:val="18"/>
              </w:rPr>
            </w:r>
            <w:r>
              <w:rPr>
                <w:b w:val="0"/>
                <w:sz w:val="18"/>
              </w:rPr>
              <w:t>0</w:t>
            </w:r>
          </w:p>
        </w:tc>
        <w:tc>
          <w:tcPr>
            <w:tcW w:type="dxa" w:w="2880"/>
          </w:tcPr>
          <w:p>
            <w:r>
              <w:rPr>
                <w:b w:val="0"/>
                <w:sz w:val="18"/>
              </w:rPr>
            </w:r>
            <w:r>
              <w:rPr>
                <w:rFonts w:ascii="Consolas" w:hAnsi="Consolas"/>
                <w:b w:val="0"/>
                <w:sz w:val="18"/>
              </w:rPr>
              <w:t>room_type</w:t>
            </w:r>
            <w:r>
              <w:rPr>
                <w:b w:val="0"/>
                <w:sz w:val="18"/>
              </w:rPr>
              <w:t xml:space="preserve"> matches </w:t>
            </w:r>
            <w:r>
              <w:rPr>
                <w:rFonts w:ascii="Consolas" w:hAnsi="Consolas"/>
                <w:b w:val="0"/>
                <w:sz w:val="18"/>
              </w:rPr>
              <w:t>is_shared_room</w:t>
            </w:r>
            <w:r>
              <w:rPr>
                <w:b w:val="0"/>
                <w:sz w:val="18"/>
              </w:rPr>
              <w:t xml:space="preserve"> / </w:t>
            </w:r>
            <w:r>
              <w:rPr>
                <w:rFonts w:ascii="Consolas" w:hAnsi="Consolas"/>
                <w:b w:val="0"/>
                <w:sz w:val="18"/>
              </w:rPr>
              <w:t>is_private_room</w:t>
            </w:r>
          </w:p>
        </w:tc>
      </w:tr>
      <w:tr>
        <w:tc>
          <w:tcPr>
            <w:tcW w:type="dxa" w:w="2880"/>
          </w:tcPr>
          <w:p>
            <w:r>
              <w:rPr>
                <w:b w:val="0"/>
                <w:sz w:val="18"/>
              </w:rPr>
            </w:r>
            <w:r>
              <w:rPr>
                <w:b w:val="0"/>
                <w:sz w:val="18"/>
              </w:rPr>
              <w:t>Domain range checks</w:t>
            </w:r>
          </w:p>
        </w:tc>
        <w:tc>
          <w:tcPr>
            <w:tcW w:type="dxa" w:w="2880"/>
          </w:tcPr>
          <w:p>
            <w:r>
              <w:rPr>
                <w:b w:val="0"/>
                <w:sz w:val="18"/>
              </w:rPr>
            </w:r>
            <w:r>
              <w:rPr>
                <w:b w:val="0"/>
                <w:sz w:val="18"/>
              </w:rPr>
              <w:t>0</w:t>
            </w:r>
          </w:p>
        </w:tc>
        <w:tc>
          <w:tcPr>
            <w:tcW w:type="dxa" w:w="2880"/>
          </w:tcPr>
          <w:p>
            <w:r>
              <w:rPr>
                <w:b w:val="0"/>
                <w:sz w:val="18"/>
              </w:rPr>
            </w:r>
            <w:r>
              <w:rPr>
                <w:b w:val="0"/>
                <w:sz w:val="18"/>
              </w:rPr>
              <w:t>scores in range, distances ≥ 0, price &gt; 0</w:t>
            </w:r>
          </w:p>
        </w:tc>
      </w:tr>
      <w:tr>
        <w:tc>
          <w:tcPr>
            <w:tcW w:type="dxa" w:w="2880"/>
          </w:tcPr>
          <w:p>
            <w:r>
              <w:rPr>
                <w:b w:val="0"/>
                <w:sz w:val="18"/>
              </w:rPr>
            </w:r>
            <w:r>
              <w:rPr>
                <w:b w:val="0"/>
                <w:sz w:val="18"/>
              </w:rPr>
              <w:t>Extreme price outliers</w:t>
            </w:r>
          </w:p>
        </w:tc>
        <w:tc>
          <w:tcPr>
            <w:tcW w:type="dxa" w:w="2880"/>
          </w:tcPr>
          <w:p>
            <w:r>
              <w:rPr>
                <w:b w:val="0"/>
                <w:sz w:val="18"/>
              </w:rPr>
            </w:r>
            <w:r>
              <w:rPr>
                <w:b/>
                <w:sz w:val="18"/>
              </w:rPr>
              <w:t>33</w:t>
            </w:r>
          </w:p>
        </w:tc>
        <w:tc>
          <w:tcPr>
            <w:tcW w:type="dxa" w:w="2880"/>
          </w:tcPr>
          <w:p>
            <w:r>
              <w:rPr>
                <w:b w:val="0"/>
                <w:sz w:val="18"/>
              </w:rPr>
            </w:r>
            <w:r>
              <w:rPr>
                <w:b w:val="0"/>
                <w:sz w:val="18"/>
              </w:rPr>
              <w:t>per-city 3×IQR fence on log price; removes entry errors such as a €43,955 listing</w:t>
            </w:r>
          </w:p>
        </w:tc>
      </w:tr>
    </w:tbl>
    <w:p/>
    <w:p>
      <w:r>
        <w:rPr>
          <w:b/>
        </w:rPr>
        <w:t>A finding that matters for evaluation:</w:t>
      </w:r>
      <w:r>
        <w:t xml:space="preserve"> </w:t>
      </w:r>
      <w:r>
        <w:rPr>
          <w:b/>
        </w:rPr>
        <w:t>18,774 listings appear twice</w:t>
      </w:r>
      <w:r>
        <w:t xml:space="preserve">, once as a weekday row and once as a weekend row, with almost the same price. A random train/test split would put one copy in training and the other in testing, so the model would be scored partly on listings it had already seen. We give every row a </w:t>
      </w:r>
      <w:r>
        <w:rPr>
          <w:rFonts w:ascii="Consolas" w:hAnsi="Consolas"/>
          <w:sz w:val="19"/>
        </w:rPr>
        <w:t>listing_id</w:t>
      </w:r>
      <w:r>
        <w:t xml:space="preserve"> and </w:t>
      </w:r>
      <w:r>
        <w:rPr>
          <w:b/>
        </w:rPr>
        <w:t>split by listing</w:t>
      </w:r>
      <w:r>
        <w:t xml:space="preserve"> (see section 5).</w:t>
      </w:r>
    </w:p>
    <w:p>
      <w:r>
        <w:rPr>
          <w:rFonts w:ascii="Consolas" w:hAnsi="Consolas"/>
          <w:sz w:val="19"/>
        </w:rPr>
        <w:t>proximity_index</w:t>
      </w:r>
      <w:r>
        <w:t xml:space="preserve"> was checked for target leakage. It is a deterministic function of the four location columns (a gradient-boosting model rebuilds it with R² = 0.9994, and adding price on top changes nothing), so it is a valid feature.</w:t>
      </w:r>
    </w:p>
    <w:p>
      <w:pPr>
        <w:pStyle w:val="Heading1"/>
      </w:pPr>
      <w:r>
        <w:t>4. Exploratory data analysis</w:t>
      </w:r>
    </w:p>
    <w:p>
      <w:pPr>
        <w:pStyle w:val="Heading2"/>
      </w:pPr>
      <w:r>
        <w:t>4.1 Price distribution</w:t>
      </w:r>
    </w:p>
    <w:p>
      <w:r>
        <w:t xml:space="preserve">Prices are heavily right-skewed: the median is €261 and the mean is €365. The log of price is close to normal, so all models predict </w:t>
      </w:r>
      <w:r>
        <w:rPr>
          <w:rFonts w:ascii="Consolas" w:hAnsi="Consolas"/>
          <w:sz w:val="19"/>
        </w:rPr>
        <w:t>log1p(price)</w:t>
      </w:r>
      <w:r>
        <w:t>.</w:t>
      </w:r>
    </w:p>
    <w:p>
      <w:pPr>
        <w:jc w:val="center"/>
      </w:pPr>
      <w:r>
        <w:drawing>
          <wp:inline xmlns:a="http://schemas.openxmlformats.org/drawingml/2006/main" xmlns:pic="http://schemas.openxmlformats.org/drawingml/2006/picture">
            <wp:extent cx="5760720" cy="2165039"/>
            <wp:docPr id="1" name="Picture 1"/>
            <wp:cNvGraphicFramePr>
              <a:graphicFrameLocks noChangeAspect="1"/>
            </wp:cNvGraphicFramePr>
            <a:graphic>
              <a:graphicData uri="http://schemas.openxmlformats.org/drawingml/2006/picture">
                <pic:pic>
                  <pic:nvPicPr>
                    <pic:cNvPr id="0" name="01_price_distribution.png"/>
                    <pic:cNvPicPr/>
                  </pic:nvPicPr>
                  <pic:blipFill>
                    <a:blip r:embed="rId9"/>
                    <a:stretch>
                      <a:fillRect/>
                    </a:stretch>
                  </pic:blipFill>
                  <pic:spPr>
                    <a:xfrm>
                      <a:off x="0" y="0"/>
                      <a:ext cx="5760720" cy="2165039"/>
                    </a:xfrm>
                    <a:prstGeom prst="rect"/>
                  </pic:spPr>
                </pic:pic>
              </a:graphicData>
            </a:graphic>
          </wp:inline>
        </w:drawing>
      </w:r>
    </w:p>
    <w:p>
      <w:pPr>
        <w:pStyle w:val="Heading2"/>
      </w:pPr>
      <w:r>
        <w:t>4.2 Cities</w:t>
      </w:r>
    </w:p>
    <w:p>
      <w:r>
        <w:t>Amsterdam (€503) and Paris (€450) are the most expensive markets, about 2.5× Athens (€181) and Rome (€194). London has the most listings (9,989).</w:t>
      </w:r>
    </w:p>
    <w:p>
      <w:pPr>
        <w:jc w:val="center"/>
      </w:pPr>
      <w:r>
        <w:drawing>
          <wp:inline xmlns:a="http://schemas.openxmlformats.org/drawingml/2006/main" xmlns:pic="http://schemas.openxmlformats.org/drawingml/2006/picture">
            <wp:extent cx="5760720" cy="2297600"/>
            <wp:docPr id="2" name="Picture 2"/>
            <wp:cNvGraphicFramePr>
              <a:graphicFrameLocks noChangeAspect="1"/>
            </wp:cNvGraphicFramePr>
            <a:graphic>
              <a:graphicData uri="http://schemas.openxmlformats.org/drawingml/2006/picture">
                <pic:pic>
                  <pic:nvPicPr>
                    <pic:cNvPr id="0" name="02_price_by_city.png"/>
                    <pic:cNvPicPr/>
                  </pic:nvPicPr>
                  <pic:blipFill>
                    <a:blip r:embed="rId10"/>
                    <a:stretch>
                      <a:fillRect/>
                    </a:stretch>
                  </pic:blipFill>
                  <pic:spPr>
                    <a:xfrm>
                      <a:off x="0" y="0"/>
                      <a:ext cx="5760720" cy="2297600"/>
                    </a:xfrm>
                    <a:prstGeom prst="rect"/>
                  </pic:spPr>
                </pic:pic>
              </a:graphicData>
            </a:graphic>
          </wp:inline>
        </w:drawing>
      </w:r>
    </w:p>
    <w:p>
      <w:pPr>
        <w:pStyle w:val="Heading2"/>
      </w:pPr>
      <w:r>
        <w:t>4.3 Room type</w:t>
      </w:r>
    </w:p>
    <w:p>
      <w:r>
        <w:t>An entire home or apartment costs roughly 1.5–2.5× a private room in the same city. Shared rooms are rare (0.7%) and the cheapest.</w:t>
      </w:r>
    </w:p>
    <w:p>
      <w:pPr>
        <w:jc w:val="center"/>
      </w:pPr>
      <w:r>
        <w:drawing>
          <wp:inline xmlns:a="http://schemas.openxmlformats.org/drawingml/2006/main" xmlns:pic="http://schemas.openxmlformats.org/drawingml/2006/picture">
            <wp:extent cx="5760720" cy="2314875"/>
            <wp:docPr id="3" name="Picture 3"/>
            <wp:cNvGraphicFramePr>
              <a:graphicFrameLocks noChangeAspect="1"/>
            </wp:cNvGraphicFramePr>
            <a:graphic>
              <a:graphicData uri="http://schemas.openxmlformats.org/drawingml/2006/picture">
                <pic:pic>
                  <pic:nvPicPr>
                    <pic:cNvPr id="0" name="03_city_roomtype.png"/>
                    <pic:cNvPicPr/>
                  </pic:nvPicPr>
                  <pic:blipFill>
                    <a:blip r:embed="rId11"/>
                    <a:stretch>
                      <a:fillRect/>
                    </a:stretch>
                  </pic:blipFill>
                  <pic:spPr>
                    <a:xfrm>
                      <a:off x="0" y="0"/>
                      <a:ext cx="5760720" cy="2314875"/>
                    </a:xfrm>
                    <a:prstGeom prst="rect"/>
                  </pic:spPr>
                </pic:pic>
              </a:graphicData>
            </a:graphic>
          </wp:inline>
        </w:drawing>
      </w:r>
    </w:p>
    <w:p>
      <w:pPr>
        <w:pStyle w:val="Heading2"/>
      </w:pPr>
      <w:r>
        <w:t>4.4 Weekday vs weekend</w:t>
      </w:r>
    </w:p>
    <w:p>
      <w:r>
        <w:t xml:space="preserve">Across all cities, weekend stays carry a median premium of </w:t>
      </w:r>
      <w:r>
        <w:rPr>
          <w:b/>
        </w:rPr>
        <w:t>+4.6%</w:t>
      </w:r>
      <w:r>
        <w:t>. The size of the premium varies by city.</w:t>
      </w:r>
    </w:p>
    <w:p>
      <w:pPr>
        <w:jc w:val="center"/>
      </w:pPr>
      <w:r>
        <w:drawing>
          <wp:inline xmlns:a="http://schemas.openxmlformats.org/drawingml/2006/main" xmlns:pic="http://schemas.openxmlformats.org/drawingml/2006/picture">
            <wp:extent cx="5760720" cy="2314875"/>
            <wp:docPr id="4" name="Picture 4"/>
            <wp:cNvGraphicFramePr>
              <a:graphicFrameLocks noChangeAspect="1"/>
            </wp:cNvGraphicFramePr>
            <a:graphic>
              <a:graphicData uri="http://schemas.openxmlformats.org/drawingml/2006/picture">
                <pic:pic>
                  <pic:nvPicPr>
                    <pic:cNvPr id="0" name="04_weekday_weekend.png"/>
                    <pic:cNvPicPr/>
                  </pic:nvPicPr>
                  <pic:blipFill>
                    <a:blip r:embed="rId12"/>
                    <a:stretch>
                      <a:fillRect/>
                    </a:stretch>
                  </pic:blipFill>
                  <pic:spPr>
                    <a:xfrm>
                      <a:off x="0" y="0"/>
                      <a:ext cx="5760720" cy="2314875"/>
                    </a:xfrm>
                    <a:prstGeom prst="rect"/>
                  </pic:spPr>
                </pic:pic>
              </a:graphicData>
            </a:graphic>
          </wp:inline>
        </w:drawing>
      </w:r>
    </w:p>
    <w:p>
      <w:pPr>
        <w:pStyle w:val="Heading2"/>
      </w:pPr>
      <w:r>
        <w:t>4.5 Location effects</w:t>
      </w:r>
    </w:p>
    <w:p>
      <w:r>
        <w:t>Price falls steadily with distance from the centre and rises with the attraction and restaurant indices. Location is the strongest single signal in the data.</w:t>
      </w:r>
    </w:p>
    <w:p>
      <w:pPr>
        <w:jc w:val="center"/>
      </w:pPr>
      <w:r>
        <w:drawing>
          <wp:inline xmlns:a="http://schemas.openxmlformats.org/drawingml/2006/main" xmlns:pic="http://schemas.openxmlformats.org/drawingml/2006/picture">
            <wp:extent cx="5760720" cy="1940183"/>
            <wp:docPr id="5" name="Picture 5"/>
            <wp:cNvGraphicFramePr>
              <a:graphicFrameLocks noChangeAspect="1"/>
            </wp:cNvGraphicFramePr>
            <a:graphic>
              <a:graphicData uri="http://schemas.openxmlformats.org/drawingml/2006/picture">
                <pic:pic>
                  <pic:nvPicPr>
                    <pic:cNvPr id="0" name="05_location_effects.png"/>
                    <pic:cNvPicPr/>
                  </pic:nvPicPr>
                  <pic:blipFill>
                    <a:blip r:embed="rId13"/>
                    <a:stretch>
                      <a:fillRect/>
                    </a:stretch>
                  </pic:blipFill>
                  <pic:spPr>
                    <a:xfrm>
                      <a:off x="0" y="0"/>
                      <a:ext cx="5760720" cy="1940183"/>
                    </a:xfrm>
                    <a:prstGeom prst="rect"/>
                  </pic:spPr>
                </pic:pic>
              </a:graphicData>
            </a:graphic>
          </wp:inline>
        </w:drawing>
      </w:r>
    </w:p>
    <w:p>
      <w:pPr>
        <w:pStyle w:val="Heading2"/>
      </w:pPr>
      <w:r>
        <w:t>4.6 Capacity</w:t>
      </w:r>
    </w:p>
    <w:p>
      <w:r>
        <w:t>Each extra guest or bedroom raises the price in a near-linear, monotonic way.</w:t>
      </w:r>
    </w:p>
    <w:p>
      <w:pPr>
        <w:jc w:val="center"/>
      </w:pPr>
      <w:r>
        <w:drawing>
          <wp:inline xmlns:a="http://schemas.openxmlformats.org/drawingml/2006/main" xmlns:pic="http://schemas.openxmlformats.org/drawingml/2006/picture">
            <wp:extent cx="5760720" cy="2168629"/>
            <wp:docPr id="6" name="Picture 6"/>
            <wp:cNvGraphicFramePr>
              <a:graphicFrameLocks noChangeAspect="1"/>
            </wp:cNvGraphicFramePr>
            <a:graphic>
              <a:graphicData uri="http://schemas.openxmlformats.org/drawingml/2006/picture">
                <pic:pic>
                  <pic:nvPicPr>
                    <pic:cNvPr id="0" name="06_capacity.png"/>
                    <pic:cNvPicPr/>
                  </pic:nvPicPr>
                  <pic:blipFill>
                    <a:blip r:embed="rId14"/>
                    <a:stretch>
                      <a:fillRect/>
                    </a:stretch>
                  </pic:blipFill>
                  <pic:spPr>
                    <a:xfrm>
                      <a:off x="0" y="0"/>
                      <a:ext cx="5760720" cy="2168629"/>
                    </a:xfrm>
                    <a:prstGeom prst="rect"/>
                  </pic:spPr>
                </pic:pic>
              </a:graphicData>
            </a:graphic>
          </wp:inline>
        </w:drawing>
      </w:r>
    </w:p>
    <w:p>
      <w:pPr>
        <w:pStyle w:val="Heading2"/>
      </w:pPr>
      <w:r>
        <w:t>4.7 Correlations</w:t>
      </w:r>
    </w:p>
    <w:p>
      <w:r>
        <w:t xml:space="preserve">Restaurant and attraction indices are strongly correlated with each other and with </w:t>
      </w:r>
      <w:r>
        <w:rPr>
          <w:rFonts w:ascii="Consolas" w:hAnsi="Consolas"/>
          <w:sz w:val="19"/>
        </w:rPr>
        <w:t>proximity_index</w:t>
      </w:r>
      <w:r>
        <w:t>. The city-level indices (crime, salary, utilities) are constant within a city, so they act as city descriptors.</w:t>
      </w:r>
    </w:p>
    <w:p>
      <w:pPr>
        <w:jc w:val="center"/>
      </w:pPr>
      <w:r>
        <w:drawing>
          <wp:inline xmlns:a="http://schemas.openxmlformats.org/drawingml/2006/main" xmlns:pic="http://schemas.openxmlformats.org/drawingml/2006/picture">
            <wp:extent cx="5760720" cy="5047915"/>
            <wp:docPr id="7" name="Picture 7"/>
            <wp:cNvGraphicFramePr>
              <a:graphicFrameLocks noChangeAspect="1"/>
            </wp:cNvGraphicFramePr>
            <a:graphic>
              <a:graphicData uri="http://schemas.openxmlformats.org/drawingml/2006/picture">
                <pic:pic>
                  <pic:nvPicPr>
                    <pic:cNvPr id="0" name="07_correlation.png"/>
                    <pic:cNvPicPr/>
                  </pic:nvPicPr>
                  <pic:blipFill>
                    <a:blip r:embed="rId15"/>
                    <a:stretch>
                      <a:fillRect/>
                    </a:stretch>
                  </pic:blipFill>
                  <pic:spPr>
                    <a:xfrm>
                      <a:off x="0" y="0"/>
                      <a:ext cx="5760720" cy="5047915"/>
                    </a:xfrm>
                    <a:prstGeom prst="rect"/>
                  </pic:spPr>
                </pic:pic>
              </a:graphicData>
            </a:graphic>
          </wp:inline>
        </w:drawing>
      </w:r>
    </w:p>
    <w:p>
      <w:pPr>
        <w:pStyle w:val="Heading2"/>
      </w:pPr>
      <w:r>
        <w:t>4.8 Host quality</w:t>
      </w:r>
    </w:p>
    <w:p>
      <w:r>
        <w:t>Superhost status and high satisfaction scores have only a small effect on price. Guests seem to pay for location and space rather than for reputation.</w:t>
      </w:r>
    </w:p>
    <w:p>
      <w:pPr>
        <w:jc w:val="center"/>
      </w:pPr>
      <w:r>
        <w:drawing>
          <wp:inline xmlns:a="http://schemas.openxmlformats.org/drawingml/2006/main" xmlns:pic="http://schemas.openxmlformats.org/drawingml/2006/picture">
            <wp:extent cx="5760720" cy="2184935"/>
            <wp:docPr id="8" name="Picture 8"/>
            <wp:cNvGraphicFramePr>
              <a:graphicFrameLocks noChangeAspect="1"/>
            </wp:cNvGraphicFramePr>
            <a:graphic>
              <a:graphicData uri="http://schemas.openxmlformats.org/drawingml/2006/picture">
                <pic:pic>
                  <pic:nvPicPr>
                    <pic:cNvPr id="0" name="08_host_quality.png"/>
                    <pic:cNvPicPr/>
                  </pic:nvPicPr>
                  <pic:blipFill>
                    <a:blip r:embed="rId16"/>
                    <a:stretch>
                      <a:fillRect/>
                    </a:stretch>
                  </pic:blipFill>
                  <pic:spPr>
                    <a:xfrm>
                      <a:off x="0" y="0"/>
                      <a:ext cx="5760720" cy="2184935"/>
                    </a:xfrm>
                    <a:prstGeom prst="rect"/>
                  </pic:spPr>
                </pic:pic>
              </a:graphicData>
            </a:graphic>
          </wp:inline>
        </w:drawing>
      </w:r>
    </w:p>
    <w:p>
      <w:pPr>
        <w:pStyle w:val="Heading2"/>
      </w:pPr>
      <w:r>
        <w:t>4.9 Affluence</w:t>
      </w:r>
    </w:p>
    <w:p>
      <w:r>
        <w:t>Cities with higher average salaries have higher prices, but tourist demand matters too: Lisbon and Barcelona are priced above what their salary levels alone would suggest.</w:t>
      </w:r>
    </w:p>
    <w:p>
      <w:pPr>
        <w:jc w:val="center"/>
      </w:pPr>
      <w:r>
        <w:drawing>
          <wp:inline xmlns:a="http://schemas.openxmlformats.org/drawingml/2006/main" xmlns:pic="http://schemas.openxmlformats.org/drawingml/2006/picture">
            <wp:extent cx="5760720" cy="3567136"/>
            <wp:docPr id="9" name="Picture 9"/>
            <wp:cNvGraphicFramePr>
              <a:graphicFrameLocks noChangeAspect="1"/>
            </wp:cNvGraphicFramePr>
            <a:graphic>
              <a:graphicData uri="http://schemas.openxmlformats.org/drawingml/2006/picture">
                <pic:pic>
                  <pic:nvPicPr>
                    <pic:cNvPr id="0" name="09_salary_vs_price.png"/>
                    <pic:cNvPicPr/>
                  </pic:nvPicPr>
                  <pic:blipFill>
                    <a:blip r:embed="rId17"/>
                    <a:stretch>
                      <a:fillRect/>
                    </a:stretch>
                  </pic:blipFill>
                  <pic:spPr>
                    <a:xfrm>
                      <a:off x="0" y="0"/>
                      <a:ext cx="5760720" cy="3567136"/>
                    </a:xfrm>
                    <a:prstGeom prst="rect"/>
                  </pic:spPr>
                </pic:pic>
              </a:graphicData>
            </a:graphic>
          </wp:inline>
        </w:drawing>
      </w:r>
    </w:p>
    <w:p>
      <w:pPr>
        <w:pStyle w:val="Heading1"/>
      </w:pPr>
      <w:r>
        <w:t>5. Methodology</w:t>
      </w:r>
    </w:p>
    <w:p>
      <w:pPr>
        <w:pStyle w:val="Heading2"/>
      </w:pPr>
      <w:r>
        <w:t>5.1 Feature engineering (25 features)</w:t>
      </w:r>
    </w:p>
    <w:p>
      <w:r>
        <w:t>In addition to the original listing, location and city features:</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r>
            <w:r>
              <w:rPr>
                <w:b/>
                <w:sz w:val="18"/>
              </w:rPr>
              <w:t>Feature</w:t>
            </w:r>
          </w:p>
        </w:tc>
        <w:tc>
          <w:tcPr>
            <w:tcW w:type="dxa" w:w="4320"/>
          </w:tcPr>
          <w:p>
            <w:r>
              <w:rPr>
                <w:b/>
                <w:sz w:val="18"/>
              </w:rPr>
            </w:r>
            <w:r>
              <w:rPr>
                <w:b/>
                <w:sz w:val="18"/>
              </w:rPr>
              <w:t>Rationale</w:t>
            </w:r>
          </w:p>
        </w:tc>
      </w:tr>
      <w:tr>
        <w:tc>
          <w:tcPr>
            <w:tcW w:type="dxa" w:w="4320"/>
          </w:tcPr>
          <w:p>
            <w:r>
              <w:rPr>
                <w:b w:val="0"/>
                <w:sz w:val="18"/>
              </w:rPr>
            </w:r>
            <w:r>
              <w:rPr>
                <w:rFonts w:ascii="Consolas" w:hAnsi="Consolas"/>
                <w:b w:val="0"/>
                <w:sz w:val="18"/>
              </w:rPr>
              <w:t>is_weekend</w:t>
            </w:r>
          </w:p>
        </w:tc>
        <w:tc>
          <w:tcPr>
            <w:tcW w:type="dxa" w:w="4320"/>
          </w:tcPr>
          <w:p>
            <w:r>
              <w:rPr>
                <w:b w:val="0"/>
                <w:sz w:val="18"/>
              </w:rPr>
            </w:r>
            <w:r>
              <w:rPr>
                <w:b w:val="0"/>
                <w:sz w:val="18"/>
              </w:rPr>
              <w:t xml:space="preserve">binary encoding of </w:t>
            </w:r>
            <w:r>
              <w:rPr>
                <w:rFonts w:ascii="Consolas" w:hAnsi="Consolas"/>
                <w:b w:val="0"/>
                <w:sz w:val="18"/>
              </w:rPr>
              <w:t>day_type</w:t>
            </w:r>
          </w:p>
        </w:tc>
      </w:tr>
      <w:tr>
        <w:tc>
          <w:tcPr>
            <w:tcW w:type="dxa" w:w="4320"/>
          </w:tcPr>
          <w:p>
            <w:r>
              <w:rPr>
                <w:b w:val="0"/>
                <w:sz w:val="18"/>
              </w:rPr>
            </w:r>
            <w:r>
              <w:rPr>
                <w:rFonts w:ascii="Consolas" w:hAnsi="Consolas"/>
                <w:b w:val="0"/>
                <w:sz w:val="18"/>
              </w:rPr>
              <w:t>guests_per_bedroom</w:t>
            </w:r>
          </w:p>
        </w:tc>
        <w:tc>
          <w:tcPr>
            <w:tcW w:type="dxa" w:w="4320"/>
          </w:tcPr>
          <w:p>
            <w:r>
              <w:rPr>
                <w:b w:val="0"/>
                <w:sz w:val="18"/>
              </w:rPr>
            </w:r>
            <w:r>
              <w:rPr>
                <w:b w:val="0"/>
                <w:sz w:val="18"/>
              </w:rPr>
              <w:t>how crowded the unit is</w:t>
            </w:r>
          </w:p>
        </w:tc>
      </w:tr>
      <w:tr>
        <w:tc>
          <w:tcPr>
            <w:tcW w:type="dxa" w:w="4320"/>
          </w:tcPr>
          <w:p>
            <w:r>
              <w:rPr>
                <w:b w:val="0"/>
                <w:sz w:val="18"/>
              </w:rPr>
            </w:r>
            <w:r>
              <w:rPr>
                <w:rFonts w:ascii="Consolas" w:hAnsi="Consolas"/>
                <w:b w:val="0"/>
                <w:sz w:val="18"/>
              </w:rPr>
              <w:t>log_dist_center</w:t>
            </w:r>
            <w:r>
              <w:rPr>
                <w:b w:val="0"/>
                <w:sz w:val="18"/>
              </w:rPr>
              <w:t xml:space="preserve">, </w:t>
            </w:r>
            <w:r>
              <w:rPr>
                <w:rFonts w:ascii="Consolas" w:hAnsi="Consolas"/>
                <w:b w:val="0"/>
                <w:sz w:val="18"/>
              </w:rPr>
              <w:t>log_dist_metro</w:t>
            </w:r>
          </w:p>
        </w:tc>
        <w:tc>
          <w:tcPr>
            <w:tcW w:type="dxa" w:w="4320"/>
          </w:tcPr>
          <w:p>
            <w:r>
              <w:rPr>
                <w:b w:val="0"/>
                <w:sz w:val="18"/>
              </w:rPr>
            </w:r>
            <w:r>
              <w:rPr>
                <w:b w:val="0"/>
                <w:sz w:val="18"/>
              </w:rPr>
              <w:t>the price decline with distance is steep near the centre and flattens further out</w:t>
            </w:r>
          </w:p>
        </w:tc>
      </w:tr>
      <w:tr>
        <w:tc>
          <w:tcPr>
            <w:tcW w:type="dxa" w:w="4320"/>
          </w:tcPr>
          <w:p>
            <w:r>
              <w:rPr>
                <w:b w:val="0"/>
                <w:sz w:val="18"/>
              </w:rPr>
            </w:r>
            <w:r>
              <w:rPr>
                <w:rFonts w:ascii="Consolas" w:hAnsi="Consolas"/>
                <w:b w:val="0"/>
                <w:sz w:val="18"/>
              </w:rPr>
              <w:t>attr_x_rest</w:t>
            </w:r>
          </w:p>
        </w:tc>
        <w:tc>
          <w:tcPr>
            <w:tcW w:type="dxa" w:w="4320"/>
          </w:tcPr>
          <w:p>
            <w:r>
              <w:rPr>
                <w:b w:val="0"/>
                <w:sz w:val="18"/>
              </w:rPr>
            </w:r>
            <w:r>
              <w:rPr>
                <w:b w:val="0"/>
                <w:sz w:val="18"/>
              </w:rPr>
              <w:t>interaction term: a high score requires both attractions and restaurants nearby</w:t>
            </w:r>
          </w:p>
        </w:tc>
      </w:tr>
      <w:tr>
        <w:tc>
          <w:tcPr>
            <w:tcW w:type="dxa" w:w="4320"/>
          </w:tcPr>
          <w:p>
            <w:r>
              <w:rPr>
                <w:b w:val="0"/>
                <w:sz w:val="18"/>
              </w:rPr>
            </w:r>
            <w:r>
              <w:rPr>
                <w:rFonts w:ascii="Consolas" w:hAnsi="Consolas"/>
                <w:b w:val="0"/>
                <w:sz w:val="18"/>
              </w:rPr>
              <w:t>quality_score</w:t>
            </w:r>
          </w:p>
        </w:tc>
        <w:tc>
          <w:tcPr>
            <w:tcW w:type="dxa" w:w="4320"/>
          </w:tcPr>
          <w:p>
            <w:r>
              <w:rPr>
                <w:b w:val="0"/>
                <w:sz w:val="18"/>
              </w:rPr>
            </w:r>
            <w:r>
              <w:rPr>
                <w:b w:val="0"/>
                <w:sz w:val="18"/>
              </w:rPr>
              <w:t>0.4 × cleanliness + 0.6 × satisfaction, on a 0–100 scale</w:t>
            </w:r>
          </w:p>
        </w:tc>
      </w:tr>
    </w:tbl>
    <w:p/>
    <w:p>
      <w:r>
        <w:rPr>
          <w:rFonts w:ascii="Consolas" w:hAnsi="Consolas"/>
          <w:sz w:val="19"/>
        </w:rPr>
        <w:t>district</w:t>
      </w:r>
      <w:r>
        <w:t xml:space="preserve">, </w:t>
      </w:r>
      <w:r>
        <w:rPr>
          <w:rFonts w:ascii="Consolas" w:hAnsi="Consolas"/>
          <w:sz w:val="19"/>
        </w:rPr>
        <w:t>state</w:t>
      </w:r>
      <w:r>
        <w:t xml:space="preserve"> and </w:t>
      </w:r>
      <w:r>
        <w:rPr>
          <w:rFonts w:ascii="Consolas" w:hAnsi="Consolas"/>
          <w:sz w:val="19"/>
        </w:rPr>
        <w:t>country_name</w:t>
      </w:r>
      <w:r>
        <w:t xml:space="preserve"> were dropped because each is redundant with </w:t>
      </w:r>
      <w:r>
        <w:rPr>
          <w:rFonts w:ascii="Consolas" w:hAnsi="Consolas"/>
          <w:sz w:val="19"/>
        </w:rPr>
        <w:t>city</w:t>
      </w:r>
      <w:r>
        <w:t xml:space="preserve"> plus the coordinates. </w:t>
      </w:r>
      <w:r>
        <w:rPr>
          <w:rFonts w:ascii="Consolas" w:hAnsi="Consolas"/>
          <w:sz w:val="19"/>
        </w:rPr>
        <w:t>is_shared_room</w:t>
      </w:r>
      <w:r>
        <w:t xml:space="preserve"> and </w:t>
      </w:r>
      <w:r>
        <w:rPr>
          <w:rFonts w:ascii="Consolas" w:hAnsi="Consolas"/>
          <w:sz w:val="19"/>
        </w:rPr>
        <w:t>is_private_room</w:t>
      </w:r>
      <w:r>
        <w:t xml:space="preserve"> were dropped because they duplicate </w:t>
      </w:r>
      <w:r>
        <w:rPr>
          <w:rFonts w:ascii="Consolas" w:hAnsi="Consolas"/>
          <w:sz w:val="19"/>
        </w:rPr>
        <w:t>room_type</w:t>
      </w:r>
      <w:r>
        <w:t>.</w:t>
      </w:r>
    </w:p>
    <w:p>
      <w:pPr>
        <w:pStyle w:val="Heading2"/>
      </w:pPr>
      <w:r>
        <w:t>5.2 Validation strategy</w:t>
      </w:r>
    </w:p>
    <w:p>
      <w:pPr>
        <w:pStyle w:val="ListBullet"/>
      </w:pPr>
      <w:r>
        <w:rPr>
          <w:b/>
        </w:rPr>
        <w:t>Hold-out test set:</w:t>
      </w:r>
      <w:r>
        <w:t xml:space="preserve"> 20% of listings (10,366 rows), using </w:t>
      </w:r>
      <w:r>
        <w:rPr>
          <w:rFonts w:ascii="Consolas" w:hAnsi="Consolas"/>
          <w:sz w:val="19"/>
        </w:rPr>
        <w:t>GroupShuffleSplit</w:t>
      </w:r>
      <w:r>
        <w:t xml:space="preserve"> by </w:t>
      </w:r>
      <w:r>
        <w:rPr>
          <w:rFonts w:ascii="Consolas" w:hAnsi="Consolas"/>
          <w:sz w:val="19"/>
        </w:rPr>
        <w:t>listing_id</w:t>
      </w:r>
      <w:r>
        <w:t>. No listing appears in both training and test data.</w:t>
      </w:r>
    </w:p>
    <w:p>
      <w:pPr>
        <w:pStyle w:val="ListBullet"/>
      </w:pPr>
      <w:r>
        <w:rPr>
          <w:b/>
        </w:rPr>
        <w:t>Early stopping and ensemble weights:</w:t>
      </w:r>
      <w:r>
        <w:t xml:space="preserve"> set on a further grouped 15% validation fold carved out of the training data. The test set is never used for tuning.</w:t>
      </w:r>
    </w:p>
    <w:p>
      <w:pPr>
        <w:pStyle w:val="ListBullet"/>
      </w:pPr>
      <w:r>
        <w:rPr>
          <w:b/>
        </w:rPr>
        <w:t>Production model:</w:t>
      </w:r>
      <w:r>
        <w:t xml:space="preserve"> refit on 100% of the data with the tuned number of boosting rounds.</w:t>
      </w:r>
    </w:p>
    <w:p>
      <w:pPr>
        <w:pStyle w:val="Heading2"/>
      </w:pPr>
      <w:r>
        <w:t>5.3 Models</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r>
            <w:r>
              <w:rPr>
                <w:b/>
                <w:sz w:val="18"/>
              </w:rPr>
              <w:t>Model</w:t>
            </w:r>
          </w:p>
        </w:tc>
        <w:tc>
          <w:tcPr>
            <w:tcW w:type="dxa" w:w="4320"/>
          </w:tcPr>
          <w:p>
            <w:r>
              <w:rPr>
                <w:b/>
                <w:sz w:val="18"/>
              </w:rPr>
            </w:r>
            <w:r>
              <w:rPr>
                <w:b/>
                <w:sz w:val="18"/>
              </w:rPr>
              <w:t>Configuration</w:t>
            </w:r>
          </w:p>
        </w:tc>
      </w:tr>
      <w:tr>
        <w:tc>
          <w:tcPr>
            <w:tcW w:type="dxa" w:w="4320"/>
          </w:tcPr>
          <w:p>
            <w:r>
              <w:rPr>
                <w:b w:val="0"/>
                <w:sz w:val="18"/>
              </w:rPr>
            </w:r>
            <w:r>
              <w:rPr>
                <w:b w:val="0"/>
                <w:sz w:val="18"/>
              </w:rPr>
              <w:t>City median</w:t>
            </w:r>
          </w:p>
        </w:tc>
        <w:tc>
          <w:tcPr>
            <w:tcW w:type="dxa" w:w="4320"/>
          </w:tcPr>
          <w:p>
            <w:r>
              <w:rPr>
                <w:b w:val="0"/>
                <w:sz w:val="18"/>
              </w:rPr>
            </w:r>
            <w:r>
              <w:rPr>
                <w:b w:val="0"/>
                <w:sz w:val="18"/>
              </w:rPr>
              <w:t>baseline</w:t>
            </w:r>
          </w:p>
        </w:tc>
      </w:tr>
      <w:tr>
        <w:tc>
          <w:tcPr>
            <w:tcW w:type="dxa" w:w="4320"/>
          </w:tcPr>
          <w:p>
            <w:r>
              <w:rPr>
                <w:b w:val="0"/>
                <w:sz w:val="18"/>
              </w:rPr>
            </w:r>
            <w:r>
              <w:rPr>
                <w:b w:val="0"/>
                <w:sz w:val="18"/>
              </w:rPr>
              <w:t>Ridge regression</w:t>
            </w:r>
          </w:p>
        </w:tc>
        <w:tc>
          <w:tcPr>
            <w:tcW w:type="dxa" w:w="4320"/>
          </w:tcPr>
          <w:p>
            <w:r>
              <w:rPr>
                <w:b w:val="0"/>
                <w:sz w:val="18"/>
              </w:rPr>
            </w:r>
            <w:r>
              <w:rPr>
                <w:b w:val="0"/>
                <w:sz w:val="18"/>
              </w:rPr>
              <w:t>one-hot encoding, standardised features</w:t>
            </w:r>
          </w:p>
        </w:tc>
      </w:tr>
      <w:tr>
        <w:tc>
          <w:tcPr>
            <w:tcW w:type="dxa" w:w="4320"/>
          </w:tcPr>
          <w:p>
            <w:r>
              <w:rPr>
                <w:b w:val="0"/>
                <w:sz w:val="18"/>
              </w:rPr>
            </w:r>
            <w:r>
              <w:rPr>
                <w:b w:val="0"/>
                <w:sz w:val="18"/>
              </w:rPr>
              <w:t>Random Forest</w:t>
            </w:r>
          </w:p>
        </w:tc>
        <w:tc>
          <w:tcPr>
            <w:tcW w:type="dxa" w:w="4320"/>
          </w:tcPr>
          <w:p>
            <w:r>
              <w:rPr>
                <w:b w:val="0"/>
                <w:sz w:val="18"/>
              </w:rPr>
            </w:r>
            <w:r>
              <w:rPr>
                <w:b w:val="0"/>
                <w:sz w:val="18"/>
              </w:rPr>
              <w:t xml:space="preserve">300 trees, </w:t>
            </w:r>
            <w:r>
              <w:rPr>
                <w:rFonts w:ascii="Consolas" w:hAnsi="Consolas"/>
                <w:b w:val="0"/>
                <w:sz w:val="18"/>
              </w:rPr>
              <w:t>max_features=0.5</w:t>
            </w:r>
          </w:p>
        </w:tc>
      </w:tr>
      <w:tr>
        <w:tc>
          <w:tcPr>
            <w:tcW w:type="dxa" w:w="4320"/>
          </w:tcPr>
          <w:p>
            <w:r>
              <w:rPr>
                <w:b w:val="0"/>
                <w:sz w:val="18"/>
              </w:rPr>
            </w:r>
            <w:r>
              <w:rPr>
                <w:b w:val="0"/>
                <w:sz w:val="18"/>
              </w:rPr>
              <w:t>LightGBM</w:t>
            </w:r>
          </w:p>
        </w:tc>
        <w:tc>
          <w:tcPr>
            <w:tcW w:type="dxa" w:w="4320"/>
          </w:tcPr>
          <w:p>
            <w:r>
              <w:rPr>
                <w:b w:val="0"/>
                <w:sz w:val="18"/>
              </w:rPr>
            </w:r>
            <w:r>
              <w:rPr>
                <w:b w:val="0"/>
                <w:sz w:val="18"/>
              </w:rPr>
              <w:t>63 leaves, learning rate 0.02, row and column subsampling, early stopping</w:t>
            </w:r>
          </w:p>
        </w:tc>
      </w:tr>
      <w:tr>
        <w:tc>
          <w:tcPr>
            <w:tcW w:type="dxa" w:w="4320"/>
          </w:tcPr>
          <w:p>
            <w:r>
              <w:rPr>
                <w:b w:val="0"/>
                <w:sz w:val="18"/>
              </w:rPr>
            </w:r>
            <w:r>
              <w:rPr>
                <w:b w:val="0"/>
                <w:sz w:val="18"/>
              </w:rPr>
              <w:t>XGBoost</w:t>
            </w:r>
          </w:p>
        </w:tc>
        <w:tc>
          <w:tcPr>
            <w:tcW w:type="dxa" w:w="4320"/>
          </w:tcPr>
          <w:p>
            <w:r>
              <w:rPr>
                <w:b w:val="0"/>
                <w:sz w:val="18"/>
              </w:rPr>
            </w:r>
            <w:r>
              <w:rPr>
                <w:b w:val="0"/>
                <w:sz w:val="18"/>
              </w:rPr>
              <w:t>depth 8, learning rate 0.02, hist method, native categorical support</w:t>
            </w:r>
          </w:p>
        </w:tc>
      </w:tr>
      <w:tr>
        <w:tc>
          <w:tcPr>
            <w:tcW w:type="dxa" w:w="4320"/>
          </w:tcPr>
          <w:p>
            <w:r>
              <w:rPr>
                <w:b w:val="0"/>
                <w:sz w:val="18"/>
              </w:rPr>
            </w:r>
            <w:r>
              <w:rPr>
                <w:b w:val="0"/>
                <w:sz w:val="18"/>
              </w:rPr>
              <w:t>CatBoost</w:t>
            </w:r>
          </w:p>
        </w:tc>
        <w:tc>
          <w:tcPr>
            <w:tcW w:type="dxa" w:w="4320"/>
          </w:tcPr>
          <w:p>
            <w:r>
              <w:rPr>
                <w:b w:val="0"/>
                <w:sz w:val="18"/>
              </w:rPr>
            </w:r>
            <w:r>
              <w:rPr>
                <w:b w:val="0"/>
                <w:sz w:val="18"/>
              </w:rPr>
              <w:t>depth 8, learning rate 0.04, native categorical support</w:t>
            </w:r>
          </w:p>
        </w:tc>
      </w:tr>
      <w:tr>
        <w:tc>
          <w:tcPr>
            <w:tcW w:type="dxa" w:w="4320"/>
          </w:tcPr>
          <w:p>
            <w:r>
              <w:rPr>
                <w:b w:val="0"/>
                <w:sz w:val="18"/>
              </w:rPr>
            </w:r>
            <w:r>
              <w:rPr>
                <w:b/>
                <w:sz w:val="18"/>
              </w:rPr>
              <w:t>Weighted ensemble</w:t>
            </w:r>
          </w:p>
        </w:tc>
        <w:tc>
          <w:tcPr>
            <w:tcW w:type="dxa" w:w="4320"/>
          </w:tcPr>
          <w:p>
            <w:r>
              <w:rPr>
                <w:b w:val="0"/>
                <w:sz w:val="18"/>
              </w:rPr>
            </w:r>
            <w:r>
              <w:rPr>
                <w:b w:val="0"/>
                <w:sz w:val="18"/>
              </w:rPr>
              <w:t>non-negative weights minimising validation MSE</w:t>
            </w:r>
          </w:p>
        </w:tc>
      </w:tr>
    </w:tbl>
    <w:p/>
    <w:p>
      <w:pPr>
        <w:pStyle w:val="Heading1"/>
      </w:pPr>
      <w:r>
        <w:t>6. Results</w:t>
      </w:r>
    </w:p>
    <w:p>
      <w:pPr>
        <w:pStyle w:val="Heading2"/>
      </w:pPr>
      <w:r>
        <w:t>6.1 Leaderboard (hold-out test set, unseen listings)</w:t>
      </w:r>
    </w:p>
    <w:tbl>
      <w:tblPr>
        <w:tblStyle w:val="Light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sz w:val="18"/>
              </w:rPr>
            </w:r>
            <w:r>
              <w:rPr>
                <w:b/>
                <w:sz w:val="18"/>
              </w:rPr>
              <w:t>Model</w:t>
            </w:r>
          </w:p>
        </w:tc>
        <w:tc>
          <w:tcPr>
            <w:tcW w:type="dxa" w:w="960"/>
          </w:tcPr>
          <w:p>
            <w:r>
              <w:rPr>
                <w:b/>
                <w:sz w:val="18"/>
              </w:rPr>
            </w:r>
            <w:r>
              <w:rPr>
                <w:b/>
                <w:sz w:val="18"/>
              </w:rPr>
              <w:t>R² (log)</w:t>
            </w:r>
          </w:p>
        </w:tc>
        <w:tc>
          <w:tcPr>
            <w:tcW w:type="dxa" w:w="960"/>
          </w:tcPr>
          <w:p>
            <w:r>
              <w:rPr>
                <w:b/>
                <w:sz w:val="18"/>
              </w:rPr>
            </w:r>
            <w:r>
              <w:rPr>
                <w:b/>
                <w:sz w:val="18"/>
              </w:rPr>
              <w:t>R² (€)</w:t>
            </w:r>
          </w:p>
        </w:tc>
        <w:tc>
          <w:tcPr>
            <w:tcW w:type="dxa" w:w="960"/>
          </w:tcPr>
          <w:p>
            <w:r>
              <w:rPr>
                <w:b/>
                <w:sz w:val="18"/>
              </w:rPr>
            </w:r>
            <w:r>
              <w:rPr>
                <w:b/>
                <w:sz w:val="18"/>
              </w:rPr>
              <w:t>MAE €</w:t>
            </w:r>
          </w:p>
        </w:tc>
        <w:tc>
          <w:tcPr>
            <w:tcW w:type="dxa" w:w="960"/>
          </w:tcPr>
          <w:p>
            <w:r>
              <w:rPr>
                <w:b/>
                <w:sz w:val="18"/>
              </w:rPr>
            </w:r>
            <w:r>
              <w:rPr>
                <w:b/>
                <w:sz w:val="18"/>
              </w:rPr>
              <w:t>RMSE €</w:t>
            </w:r>
          </w:p>
        </w:tc>
        <w:tc>
          <w:tcPr>
            <w:tcW w:type="dxa" w:w="960"/>
          </w:tcPr>
          <w:p>
            <w:r>
              <w:rPr>
                <w:b/>
                <w:sz w:val="18"/>
              </w:rPr>
            </w:r>
            <w:r>
              <w:rPr>
                <w:b/>
                <w:sz w:val="18"/>
              </w:rPr>
              <w:t>MAPE</w:t>
            </w:r>
          </w:p>
        </w:tc>
        <w:tc>
          <w:tcPr>
            <w:tcW w:type="dxa" w:w="960"/>
          </w:tcPr>
          <w:p>
            <w:r>
              <w:rPr>
                <w:b/>
                <w:sz w:val="18"/>
              </w:rPr>
            </w:r>
            <w:r>
              <w:rPr>
                <w:b/>
                <w:sz w:val="18"/>
              </w:rPr>
              <w:t>Median APE</w:t>
            </w:r>
          </w:p>
        </w:tc>
        <w:tc>
          <w:tcPr>
            <w:tcW w:type="dxa" w:w="960"/>
          </w:tcPr>
          <w:p>
            <w:r>
              <w:rPr>
                <w:b/>
                <w:sz w:val="18"/>
              </w:rPr>
            </w:r>
            <w:r>
              <w:rPr>
                <w:b/>
                <w:sz w:val="18"/>
              </w:rPr>
              <w:t>±20%</w:t>
            </w:r>
          </w:p>
        </w:tc>
        <w:tc>
          <w:tcPr>
            <w:tcW w:type="dxa" w:w="960"/>
          </w:tcPr>
          <w:p>
            <w:r>
              <w:rPr>
                <w:b/>
                <w:sz w:val="18"/>
              </w:rPr>
            </w:r>
            <w:r>
              <w:rPr>
                <w:b/>
                <w:sz w:val="18"/>
              </w:rPr>
              <w:t>±30%</w:t>
            </w:r>
          </w:p>
        </w:tc>
      </w:tr>
      <w:tr>
        <w:tc>
          <w:tcPr>
            <w:tcW w:type="dxa" w:w="960"/>
          </w:tcPr>
          <w:p>
            <w:r>
              <w:rPr>
                <w:b w:val="0"/>
                <w:sz w:val="18"/>
              </w:rPr>
            </w:r>
            <w:r>
              <w:rPr>
                <w:b w:val="0"/>
                <w:sz w:val="18"/>
              </w:rPr>
              <w:t>City median (baseline)</w:t>
            </w:r>
          </w:p>
        </w:tc>
        <w:tc>
          <w:tcPr>
            <w:tcW w:type="dxa" w:w="960"/>
          </w:tcPr>
          <w:p>
            <w:r>
              <w:rPr>
                <w:b w:val="0"/>
                <w:sz w:val="18"/>
              </w:rPr>
            </w:r>
            <w:r>
              <w:rPr>
                <w:b w:val="0"/>
                <w:sz w:val="18"/>
              </w:rPr>
              <w:t>0.157</w:t>
            </w:r>
          </w:p>
        </w:tc>
        <w:tc>
          <w:tcPr>
            <w:tcW w:type="dxa" w:w="960"/>
          </w:tcPr>
          <w:p>
            <w:r>
              <w:rPr>
                <w:b w:val="0"/>
                <w:sz w:val="18"/>
              </w:rPr>
            </w:r>
            <w:r>
              <w:rPr>
                <w:b w:val="0"/>
                <w:sz w:val="18"/>
              </w:rPr>
              <w:t>0.040</w:t>
            </w:r>
          </w:p>
        </w:tc>
        <w:tc>
          <w:tcPr>
            <w:tcW w:type="dxa" w:w="960"/>
          </w:tcPr>
          <w:p>
            <w:r>
              <w:rPr>
                <w:b w:val="0"/>
                <w:sz w:val="18"/>
              </w:rPr>
            </w:r>
            <w:r>
              <w:rPr>
                <w:b w:val="0"/>
                <w:sz w:val="18"/>
              </w:rPr>
              <w:t>191.4</w:t>
            </w:r>
          </w:p>
        </w:tc>
        <w:tc>
          <w:tcPr>
            <w:tcW w:type="dxa" w:w="960"/>
          </w:tcPr>
          <w:p>
            <w:r>
              <w:rPr>
                <w:b w:val="0"/>
                <w:sz w:val="18"/>
              </w:rPr>
            </w:r>
            <w:r>
              <w:rPr>
                <w:b w:val="0"/>
                <w:sz w:val="18"/>
              </w:rPr>
              <w:t>402.2</w:t>
            </w:r>
          </w:p>
        </w:tc>
        <w:tc>
          <w:tcPr>
            <w:tcW w:type="dxa" w:w="960"/>
          </w:tcPr>
          <w:p>
            <w:r>
              <w:rPr>
                <w:b w:val="0"/>
                <w:sz w:val="18"/>
              </w:rPr>
            </w:r>
            <w:r>
              <w:rPr>
                <w:b w:val="0"/>
                <w:sz w:val="18"/>
              </w:rPr>
              <w:t>66.7%</w:t>
            </w:r>
          </w:p>
        </w:tc>
        <w:tc>
          <w:tcPr>
            <w:tcW w:type="dxa" w:w="960"/>
          </w:tcPr>
          <w:p>
            <w:r>
              <w:rPr>
                <w:b w:val="0"/>
                <w:sz w:val="18"/>
              </w:rPr>
            </w:r>
            <w:r>
              <w:rPr>
                <w:b w:val="0"/>
                <w:sz w:val="18"/>
              </w:rPr>
              <w:t>42.2%</w:t>
            </w:r>
          </w:p>
        </w:tc>
        <w:tc>
          <w:tcPr>
            <w:tcW w:type="dxa" w:w="960"/>
          </w:tcPr>
          <w:p>
            <w:r>
              <w:rPr>
                <w:b w:val="0"/>
                <w:sz w:val="18"/>
              </w:rPr>
            </w:r>
            <w:r>
              <w:rPr>
                <w:b w:val="0"/>
                <w:sz w:val="18"/>
              </w:rPr>
              <w:t>25.3%</w:t>
            </w:r>
          </w:p>
        </w:tc>
        <w:tc>
          <w:tcPr>
            <w:tcW w:type="dxa" w:w="960"/>
          </w:tcPr>
          <w:p>
            <w:r>
              <w:rPr>
                <w:b w:val="0"/>
                <w:sz w:val="18"/>
              </w:rPr>
            </w:r>
            <w:r>
              <w:rPr>
                <w:b w:val="0"/>
                <w:sz w:val="18"/>
              </w:rPr>
              <w:t>37.3%</w:t>
            </w:r>
          </w:p>
        </w:tc>
      </w:tr>
      <w:tr>
        <w:tc>
          <w:tcPr>
            <w:tcW w:type="dxa" w:w="960"/>
          </w:tcPr>
          <w:p>
            <w:r>
              <w:rPr>
                <w:b w:val="0"/>
                <w:sz w:val="18"/>
              </w:rPr>
            </w:r>
            <w:r>
              <w:rPr>
                <w:b w:val="0"/>
                <w:sz w:val="18"/>
              </w:rPr>
              <w:t>Ridge regression</w:t>
            </w:r>
          </w:p>
        </w:tc>
        <w:tc>
          <w:tcPr>
            <w:tcW w:type="dxa" w:w="960"/>
          </w:tcPr>
          <w:p>
            <w:r>
              <w:rPr>
                <w:b w:val="0"/>
                <w:sz w:val="18"/>
              </w:rPr>
            </w:r>
            <w:r>
              <w:rPr>
                <w:b w:val="0"/>
                <w:sz w:val="18"/>
              </w:rPr>
              <w:t>0.811</w:t>
            </w:r>
          </w:p>
        </w:tc>
        <w:tc>
          <w:tcPr>
            <w:tcW w:type="dxa" w:w="960"/>
          </w:tcPr>
          <w:p>
            <w:r>
              <w:rPr>
                <w:b w:val="0"/>
                <w:sz w:val="18"/>
              </w:rPr>
            </w:r>
            <w:r>
              <w:rPr>
                <w:b w:val="0"/>
                <w:sz w:val="18"/>
              </w:rPr>
              <w:t>0.615</w:t>
            </w:r>
          </w:p>
        </w:tc>
        <w:tc>
          <w:tcPr>
            <w:tcW w:type="dxa" w:w="960"/>
          </w:tcPr>
          <w:p>
            <w:r>
              <w:rPr>
                <w:b w:val="0"/>
                <w:sz w:val="18"/>
              </w:rPr>
            </w:r>
            <w:r>
              <w:rPr>
                <w:b w:val="0"/>
                <w:sz w:val="18"/>
              </w:rPr>
              <w:t>99.6</w:t>
            </w:r>
          </w:p>
        </w:tc>
        <w:tc>
          <w:tcPr>
            <w:tcW w:type="dxa" w:w="960"/>
          </w:tcPr>
          <w:p>
            <w:r>
              <w:rPr>
                <w:b w:val="0"/>
                <w:sz w:val="18"/>
              </w:rPr>
            </w:r>
            <w:r>
              <w:rPr>
                <w:b w:val="0"/>
                <w:sz w:val="18"/>
              </w:rPr>
              <w:t>254.7</w:t>
            </w:r>
          </w:p>
        </w:tc>
        <w:tc>
          <w:tcPr>
            <w:tcW w:type="dxa" w:w="960"/>
          </w:tcPr>
          <w:p>
            <w:r>
              <w:rPr>
                <w:b w:val="0"/>
                <w:sz w:val="18"/>
              </w:rPr>
            </w:r>
            <w:r>
              <w:rPr>
                <w:b w:val="0"/>
                <w:sz w:val="18"/>
              </w:rPr>
              <w:t>25.6%</w:t>
            </w:r>
          </w:p>
        </w:tc>
        <w:tc>
          <w:tcPr>
            <w:tcW w:type="dxa" w:w="960"/>
          </w:tcPr>
          <w:p>
            <w:r>
              <w:rPr>
                <w:b w:val="0"/>
                <w:sz w:val="18"/>
              </w:rPr>
            </w:r>
            <w:r>
              <w:rPr>
                <w:b w:val="0"/>
                <w:sz w:val="18"/>
              </w:rPr>
              <w:t>20.7%</w:t>
            </w:r>
          </w:p>
        </w:tc>
        <w:tc>
          <w:tcPr>
            <w:tcW w:type="dxa" w:w="960"/>
          </w:tcPr>
          <w:p>
            <w:r>
              <w:rPr>
                <w:b w:val="0"/>
                <w:sz w:val="18"/>
              </w:rPr>
            </w:r>
            <w:r>
              <w:rPr>
                <w:b w:val="0"/>
                <w:sz w:val="18"/>
              </w:rPr>
              <w:t>48.5%</w:t>
            </w:r>
          </w:p>
        </w:tc>
        <w:tc>
          <w:tcPr>
            <w:tcW w:type="dxa" w:w="960"/>
          </w:tcPr>
          <w:p>
            <w:r>
              <w:rPr>
                <w:b w:val="0"/>
                <w:sz w:val="18"/>
              </w:rPr>
            </w:r>
            <w:r>
              <w:rPr>
                <w:b w:val="0"/>
                <w:sz w:val="18"/>
              </w:rPr>
              <w:t>67.0%</w:t>
            </w:r>
          </w:p>
        </w:tc>
      </w:tr>
      <w:tr>
        <w:tc>
          <w:tcPr>
            <w:tcW w:type="dxa" w:w="960"/>
          </w:tcPr>
          <w:p>
            <w:r>
              <w:rPr>
                <w:b w:val="0"/>
                <w:sz w:val="18"/>
              </w:rPr>
            </w:r>
            <w:r>
              <w:rPr>
                <w:b w:val="0"/>
                <w:sz w:val="18"/>
              </w:rPr>
              <w:t>Random Forest</w:t>
            </w:r>
          </w:p>
        </w:tc>
        <w:tc>
          <w:tcPr>
            <w:tcW w:type="dxa" w:w="960"/>
          </w:tcPr>
          <w:p>
            <w:r>
              <w:rPr>
                <w:b w:val="0"/>
                <w:sz w:val="18"/>
              </w:rPr>
            </w:r>
            <w:r>
              <w:rPr>
                <w:b w:val="0"/>
                <w:sz w:val="18"/>
              </w:rPr>
              <w:t>0.847</w:t>
            </w:r>
          </w:p>
        </w:tc>
        <w:tc>
          <w:tcPr>
            <w:tcW w:type="dxa" w:w="960"/>
          </w:tcPr>
          <w:p>
            <w:r>
              <w:rPr>
                <w:b w:val="0"/>
                <w:sz w:val="18"/>
              </w:rPr>
            </w:r>
            <w:r>
              <w:rPr>
                <w:b w:val="0"/>
                <w:sz w:val="18"/>
              </w:rPr>
              <w:t>0.635</w:t>
            </w:r>
          </w:p>
        </w:tc>
        <w:tc>
          <w:tcPr>
            <w:tcW w:type="dxa" w:w="960"/>
          </w:tcPr>
          <w:p>
            <w:r>
              <w:rPr>
                <w:b w:val="0"/>
                <w:sz w:val="18"/>
              </w:rPr>
            </w:r>
            <w:r>
              <w:rPr>
                <w:b w:val="0"/>
                <w:sz w:val="18"/>
              </w:rPr>
              <w:t>90.1</w:t>
            </w:r>
          </w:p>
        </w:tc>
        <w:tc>
          <w:tcPr>
            <w:tcW w:type="dxa" w:w="960"/>
          </w:tcPr>
          <w:p>
            <w:r>
              <w:rPr>
                <w:b w:val="0"/>
                <w:sz w:val="18"/>
              </w:rPr>
            </w:r>
            <w:r>
              <w:rPr>
                <w:b w:val="0"/>
                <w:sz w:val="18"/>
              </w:rPr>
              <w:t>248.1</w:t>
            </w:r>
          </w:p>
        </w:tc>
        <w:tc>
          <w:tcPr>
            <w:tcW w:type="dxa" w:w="960"/>
          </w:tcPr>
          <w:p>
            <w:r>
              <w:rPr>
                <w:b w:val="0"/>
                <w:sz w:val="18"/>
              </w:rPr>
            </w:r>
            <w:r>
              <w:rPr>
                <w:b w:val="0"/>
                <w:sz w:val="18"/>
              </w:rPr>
              <w:t>22.3%</w:t>
            </w:r>
          </w:p>
        </w:tc>
        <w:tc>
          <w:tcPr>
            <w:tcW w:type="dxa" w:w="960"/>
          </w:tcPr>
          <w:p>
            <w:r>
              <w:rPr>
                <w:b w:val="0"/>
                <w:sz w:val="18"/>
              </w:rPr>
            </w:r>
            <w:r>
              <w:rPr>
                <w:b w:val="0"/>
                <w:sz w:val="18"/>
              </w:rPr>
              <w:t>17.2%</w:t>
            </w:r>
          </w:p>
        </w:tc>
        <w:tc>
          <w:tcPr>
            <w:tcW w:type="dxa" w:w="960"/>
          </w:tcPr>
          <w:p>
            <w:r>
              <w:rPr>
                <w:b w:val="0"/>
                <w:sz w:val="18"/>
              </w:rPr>
            </w:r>
            <w:r>
              <w:rPr>
                <w:b w:val="0"/>
                <w:sz w:val="18"/>
              </w:rPr>
              <w:t>56.0%</w:t>
            </w:r>
          </w:p>
        </w:tc>
        <w:tc>
          <w:tcPr>
            <w:tcW w:type="dxa" w:w="960"/>
          </w:tcPr>
          <w:p>
            <w:r>
              <w:rPr>
                <w:b w:val="0"/>
                <w:sz w:val="18"/>
              </w:rPr>
            </w:r>
            <w:r>
              <w:rPr>
                <w:b w:val="0"/>
                <w:sz w:val="18"/>
              </w:rPr>
              <w:t>73.1%</w:t>
            </w:r>
          </w:p>
        </w:tc>
      </w:tr>
      <w:tr>
        <w:tc>
          <w:tcPr>
            <w:tcW w:type="dxa" w:w="960"/>
          </w:tcPr>
          <w:p>
            <w:r>
              <w:rPr>
                <w:b w:val="0"/>
                <w:sz w:val="18"/>
              </w:rPr>
            </w:r>
            <w:r>
              <w:rPr>
                <w:b w:val="0"/>
                <w:sz w:val="18"/>
              </w:rPr>
              <w:t>LightGBM</w:t>
            </w:r>
          </w:p>
        </w:tc>
        <w:tc>
          <w:tcPr>
            <w:tcW w:type="dxa" w:w="960"/>
          </w:tcPr>
          <w:p>
            <w:r>
              <w:rPr>
                <w:b w:val="0"/>
                <w:sz w:val="18"/>
              </w:rPr>
            </w:r>
            <w:r>
              <w:rPr>
                <w:b w:val="0"/>
                <w:sz w:val="18"/>
              </w:rPr>
              <w:t>0.854</w:t>
            </w:r>
          </w:p>
        </w:tc>
        <w:tc>
          <w:tcPr>
            <w:tcW w:type="dxa" w:w="960"/>
          </w:tcPr>
          <w:p>
            <w:r>
              <w:rPr>
                <w:b w:val="0"/>
                <w:sz w:val="18"/>
              </w:rPr>
            </w:r>
            <w:r>
              <w:rPr>
                <w:b w:val="0"/>
                <w:sz w:val="18"/>
              </w:rPr>
              <w:t>0.651</w:t>
            </w:r>
          </w:p>
        </w:tc>
        <w:tc>
          <w:tcPr>
            <w:tcW w:type="dxa" w:w="960"/>
          </w:tcPr>
          <w:p>
            <w:r>
              <w:rPr>
                <w:b w:val="0"/>
                <w:sz w:val="18"/>
              </w:rPr>
            </w:r>
            <w:r>
              <w:rPr>
                <w:b w:val="0"/>
                <w:sz w:val="18"/>
              </w:rPr>
              <w:t>88.1</w:t>
            </w:r>
          </w:p>
        </w:tc>
        <w:tc>
          <w:tcPr>
            <w:tcW w:type="dxa" w:w="960"/>
          </w:tcPr>
          <w:p>
            <w:r>
              <w:rPr>
                <w:b w:val="0"/>
                <w:sz w:val="18"/>
              </w:rPr>
            </w:r>
            <w:r>
              <w:rPr>
                <w:b w:val="0"/>
                <w:sz w:val="18"/>
              </w:rPr>
              <w:t>242.3</w:t>
            </w:r>
          </w:p>
        </w:tc>
        <w:tc>
          <w:tcPr>
            <w:tcW w:type="dxa" w:w="960"/>
          </w:tcPr>
          <w:p>
            <w:r>
              <w:rPr>
                <w:b w:val="0"/>
                <w:sz w:val="18"/>
              </w:rPr>
            </w:r>
            <w:r>
              <w:rPr>
                <w:b w:val="0"/>
                <w:sz w:val="18"/>
              </w:rPr>
              <w:t>22.0%</w:t>
            </w:r>
          </w:p>
        </w:tc>
        <w:tc>
          <w:tcPr>
            <w:tcW w:type="dxa" w:w="960"/>
          </w:tcPr>
          <w:p>
            <w:r>
              <w:rPr>
                <w:b w:val="0"/>
                <w:sz w:val="18"/>
              </w:rPr>
            </w:r>
            <w:r>
              <w:rPr>
                <w:b w:val="0"/>
                <w:sz w:val="18"/>
              </w:rPr>
              <w:t>17.5%</w:t>
            </w:r>
          </w:p>
        </w:tc>
        <w:tc>
          <w:tcPr>
            <w:tcW w:type="dxa" w:w="960"/>
          </w:tcPr>
          <w:p>
            <w:r>
              <w:rPr>
                <w:b w:val="0"/>
                <w:sz w:val="18"/>
              </w:rPr>
            </w:r>
            <w:r>
              <w:rPr>
                <w:b w:val="0"/>
                <w:sz w:val="18"/>
              </w:rPr>
              <w:t>55.9%</w:t>
            </w:r>
          </w:p>
        </w:tc>
        <w:tc>
          <w:tcPr>
            <w:tcW w:type="dxa" w:w="960"/>
          </w:tcPr>
          <w:p>
            <w:r>
              <w:rPr>
                <w:b w:val="0"/>
                <w:sz w:val="18"/>
              </w:rPr>
            </w:r>
            <w:r>
              <w:rPr>
                <w:b w:val="0"/>
                <w:sz w:val="18"/>
              </w:rPr>
              <w:t>74.1%</w:t>
            </w:r>
          </w:p>
        </w:tc>
      </w:tr>
      <w:tr>
        <w:tc>
          <w:tcPr>
            <w:tcW w:type="dxa" w:w="960"/>
          </w:tcPr>
          <w:p>
            <w:r>
              <w:rPr>
                <w:b w:val="0"/>
                <w:sz w:val="18"/>
              </w:rPr>
            </w:r>
            <w:r>
              <w:rPr>
                <w:b w:val="0"/>
                <w:sz w:val="18"/>
              </w:rPr>
              <w:t>XGBoost</w:t>
            </w:r>
          </w:p>
        </w:tc>
        <w:tc>
          <w:tcPr>
            <w:tcW w:type="dxa" w:w="960"/>
          </w:tcPr>
          <w:p>
            <w:r>
              <w:rPr>
                <w:b w:val="0"/>
                <w:sz w:val="18"/>
              </w:rPr>
            </w:r>
            <w:r>
              <w:rPr>
                <w:b w:val="0"/>
                <w:sz w:val="18"/>
              </w:rPr>
              <w:t>0.855</w:t>
            </w:r>
          </w:p>
        </w:tc>
        <w:tc>
          <w:tcPr>
            <w:tcW w:type="dxa" w:w="960"/>
          </w:tcPr>
          <w:p>
            <w:r>
              <w:rPr>
                <w:b w:val="0"/>
                <w:sz w:val="18"/>
              </w:rPr>
            </w:r>
            <w:r>
              <w:rPr>
                <w:b w:val="0"/>
                <w:sz w:val="18"/>
              </w:rPr>
              <w:t>0.650</w:t>
            </w:r>
          </w:p>
        </w:tc>
        <w:tc>
          <w:tcPr>
            <w:tcW w:type="dxa" w:w="960"/>
          </w:tcPr>
          <w:p>
            <w:r>
              <w:rPr>
                <w:b w:val="0"/>
                <w:sz w:val="18"/>
              </w:rPr>
            </w:r>
            <w:r>
              <w:rPr>
                <w:b w:val="0"/>
                <w:sz w:val="18"/>
              </w:rPr>
              <w:t>87.6</w:t>
            </w:r>
          </w:p>
        </w:tc>
        <w:tc>
          <w:tcPr>
            <w:tcW w:type="dxa" w:w="960"/>
          </w:tcPr>
          <w:p>
            <w:r>
              <w:rPr>
                <w:b w:val="0"/>
                <w:sz w:val="18"/>
              </w:rPr>
            </w:r>
            <w:r>
              <w:rPr>
                <w:b w:val="0"/>
                <w:sz w:val="18"/>
              </w:rPr>
              <w:t>242.7</w:t>
            </w:r>
          </w:p>
        </w:tc>
        <w:tc>
          <w:tcPr>
            <w:tcW w:type="dxa" w:w="960"/>
          </w:tcPr>
          <w:p>
            <w:r>
              <w:rPr>
                <w:b w:val="0"/>
                <w:sz w:val="18"/>
              </w:rPr>
            </w:r>
            <w:r>
              <w:rPr>
                <w:b w:val="0"/>
                <w:sz w:val="18"/>
              </w:rPr>
              <w:t>21.8%</w:t>
            </w:r>
          </w:p>
        </w:tc>
        <w:tc>
          <w:tcPr>
            <w:tcW w:type="dxa" w:w="960"/>
          </w:tcPr>
          <w:p>
            <w:r>
              <w:rPr>
                <w:b w:val="0"/>
                <w:sz w:val="18"/>
              </w:rPr>
            </w:r>
            <w:r>
              <w:rPr>
                <w:b w:val="0"/>
                <w:sz w:val="18"/>
              </w:rPr>
              <w:t>17.1%</w:t>
            </w:r>
          </w:p>
        </w:tc>
        <w:tc>
          <w:tcPr>
            <w:tcW w:type="dxa" w:w="960"/>
          </w:tcPr>
          <w:p>
            <w:r>
              <w:rPr>
                <w:b w:val="0"/>
                <w:sz w:val="18"/>
              </w:rPr>
            </w:r>
            <w:r>
              <w:rPr>
                <w:b w:val="0"/>
                <w:sz w:val="18"/>
              </w:rPr>
              <w:t>56.6%</w:t>
            </w:r>
          </w:p>
        </w:tc>
        <w:tc>
          <w:tcPr>
            <w:tcW w:type="dxa" w:w="960"/>
          </w:tcPr>
          <w:p>
            <w:r>
              <w:rPr>
                <w:b w:val="0"/>
                <w:sz w:val="18"/>
              </w:rPr>
            </w:r>
            <w:r>
              <w:rPr>
                <w:b w:val="0"/>
                <w:sz w:val="18"/>
              </w:rPr>
              <w:t>74.2%</w:t>
            </w:r>
          </w:p>
        </w:tc>
      </w:tr>
      <w:tr>
        <w:tc>
          <w:tcPr>
            <w:tcW w:type="dxa" w:w="960"/>
          </w:tcPr>
          <w:p>
            <w:r>
              <w:rPr>
                <w:b w:val="0"/>
                <w:sz w:val="18"/>
              </w:rPr>
            </w:r>
            <w:r>
              <w:rPr>
                <w:b w:val="0"/>
                <w:sz w:val="18"/>
              </w:rPr>
              <w:t>CatBoost</w:t>
            </w:r>
          </w:p>
        </w:tc>
        <w:tc>
          <w:tcPr>
            <w:tcW w:type="dxa" w:w="960"/>
          </w:tcPr>
          <w:p>
            <w:r>
              <w:rPr>
                <w:b w:val="0"/>
                <w:sz w:val="18"/>
              </w:rPr>
            </w:r>
            <w:r>
              <w:rPr>
                <w:b w:val="0"/>
                <w:sz w:val="18"/>
              </w:rPr>
              <w:t>0.856</w:t>
            </w:r>
          </w:p>
        </w:tc>
        <w:tc>
          <w:tcPr>
            <w:tcW w:type="dxa" w:w="960"/>
          </w:tcPr>
          <w:p>
            <w:r>
              <w:rPr>
                <w:b w:val="0"/>
                <w:sz w:val="18"/>
              </w:rPr>
            </w:r>
            <w:r>
              <w:rPr>
                <w:b w:val="0"/>
                <w:sz w:val="18"/>
              </w:rPr>
              <w:t>0.653</w:t>
            </w:r>
          </w:p>
        </w:tc>
        <w:tc>
          <w:tcPr>
            <w:tcW w:type="dxa" w:w="960"/>
          </w:tcPr>
          <w:p>
            <w:r>
              <w:rPr>
                <w:b w:val="0"/>
                <w:sz w:val="18"/>
              </w:rPr>
            </w:r>
            <w:r>
              <w:rPr>
                <w:b w:val="0"/>
                <w:sz w:val="18"/>
              </w:rPr>
              <w:t>87.3</w:t>
            </w:r>
          </w:p>
        </w:tc>
        <w:tc>
          <w:tcPr>
            <w:tcW w:type="dxa" w:w="960"/>
          </w:tcPr>
          <w:p>
            <w:r>
              <w:rPr>
                <w:b w:val="0"/>
                <w:sz w:val="18"/>
              </w:rPr>
            </w:r>
            <w:r>
              <w:rPr>
                <w:b w:val="0"/>
                <w:sz w:val="18"/>
              </w:rPr>
              <w:t>241.9</w:t>
            </w:r>
          </w:p>
        </w:tc>
        <w:tc>
          <w:tcPr>
            <w:tcW w:type="dxa" w:w="960"/>
          </w:tcPr>
          <w:p>
            <w:r>
              <w:rPr>
                <w:b w:val="0"/>
                <w:sz w:val="18"/>
              </w:rPr>
            </w:r>
            <w:r>
              <w:rPr>
                <w:b w:val="0"/>
                <w:sz w:val="18"/>
              </w:rPr>
              <w:t>21.8%</w:t>
            </w:r>
          </w:p>
        </w:tc>
        <w:tc>
          <w:tcPr>
            <w:tcW w:type="dxa" w:w="960"/>
          </w:tcPr>
          <w:p>
            <w:r>
              <w:rPr>
                <w:b w:val="0"/>
                <w:sz w:val="18"/>
              </w:rPr>
            </w:r>
            <w:r>
              <w:rPr>
                <w:b w:val="0"/>
                <w:sz w:val="18"/>
              </w:rPr>
              <w:t>17.3%</w:t>
            </w:r>
          </w:p>
        </w:tc>
        <w:tc>
          <w:tcPr>
            <w:tcW w:type="dxa" w:w="960"/>
          </w:tcPr>
          <w:p>
            <w:r>
              <w:rPr>
                <w:b w:val="0"/>
                <w:sz w:val="18"/>
              </w:rPr>
            </w:r>
            <w:r>
              <w:rPr>
                <w:b w:val="0"/>
                <w:sz w:val="18"/>
              </w:rPr>
              <w:t>56.4%</w:t>
            </w:r>
          </w:p>
        </w:tc>
        <w:tc>
          <w:tcPr>
            <w:tcW w:type="dxa" w:w="960"/>
          </w:tcPr>
          <w:p>
            <w:r>
              <w:rPr>
                <w:b w:val="0"/>
                <w:sz w:val="18"/>
              </w:rPr>
            </w:r>
            <w:r>
              <w:rPr>
                <w:b w:val="0"/>
                <w:sz w:val="18"/>
              </w:rPr>
              <w:t>74.2%</w:t>
            </w:r>
          </w:p>
        </w:tc>
      </w:tr>
      <w:tr>
        <w:tc>
          <w:tcPr>
            <w:tcW w:type="dxa" w:w="960"/>
          </w:tcPr>
          <w:p>
            <w:r>
              <w:rPr>
                <w:b w:val="0"/>
                <w:sz w:val="18"/>
              </w:rPr>
            </w:r>
            <w:r>
              <w:rPr>
                <w:b/>
                <w:sz w:val="18"/>
              </w:rPr>
              <w:t>Weighted ensemble</w:t>
            </w:r>
          </w:p>
        </w:tc>
        <w:tc>
          <w:tcPr>
            <w:tcW w:type="dxa" w:w="960"/>
          </w:tcPr>
          <w:p>
            <w:r>
              <w:rPr>
                <w:b w:val="0"/>
                <w:sz w:val="18"/>
              </w:rPr>
            </w:r>
            <w:r>
              <w:rPr>
                <w:b/>
                <w:sz w:val="18"/>
              </w:rPr>
              <w:t>0.857</w:t>
            </w:r>
          </w:p>
        </w:tc>
        <w:tc>
          <w:tcPr>
            <w:tcW w:type="dxa" w:w="960"/>
          </w:tcPr>
          <w:p>
            <w:r>
              <w:rPr>
                <w:b w:val="0"/>
                <w:sz w:val="18"/>
              </w:rPr>
            </w:r>
            <w:r>
              <w:rPr>
                <w:b/>
                <w:sz w:val="18"/>
              </w:rPr>
              <w:t>0.653</w:t>
            </w:r>
          </w:p>
        </w:tc>
        <w:tc>
          <w:tcPr>
            <w:tcW w:type="dxa" w:w="960"/>
          </w:tcPr>
          <w:p>
            <w:r>
              <w:rPr>
                <w:b w:val="0"/>
                <w:sz w:val="18"/>
              </w:rPr>
            </w:r>
            <w:r>
              <w:rPr>
                <w:b/>
                <w:sz w:val="18"/>
              </w:rPr>
              <w:t>87.1</w:t>
            </w:r>
          </w:p>
        </w:tc>
        <w:tc>
          <w:tcPr>
            <w:tcW w:type="dxa" w:w="960"/>
          </w:tcPr>
          <w:p>
            <w:r>
              <w:rPr>
                <w:b w:val="0"/>
                <w:sz w:val="18"/>
              </w:rPr>
            </w:r>
            <w:r>
              <w:rPr>
                <w:b/>
                <w:sz w:val="18"/>
              </w:rPr>
              <w:t>241.7</w:t>
            </w:r>
          </w:p>
        </w:tc>
        <w:tc>
          <w:tcPr>
            <w:tcW w:type="dxa" w:w="960"/>
          </w:tcPr>
          <w:p>
            <w:r>
              <w:rPr>
                <w:b w:val="0"/>
                <w:sz w:val="18"/>
              </w:rPr>
            </w:r>
            <w:r>
              <w:rPr>
                <w:b/>
                <w:sz w:val="18"/>
              </w:rPr>
              <w:t>21.7%</w:t>
            </w:r>
          </w:p>
        </w:tc>
        <w:tc>
          <w:tcPr>
            <w:tcW w:type="dxa" w:w="960"/>
          </w:tcPr>
          <w:p>
            <w:r>
              <w:rPr>
                <w:b w:val="0"/>
                <w:sz w:val="18"/>
              </w:rPr>
            </w:r>
            <w:r>
              <w:rPr>
                <w:b/>
                <w:sz w:val="18"/>
              </w:rPr>
              <w:t>17.1%</w:t>
            </w:r>
          </w:p>
        </w:tc>
        <w:tc>
          <w:tcPr>
            <w:tcW w:type="dxa" w:w="960"/>
          </w:tcPr>
          <w:p>
            <w:r>
              <w:rPr>
                <w:b w:val="0"/>
                <w:sz w:val="18"/>
              </w:rPr>
            </w:r>
            <w:r>
              <w:rPr>
                <w:b/>
                <w:sz w:val="18"/>
              </w:rPr>
              <w:t>56.5%</w:t>
            </w:r>
          </w:p>
        </w:tc>
        <w:tc>
          <w:tcPr>
            <w:tcW w:type="dxa" w:w="960"/>
          </w:tcPr>
          <w:p>
            <w:r>
              <w:rPr>
                <w:b w:val="0"/>
                <w:sz w:val="18"/>
              </w:rPr>
            </w:r>
            <w:r>
              <w:rPr>
                <w:b/>
                <w:sz w:val="18"/>
              </w:rPr>
              <w:t>74.4%</w:t>
            </w:r>
          </w:p>
        </w:tc>
      </w:tr>
    </w:tbl>
    <w:p/>
    <w:p>
      <w:r>
        <w:rPr>
          <w:b/>
        </w:rPr>
        <w:t>How to read these numbers:</w:t>
      </w:r>
    </w:p>
    <w:p>
      <w:pPr>
        <w:pStyle w:val="ListBullet"/>
      </w:pPr>
      <w:r>
        <w:rPr>
          <w:b/>
        </w:rPr>
        <w:t>R² on log price (0.857)</w:t>
      </w:r>
      <w:r>
        <w:t xml:space="preserve"> is the standard metric for price models. The model explains about 86% of the variation in log price.</w:t>
      </w:r>
    </w:p>
    <w:p>
      <w:pPr>
        <w:pStyle w:val="ListBullet"/>
      </w:pPr>
      <w:r>
        <w:rPr>
          <w:b/>
        </w:rPr>
        <w:t>R² in euros (0.65)</w:t>
      </w:r>
      <w:r>
        <w:t xml:space="preserve"> is lower because a few very expensive listings (€2,000–€9,000) dominate squared error in euro terms. Typical-case accuracy is better described by the </w:t>
      </w:r>
      <w:r>
        <w:rPr>
          <w:b/>
        </w:rPr>
        <w:t>median absolute error of 17%</w:t>
      </w:r>
      <w:r>
        <w:t>.</w:t>
      </w:r>
    </w:p>
    <w:p>
      <w:pPr>
        <w:pStyle w:val="ListBullet"/>
      </w:pPr>
      <w:r>
        <w:rPr>
          <w:b/>
        </w:rPr>
        <w:t>Random-split comparison:</w:t>
      </w:r>
      <w:r>
        <w:t xml:space="preserve"> a naive random row split gives R² = 0.876. That figure is inflated by the duplicated weekday/weekend rows, so </w:t>
      </w:r>
      <w:r>
        <w:rPr>
          <w:b/>
        </w:rPr>
        <w:t>we report the stricter 0.857</w:t>
      </w:r>
      <w:r>
        <w:t>.</w:t>
      </w:r>
    </w:p>
    <w:p>
      <w:pPr>
        <w:pStyle w:val="ListBullet"/>
      </w:pPr>
      <w:r>
        <w:t>Around 14% of the variation cannot be explained by the available columns. It depends on things the dataset does not contain, such as photos, the interior, the size in m², the view, amenities and dynamic pricing.</w:t>
      </w:r>
    </w:p>
    <w:p>
      <w:pPr>
        <w:jc w:val="center"/>
      </w:pPr>
      <w:r>
        <w:drawing>
          <wp:inline xmlns:a="http://schemas.openxmlformats.org/drawingml/2006/main" xmlns:pic="http://schemas.openxmlformats.org/drawingml/2006/picture">
            <wp:extent cx="5760720" cy="2457971"/>
            <wp:docPr id="10" name="Picture 10"/>
            <wp:cNvGraphicFramePr>
              <a:graphicFrameLocks noChangeAspect="1"/>
            </wp:cNvGraphicFramePr>
            <a:graphic>
              <a:graphicData uri="http://schemas.openxmlformats.org/drawingml/2006/picture">
                <pic:pic>
                  <pic:nvPicPr>
                    <pic:cNvPr id="0" name="10_actual_vs_pred.png"/>
                    <pic:cNvPicPr/>
                  </pic:nvPicPr>
                  <pic:blipFill>
                    <a:blip r:embed="rId18"/>
                    <a:stretch>
                      <a:fillRect/>
                    </a:stretch>
                  </pic:blipFill>
                  <pic:spPr>
                    <a:xfrm>
                      <a:off x="0" y="0"/>
                      <a:ext cx="5760720" cy="2457971"/>
                    </a:xfrm>
                    <a:prstGeom prst="rect"/>
                  </pic:spPr>
                </pic:pic>
              </a:graphicData>
            </a:graphic>
          </wp:inline>
        </w:drawing>
      </w:r>
    </w:p>
    <w:p>
      <w:pPr>
        <w:pStyle w:val="Heading2"/>
      </w:pPr>
      <w:r>
        <w:t>6.2 Accuracy by city</w:t>
      </w:r>
    </w:p>
    <w:p>
      <w:r>
        <w:t xml:space="preserve">Median absolute error ranges from </w:t>
      </w:r>
      <w:r>
        <w:rPr>
          <w:b/>
        </w:rPr>
        <w:t>14.8% (Lisbon)</w:t>
      </w:r>
      <w:r>
        <w:t xml:space="preserve"> to </w:t>
      </w:r>
      <w:r>
        <w:rPr>
          <w:b/>
        </w:rPr>
        <w:t>19.3% (Budapest)</w:t>
      </w:r>
      <w:r>
        <w:t>. R² on log price is highest in London (0.884) and Amsterdam (0.864). Paris has the lowest R² (0.721) because prices within Paris vary unusually widely even at similar locations.</w:t>
      </w:r>
    </w:p>
    <w:p>
      <w:pPr>
        <w:jc w:val="center"/>
      </w:pPr>
      <w:r>
        <w:drawing>
          <wp:inline xmlns:a="http://schemas.openxmlformats.org/drawingml/2006/main" xmlns:pic="http://schemas.openxmlformats.org/drawingml/2006/picture">
            <wp:extent cx="5760720" cy="2770048"/>
            <wp:docPr id="11" name="Picture 11"/>
            <wp:cNvGraphicFramePr>
              <a:graphicFrameLocks noChangeAspect="1"/>
            </wp:cNvGraphicFramePr>
            <a:graphic>
              <a:graphicData uri="http://schemas.openxmlformats.org/drawingml/2006/picture">
                <pic:pic>
                  <pic:nvPicPr>
                    <pic:cNvPr id="0" name="13_error_by_city.png"/>
                    <pic:cNvPicPr/>
                  </pic:nvPicPr>
                  <pic:blipFill>
                    <a:blip r:embed="rId19"/>
                    <a:stretch>
                      <a:fillRect/>
                    </a:stretch>
                  </pic:blipFill>
                  <pic:spPr>
                    <a:xfrm>
                      <a:off x="0" y="0"/>
                      <a:ext cx="5760720" cy="2770048"/>
                    </a:xfrm>
                    <a:prstGeom prst="rect"/>
                  </pic:spPr>
                </pic:pic>
              </a:graphicData>
            </a:graphic>
          </wp:inline>
        </w:drawing>
      </w:r>
    </w:p>
    <w:p>
      <w:pPr>
        <w:pStyle w:val="Heading2"/>
      </w:pPr>
      <w:r>
        <w:t>6.3 Explainability</w:t>
      </w:r>
    </w:p>
    <w:p>
      <w:r>
        <w:t xml:space="preserve">The two most important features are </w:t>
      </w:r>
      <w:r>
        <w:rPr>
          <w:rFonts w:ascii="Consolas" w:hAnsi="Consolas"/>
          <w:sz w:val="19"/>
        </w:rPr>
        <w:t>proximity_index</w:t>
      </w:r>
      <w:r>
        <w:t xml:space="preserve"> (23% of total gain) and </w:t>
      </w:r>
      <w:r>
        <w:rPr>
          <w:rFonts w:ascii="Consolas" w:hAnsi="Consolas"/>
          <w:sz w:val="19"/>
        </w:rPr>
        <w:t>attr_x_rest</w:t>
      </w:r>
      <w:r>
        <w:t xml:space="preserve"> (22%). Next come attraction index, city, room type, distance to metro, longitude, max guests and bedrooms. The SHAP plot shows the direction of each effect: central, well-connected locations, entire homes and more capacity all push the price up.</w:t>
      </w:r>
    </w:p>
    <w:p>
      <w:pPr>
        <w:jc w:val="center"/>
      </w:pPr>
      <w:r>
        <w:drawing>
          <wp:inline xmlns:a="http://schemas.openxmlformats.org/drawingml/2006/main" xmlns:pic="http://schemas.openxmlformats.org/drawingml/2006/picture">
            <wp:extent cx="5760720" cy="3863071"/>
            <wp:docPr id="12" name="Picture 12"/>
            <wp:cNvGraphicFramePr>
              <a:graphicFrameLocks noChangeAspect="1"/>
            </wp:cNvGraphicFramePr>
            <a:graphic>
              <a:graphicData uri="http://schemas.openxmlformats.org/drawingml/2006/picture">
                <pic:pic>
                  <pic:nvPicPr>
                    <pic:cNvPr id="0" name="11_feature_importance.png"/>
                    <pic:cNvPicPr/>
                  </pic:nvPicPr>
                  <pic:blipFill>
                    <a:blip r:embed="rId20"/>
                    <a:stretch>
                      <a:fillRect/>
                    </a:stretch>
                  </pic:blipFill>
                  <pic:spPr>
                    <a:xfrm>
                      <a:off x="0" y="0"/>
                      <a:ext cx="5760720" cy="3863071"/>
                    </a:xfrm>
                    <a:prstGeom prst="rect"/>
                  </pic:spPr>
                </pic:pic>
              </a:graphicData>
            </a:graphic>
          </wp:inline>
        </w:drawing>
      </w:r>
    </w:p>
    <w:p>
      <w:pPr>
        <w:jc w:val="center"/>
      </w:pPr>
      <w:r>
        <w:drawing>
          <wp:inline xmlns:a="http://schemas.openxmlformats.org/drawingml/2006/main" xmlns:pic="http://schemas.openxmlformats.org/drawingml/2006/picture">
            <wp:extent cx="5760720" cy="6429017"/>
            <wp:docPr id="13" name="Picture 13"/>
            <wp:cNvGraphicFramePr>
              <a:graphicFrameLocks noChangeAspect="1"/>
            </wp:cNvGraphicFramePr>
            <a:graphic>
              <a:graphicData uri="http://schemas.openxmlformats.org/drawingml/2006/picture">
                <pic:pic>
                  <pic:nvPicPr>
                    <pic:cNvPr id="0" name="12_shap_summary.png"/>
                    <pic:cNvPicPr/>
                  </pic:nvPicPr>
                  <pic:blipFill>
                    <a:blip r:embed="rId21"/>
                    <a:stretch>
                      <a:fillRect/>
                    </a:stretch>
                  </pic:blipFill>
                  <pic:spPr>
                    <a:xfrm>
                      <a:off x="0" y="0"/>
                      <a:ext cx="5760720" cy="6429017"/>
                    </a:xfrm>
                    <a:prstGeom prst="rect"/>
                  </pic:spPr>
                </pic:pic>
              </a:graphicData>
            </a:graphic>
          </wp:inline>
        </w:drawing>
      </w:r>
    </w:p>
    <w:p>
      <w:pPr>
        <w:pStyle w:val="Heading1"/>
      </w:pPr>
      <w:r>
        <w:t>7. The web application (PriceScope)</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r>
            <w:r>
              <w:rPr>
                <w:b/>
                <w:sz w:val="18"/>
              </w:rPr>
              <w:t>Page</w:t>
            </w:r>
          </w:p>
        </w:tc>
        <w:tc>
          <w:tcPr>
            <w:tcW w:type="dxa" w:w="4320"/>
          </w:tcPr>
          <w:p>
            <w:r>
              <w:rPr>
                <w:b/>
                <w:sz w:val="18"/>
              </w:rPr>
            </w:r>
            <w:r>
              <w:rPr>
                <w:b/>
                <w:sz w:val="18"/>
              </w:rPr>
              <w:t>What it does</w:t>
            </w:r>
          </w:p>
        </w:tc>
      </w:tr>
      <w:tr>
        <w:tc>
          <w:tcPr>
            <w:tcW w:type="dxa" w:w="4320"/>
          </w:tcPr>
          <w:p>
            <w:r>
              <w:rPr>
                <w:b w:val="0"/>
                <w:sz w:val="18"/>
              </w:rPr>
            </w:r>
            <w:r>
              <w:rPr>
                <w:b/>
                <w:sz w:val="18"/>
              </w:rPr>
              <w:t>Dashboard</w:t>
            </w:r>
          </w:p>
        </w:tc>
        <w:tc>
          <w:tcPr>
            <w:tcW w:type="dxa" w:w="4320"/>
          </w:tcPr>
          <w:p>
            <w:r>
              <w:rPr>
                <w:b w:val="0"/>
                <w:sz w:val="18"/>
              </w:rPr>
            </w:r>
            <w:r>
              <w:rPr>
                <w:b w:val="0"/>
                <w:sz w:val="18"/>
              </w:rPr>
              <w:t>KPI cards, a map of Europe with a price bubble per city, charts of price by city, room type, distance to centre and capacity, and a city scorecard</w:t>
            </w:r>
          </w:p>
        </w:tc>
      </w:tr>
      <w:tr>
        <w:tc>
          <w:tcPr>
            <w:tcW w:type="dxa" w:w="4320"/>
          </w:tcPr>
          <w:p>
            <w:r>
              <w:rPr>
                <w:b w:val="0"/>
                <w:sz w:val="18"/>
              </w:rPr>
            </w:r>
            <w:r>
              <w:rPr>
                <w:b/>
                <w:sz w:val="18"/>
              </w:rPr>
              <w:t>Map Explorer</w:t>
            </w:r>
          </w:p>
        </w:tc>
        <w:tc>
          <w:tcPr>
            <w:tcW w:type="dxa" w:w="4320"/>
          </w:tcPr>
          <w:p>
            <w:r>
              <w:rPr>
                <w:b w:val="0"/>
                <w:sz w:val="18"/>
              </w:rPr>
            </w:r>
            <w:r>
              <w:rPr>
                <w:b w:val="0"/>
                <w:sz w:val="18"/>
              </w:rPr>
              <w:t>every listing in a city on an interactive Leaflet map, coloured by price quintile. Switch between point, price-heatmap and density layers; filter by room type, weekday/weekend, maximum price, guests and superhost</w:t>
            </w:r>
          </w:p>
        </w:tc>
      </w:tr>
      <w:tr>
        <w:tc>
          <w:tcPr>
            <w:tcW w:type="dxa" w:w="4320"/>
          </w:tcPr>
          <w:p>
            <w:r>
              <w:rPr>
                <w:b w:val="0"/>
                <w:sz w:val="18"/>
              </w:rPr>
            </w:r>
            <w:r>
              <w:rPr>
                <w:b/>
                <w:sz w:val="18"/>
              </w:rPr>
              <w:t>Price Predictor</w:t>
            </w:r>
          </w:p>
        </w:tc>
        <w:tc>
          <w:tcPr>
            <w:tcW w:type="dxa" w:w="4320"/>
          </w:tcPr>
          <w:p>
            <w:r>
              <w:rPr>
                <w:b w:val="0"/>
                <w:sz w:val="18"/>
              </w:rPr>
            </w:r>
            <w:r>
              <w:rPr>
                <w:b w:val="0"/>
                <w:sz w:val="18"/>
              </w:rPr>
              <w:t>pick a city, click or drag a pin, describe the listing and get an instant estimate. Shows the 2-night price, per-night price, an 80% prediction interval, comparison with the city and neighbourhood medians, a percentile rank, SHAP price drivers, the auto-derived location profile, the individual model predictions and nearby comparable listings shown on the map</w:t>
            </w:r>
          </w:p>
        </w:tc>
      </w:tr>
      <w:tr>
        <w:tc>
          <w:tcPr>
            <w:tcW w:type="dxa" w:w="4320"/>
          </w:tcPr>
          <w:p>
            <w:r>
              <w:rPr>
                <w:b w:val="0"/>
                <w:sz w:val="18"/>
              </w:rPr>
            </w:r>
            <w:r>
              <w:rPr>
                <w:b/>
                <w:sz w:val="18"/>
              </w:rPr>
              <w:t>Model Performance</w:t>
            </w:r>
          </w:p>
        </w:tc>
        <w:tc>
          <w:tcPr>
            <w:tcW w:type="dxa" w:w="4320"/>
          </w:tcPr>
          <w:p>
            <w:r>
              <w:rPr>
                <w:b w:val="0"/>
                <w:sz w:val="18"/>
              </w:rPr>
            </w:r>
            <w:r>
              <w:rPr>
                <w:b w:val="0"/>
                <w:sz w:val="18"/>
              </w:rPr>
              <w:t>leaderboard, feature importance, accuracy per city, actual-vs-predicted and SHAP plots</w:t>
            </w:r>
          </w:p>
        </w:tc>
      </w:tr>
      <w:tr>
        <w:tc>
          <w:tcPr>
            <w:tcW w:type="dxa" w:w="4320"/>
          </w:tcPr>
          <w:p>
            <w:r>
              <w:rPr>
                <w:b w:val="0"/>
                <w:sz w:val="18"/>
              </w:rPr>
            </w:r>
            <w:r>
              <w:rPr>
                <w:b/>
                <w:sz w:val="18"/>
              </w:rPr>
              <w:t>Project Report</w:t>
            </w:r>
          </w:p>
        </w:tc>
        <w:tc>
          <w:tcPr>
            <w:tcW w:type="dxa" w:w="4320"/>
          </w:tcPr>
          <w:p>
            <w:r>
              <w:rPr>
                <w:b w:val="0"/>
                <w:sz w:val="18"/>
              </w:rPr>
            </w:r>
            <w:r>
              <w:rPr>
                <w:b w:val="0"/>
                <w:sz w:val="18"/>
              </w:rPr>
              <w:t>this document, rendered inside the app</w:t>
            </w:r>
          </w:p>
        </w:tc>
      </w:tr>
    </w:tbl>
    <w:p/>
    <w:p>
      <w:r>
        <w:rPr>
          <w:b/>
        </w:rPr>
        <w:t>How a prediction works:</w:t>
      </w:r>
      <w:r>
        <w:t xml:space="preserve"> a host knows the address of their listing, not its "attraction index". When a pin is dropped, the app finds the 25 nearest real listings in that city and takes a distance-weighted average of their metro distance, attraction index, restaurant index and proximity index. Distance to the centre is computed exactly, using a city centre that the app estimates from the data. The city-level economic indicators are filled in automatically. Advanced users can override any location value.</w:t>
      </w:r>
    </w:p>
    <w:p>
      <w:r>
        <w:rPr>
          <w:b/>
        </w:rPr>
        <w:t>Prediction interval:</w:t>
      </w:r>
      <w:r>
        <w:t xml:space="preserve"> the 10th–90th percentile of the ensemble's residuals on the test set, computed separately for each city.</w:t>
      </w:r>
    </w:p>
    <w:p>
      <w:r>
        <w:rPr>
          <w:b/>
        </w:rPr>
        <w:t>REST API:</w:t>
      </w:r>
      <w:r>
        <w:t xml:space="preserve"> </w:t>
      </w:r>
      <w:r>
        <w:rPr>
          <w:rFonts w:ascii="Consolas" w:hAnsi="Consolas"/>
          <w:sz w:val="19"/>
        </w:rPr>
        <w:t>POST /api/predict</w:t>
      </w:r>
      <w:r>
        <w:t xml:space="preserve"> (JSON in, prediction out), </w:t>
      </w:r>
      <w:r>
        <w:rPr>
          <w:rFonts w:ascii="Consolas" w:hAnsi="Consolas"/>
          <w:sz w:val="19"/>
        </w:rPr>
        <w:t>GET /api/listings/&lt;city&gt;</w:t>
      </w:r>
      <w:r>
        <w:t xml:space="preserve">, </w:t>
      </w:r>
      <w:r>
        <w:rPr>
          <w:rFonts w:ascii="Consolas" w:hAnsi="Consolas"/>
          <w:sz w:val="19"/>
        </w:rPr>
        <w:t>GET /api/health</w:t>
      </w:r>
      <w:r>
        <w:t>.</w:t>
      </w:r>
    </w:p>
    <w:p>
      <w:pPr>
        <w:pStyle w:val="Heading1"/>
      </w:pPr>
      <w:r>
        <w:t>8. Limitations and next steps</w:t>
      </w:r>
    </w:p>
    <w:p>
      <w:pPr>
        <w:pStyle w:val="ListBullet"/>
      </w:pPr>
      <w:r>
        <w:t>The coordinates in the source data are rounded to 0.01° (about 1 km), so fine-grained location relies on the distance and index columns.</w:t>
      </w:r>
    </w:p>
    <w:p>
      <w:pPr>
        <w:pStyle w:val="ListBullet"/>
      </w:pPr>
      <w:r>
        <w:t>There are no listing photos, size, amenities, booking dates or seasonality. Adding them is the most promising way to improve accuracy.</w:t>
      </w:r>
    </w:p>
    <w:p>
      <w:pPr>
        <w:pStyle w:val="ListBullet"/>
      </w:pPr>
      <w:r>
        <w:t>The data is a snapshot from a single period. Prices should be re-validated before the model is used for live pricing.</w:t>
      </w:r>
    </w:p>
    <w:p>
      <w:pPr>
        <w:pStyle w:val="ListBullet"/>
      </w:pPr>
      <w:r>
        <w:t>Possible extensions: quantile models trained directly for prediction intervals, hyper-parameter search with Optuna, text features from listing titles, and Docker deployment.</w:t>
      </w:r>
    </w:p>
    <w:p>
      <w:pPr>
        <w:pStyle w:val="Heading1"/>
      </w:pPr>
      <w:r>
        <w:t>9. How to run</w:t>
      </w:r>
    </w:p>
    <w:p>
      <w:r>
        <w:rPr>
          <w:rFonts w:ascii="Consolas" w:hAnsi="Consolas"/>
          <w:sz w:val="18"/>
        </w:rPr>
        <w:t>pip install -r requirements-ml.txt</w:t>
        <w:br/>
        <w:t>python run_pipeline.py      # cleaning -&gt; EDA -&gt; training (about 7 min)</w:t>
        <w:br/>
        <w:t>python app.py               # open http://127.0.0.1:5000</w:t>
      </w:r>
    </w:p>
    <w:p>
      <w:r>
        <w:rPr>
          <w:b/>
        </w:rPr>
        <w:t>Live deployment (Vercel):</w:t>
      </w:r>
      <w:r>
        <w:t xml:space="preserve"> the serverless version installs only Flask, numpy, pandas and markdown. It serves the LightGBM model through a numpy-only export of its trees (</w:t>
      </w:r>
      <w:r>
        <w:rPr>
          <w:rFonts w:ascii="Consolas" w:hAnsi="Consolas"/>
          <w:sz w:val="19"/>
        </w:rPr>
        <w:t>models/lgbm_lite.npz</w:t>
      </w:r>
      <w:r>
        <w:t>), which gives identical predictions to LightGBM (R² 0.854 vs 0.857 for the ensemble) and keeps the bundle well under Vercel's size limit.</w:t>
      </w:r>
    </w:p>
    <w:p>
      <w:r>
        <w:rPr>
          <w:b/>
        </w:rPr>
        <w:t>Project structure</w:t>
      </w:r>
    </w:p>
    <w:p>
      <w:r>
        <w:rPr>
          <w:rFonts w:ascii="Consolas" w:hAnsi="Consolas"/>
          <w:sz w:val="18"/>
        </w:rPr>
        <w:t>Cleaned_data.csv            raw input</w:t>
        <w:br/>
        <w:t>src/config.py               paths and constants</w:t>
        <w:br/>
        <w:t>src/clean.py                step 1: cleaning and validation</w:t>
        <w:br/>
        <w:t>src/eda.py                  step 2: EDA figures and dashboard data</w:t>
        <w:br/>
        <w:t>src/features.py             feature engineering</w:t>
        <w:br/>
        <w:t>src/train.py                step 3: training, evaluation, export</w:t>
        <w:br/>
        <w:t>src/predictor.py            inference service (location features, SHAP)</w:t>
        <w:br/>
        <w:t>app.py                      Flask web app and REST API</w:t>
        <w:br/>
        <w:t>templates/, static/         UI (HTML, CSS, JS, figures)</w:t>
        <w:br/>
        <w:t>models/                     model.joblib, metrics.json, eda.json</w:t>
        <w:br/>
        <w:t>reports/                    REPORT.md, REPORT.docx, cleaning_log.json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