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Calibri" w:hAnsi="Calibri"/>
          <w:b/>
          <w:color w:val="0D233A"/>
          <w:sz w:val="44"/>
        </w:rPr>
        <w:t>SightLine: Priority-Weighted Scene-Change Gating for Redundancy-Aware Assistive Vision-Language Models</w:t>
      </w:r>
    </w:p>
    <w:p>
      <w:pPr>
        <w:spacing w:before="0" w:after="80"/>
        <w:jc w:val="center"/>
      </w:pPr>
      <w:r>
        <w:rPr>
          <w:rFonts w:ascii="Calibri" w:hAnsi="Calibri"/>
          <w:b/>
          <w:color w:val="212121"/>
          <w:sz w:val="22"/>
        </w:rPr>
        <w:t>Lovnish Verma, Independent Researcher</w:t>
      </w:r>
    </w:p>
    <w:p>
      <w:pPr>
        <w:spacing w:before="0" w:after="360"/>
        <w:jc w:val="center"/>
      </w:pPr>
      <w:r>
        <w:rPr>
          <w:rFonts w:ascii="Calibri" w:hAnsi="Calibri"/>
          <w:i/>
          <w:color w:val="5A5A5A"/>
          <w:sz w:val="19"/>
        </w:rPr>
        <w:t>Correspondence: princelv84@gmail.com | Repository: https://github.com/lovnishverma/sightline</w:t>
      </w:r>
    </w:p>
    <w:p>
      <w:pPr>
        <w:spacing w:before="120" w:after="240" w:line="276" w:lineRule="auto"/>
        <w:ind w:left="576" w:right="576"/>
      </w:pPr>
      <w:r>
        <w:rPr>
          <w:rFonts w:ascii="Calibri" w:hAnsi="Calibri"/>
          <w:b/>
          <w:color w:val="0D233A"/>
          <w:sz w:val="19"/>
        </w:rPr>
        <w:t xml:space="preserve">Abstract— </w:t>
      </w:r>
      <w:r>
        <w:rPr>
          <w:rFonts w:ascii="Calibri" w:hAnsi="Calibri"/>
          <w:i/>
          <w:color w:val="323232"/>
          <w:sz w:val="19"/>
        </w:rPr>
        <w:t>Continuous assistive perception systems powered by modern Vision-Language Models (VLMs) enable rich environmental understanding for blind and low-vision individuals. However, unconstrained frame-by-frame inference incurs prohibitive computational costs, thermal throttling on wearable hardware, and cognitive auditory fatigue from repetitive narrations. Conversely, naive deduplication mechanisms—such as exact difference-hashing (dHash) equality—fail under camera sensor noise and motion jitter, triggering unneeded invocations on stationary scenes. In this paper, we present SightLine, a priority-weighted, redundancy-aware invocation gating framework designed for continuous assistive perception. SightLine formalizes an asymmetric reference-frame decision policy that causally couples normalized visual Hamming distance, appearance-based color distribution dissimilarity, grayscale motion magnitude, and persistent hazard detection states into a composite change score. To address task-specific sensitivities, we formulate task-conditioned parameter profiles that dynamically reallocate feature weights between ambulatory navigation and fine-grained document reading. Evaluated across 10 deterministic random seeds on a standardized synthetic benchmark suite (5 scenarios, 200 frames each), the proposed gate achieves 99.5% invocation suppression under stationary Gaussian sensor noise (filtering 199/200 redundant frames), 64.5% suppression during smooth ambulatory drift, and restores 83.5% sensitivity during text inspection via task conditioning. Computational benchmarking confirms that the entire gating decision executes in 1.786 ms per frame (&lt;0.5% of VLM forward pass latency). We explicitly delineate the boundary between our standalone algorithmic validation and production deployment, formalizing a structured roadmap for embedded hardware latency benchmarking and institutional ethics-approved participant studies.</w:t>
      </w:r>
    </w:p>
    <w:p>
      <w:pPr>
        <w:spacing w:before="0" w:after="320"/>
        <w:ind w:left="576" w:right="576"/>
      </w:pPr>
      <w:r>
        <w:rPr>
          <w:rFonts w:ascii="Calibri" w:hAnsi="Calibri"/>
          <w:b/>
          <w:color w:val="0D233A"/>
          <w:sz w:val="19"/>
        </w:rPr>
        <w:t xml:space="preserve">Index Terms— </w:t>
      </w:r>
      <w:r>
        <w:rPr>
          <w:rFonts w:ascii="Calibri" w:hAnsi="Calibri"/>
          <w:color w:val="323232"/>
          <w:sz w:val="19"/>
        </w:rPr>
        <w:t>Vision-Language Models, Assistive Technology, Scene-Change Gating, Perceptual Hashing, Redundancy Suppression, Multimodal Perception, Edge AI</w:t>
      </w:r>
    </w:p>
    <w:p>
      <w:pPr>
        <w:keepNext/>
        <w:spacing w:before="320" w:after="120"/>
      </w:pPr>
      <w:r>
        <w:rPr>
          <w:rFonts w:ascii="Calibri" w:hAnsi="Calibri"/>
          <w:b/>
          <w:color w:val="0D233A"/>
          <w:sz w:val="27"/>
        </w:rPr>
        <w:t>1. Introduction</w:t>
      </w:r>
    </w:p>
    <w:p>
      <w:pPr>
        <w:spacing w:before="0" w:after="120" w:line="276" w:lineRule="auto"/>
      </w:pPr>
      <w:r>
        <w:rPr>
          <w:rFonts w:ascii="Calibri" w:hAnsi="Calibri"/>
          <w:color w:val="282828"/>
          <w:sz w:val="20"/>
        </w:rPr>
        <w:t>Wearable assistive vision technologies hold immense promise for enhancing the autonomy and safety of blind and low-vision individuals. Recent breakthroughs in compact Vision-Language Models (VLMs), such as Microsoft Florence-2, enable unified captioning, visual question answering (VQA), and optical character recognition (OCR) within a single multimodal architecture. However, deploying continuous VLM inference over streaming wearable video introduces fundamental computational and human-computer interaction challenges. Continuous inference on 30 frames-per-second video streams rapidly drains wearable device batteries, induces severe thermal throttling on edge accelerators, and overwhelms users with redundant, overlapping auditory narrations.</w:t>
      </w:r>
    </w:p>
    <w:p>
      <w:pPr>
        <w:spacing w:before="0" w:after="120" w:line="276" w:lineRule="auto"/>
      </w:pPr>
      <w:r>
        <w:rPr>
          <w:rFonts w:ascii="Calibri" w:hAnsi="Calibri"/>
          <w:color w:val="282828"/>
          <w:sz w:val="20"/>
        </w:rPr>
        <w:t>To mitigate these inefficiencies, assistive architectures require an intelligent, low-latency invocation policy that answers a fundamental question: Should the expensive vision-language model execute on the current frame? Existing approaches generally rely on either periodic time-based sampling or simplistic duplicate detection. Periodic sampling introduces an inevitable trade-off between battery life and hazard latency, whereas exact perceptual hash matching is exceptionally fragile: minor sensor noise or camera micro-jitter flips individual hash bits, rendering exact equality checks completely ineffective.</w:t>
      </w:r>
    </w:p>
    <w:p>
      <w:pPr>
        <w:spacing w:before="0" w:after="120" w:line="276" w:lineRule="auto"/>
      </w:pPr>
      <w:r>
        <w:rPr>
          <w:rFonts w:ascii="Calibri" w:hAnsi="Calibri"/>
          <w:color w:val="282828"/>
          <w:sz w:val="20"/>
        </w:rPr>
        <w:t>In this work, we propose SightLine, an architecture featuring priority-weighted scene-change gating for continuous assistive VLMs. SightLine decouples invocation control (deciding whether to execute inference) from content prioritization (ranking detected entities for narration). Our central contributions are:</w:t>
      </w:r>
    </w:p>
    <w:p>
      <w:pPr>
        <w:spacing w:before="0" w:after="120" w:line="276" w:lineRule="auto"/>
      </w:pPr>
      <w:r>
        <w:rPr>
          <w:rFonts w:ascii="Calibri" w:hAnsi="Calibri"/>
          <w:b/>
          <w:color w:val="212121"/>
          <w:sz w:val="20"/>
        </w:rPr>
        <w:t xml:space="preserve">• </w:t>
      </w:r>
      <w:r>
        <w:rPr>
          <w:rFonts w:ascii="Calibri" w:hAnsi="Calibri"/>
          <w:color w:val="282828"/>
          <w:sz w:val="20"/>
        </w:rPr>
        <w:t>1. Asymmetric Reference-Frame Gating Policy: We formalize a multi-factor change scoring model that evaluates visual Hamming distance, appearance-based color distribution dissimilarity, grayscale motion proxies, and causally persisted hazard states against the most recently processed frame (I_{t_p}) rather than the immediately preceding frame (I_{t-1}), preventing undetected gradual drift.</w:t>
      </w:r>
    </w:p>
    <w:p>
      <w:pPr>
        <w:spacing w:before="0" w:after="120" w:line="276" w:lineRule="auto"/>
      </w:pPr>
      <w:r>
        <w:rPr>
          <w:rFonts w:ascii="Calibri" w:hAnsi="Calibri"/>
          <w:b/>
          <w:color w:val="212121"/>
          <w:sz w:val="20"/>
        </w:rPr>
        <w:t xml:space="preserve">• </w:t>
      </w:r>
      <w:r>
        <w:rPr>
          <w:rFonts w:ascii="Calibri" w:hAnsi="Calibri"/>
          <w:color w:val="282828"/>
          <w:sz w:val="20"/>
        </w:rPr>
        <w:t>2. Causally Decoupled Hazard State Persistence: We integrate historical hazard detection signals (z_t) into the low-level gating loop, maintaining heightened sensitivity following hazard onset without requiring unconstrained upstream model executions.</w:t>
      </w:r>
    </w:p>
    <w:p>
      <w:pPr>
        <w:spacing w:before="0" w:after="120" w:line="276" w:lineRule="auto"/>
      </w:pPr>
      <w:r>
        <w:rPr>
          <w:rFonts w:ascii="Calibri" w:hAnsi="Calibri"/>
          <w:b/>
          <w:color w:val="212121"/>
          <w:sz w:val="20"/>
        </w:rPr>
        <w:t xml:space="preserve">• </w:t>
      </w:r>
      <w:r>
        <w:rPr>
          <w:rFonts w:ascii="Calibri" w:hAnsi="Calibri"/>
          <w:color w:val="282828"/>
          <w:sz w:val="20"/>
        </w:rPr>
        <w:t>3. Task-Conditioned Gating Parameter Profiles: We introduce adaptive parameter profiles theta_m = (alpha_m, beta_m, gamma_m, delta_m, tau_m) conditioned on user intent, resolving the fundamental failure mode where navigation-tuned gates suppress fine-grained document modifications.</w:t>
      </w:r>
    </w:p>
    <w:p>
      <w:pPr>
        <w:spacing w:before="0" w:after="120" w:line="276" w:lineRule="auto"/>
      </w:pPr>
      <w:r>
        <w:rPr>
          <w:rFonts w:ascii="Calibri" w:hAnsi="Calibri"/>
          <w:b/>
          <w:color w:val="212121"/>
          <w:sz w:val="20"/>
        </w:rPr>
        <w:t xml:space="preserve">• </w:t>
      </w:r>
      <w:r>
        <w:rPr>
          <w:rFonts w:ascii="Calibri" w:hAnsi="Calibri"/>
          <w:color w:val="282828"/>
          <w:sz w:val="20"/>
        </w:rPr>
        <w:t>4. Reproducible Algorithmic Benchmark &amp; Open Source Implementation: We provide a fully deterministic 10-seed evaluation suite characterizing redundancy suppression, event recall, and computational latency, alongside complete standalone reference code in src/vision/priority_gate.py.</w:t>
      </w:r>
    </w:p>
    <w:p>
      <w:pPr>
        <w:keepNext/>
        <w:spacing w:before="320" w:after="120"/>
      </w:pPr>
      <w:r>
        <w:rPr>
          <w:rFonts w:ascii="Calibri" w:hAnsi="Calibri"/>
          <w:b/>
          <w:color w:val="0D233A"/>
          <w:sz w:val="27"/>
        </w:rPr>
        <w:t>2. Related Work</w:t>
      </w:r>
    </w:p>
    <w:p>
      <w:pPr>
        <w:spacing w:before="0" w:after="120" w:line="276" w:lineRule="auto"/>
      </w:pPr>
      <w:r>
        <w:rPr>
          <w:rFonts w:ascii="Calibri" w:hAnsi="Calibri"/>
          <w:color w:val="282828"/>
          <w:sz w:val="20"/>
        </w:rPr>
        <w:t>2.1 Assistive Vision-Language Models: The integration of deep vision models into wearable assistive devices has evolved from specialized task-specific detectors (e.g., YOLO object detectors, standalone OCR engines) to unified foundation models. Microsoft Florence-2 exemplifies this paradigm by unifying dense spatial grounding, captioning, and OCR via sequence-to-sequence prompt tokens. However, foundation VLMs require substantial compute (typically 300–600 ms on consumer GPUs and &gt;1.5 s on edge CPUs), necessitating intelligent front-end invocation filtering.</w:t>
      </w:r>
    </w:p>
    <w:p>
      <w:pPr>
        <w:spacing w:before="0" w:after="120" w:line="276" w:lineRule="auto"/>
      </w:pPr>
      <w:r>
        <w:rPr>
          <w:rFonts w:ascii="Calibri" w:hAnsi="Calibri"/>
          <w:color w:val="282828"/>
          <w:sz w:val="20"/>
        </w:rPr>
        <w:t>2.2 Temporal Redundancy Reduction and Gating: Frame differencing and adaptive sampling have long been investigated in video compression and surveillance. Traditional techniques rely on background subtraction, optical flow, or perceptual hashing (pHash, dHash). While perceptual hashes provide compact structural signatures, standard deployments rely on binary equality or rigid global distance thresholds. Such mechanisms fail in assistive settings because they treat all visual changes equally, ignoring the critical distinction between benign ambulatory camera drift and sudden safety-critical hazards.</w:t>
      </w:r>
    </w:p>
    <w:p>
      <w:pPr>
        <w:spacing w:before="0" w:after="120" w:line="276" w:lineRule="auto"/>
      </w:pPr>
      <w:r>
        <w:rPr>
          <w:rFonts w:ascii="Calibri" w:hAnsi="Calibri"/>
          <w:color w:val="282828"/>
          <w:sz w:val="20"/>
        </w:rPr>
        <w:t>2.3 Event-Triggered Multimodal Systems: Event-triggered perception systems dynamically modulate processing rates based on contextual cues. Prior work has explored IMU-triggered capture, gaze-directed sampling, and acoustic scene analysis. SightLine advances this domain by formulating a multi-modal fusion gate that operates directly on the visual stream and causally integrates prior semantic hazard history without requiring auxiliary physical sensors.</w:t>
      </w:r>
    </w:p>
    <w:p>
      <w:pPr>
        <w:keepNext/>
        <w:spacing w:before="320" w:after="120"/>
      </w:pPr>
      <w:r>
        <w:rPr>
          <w:rFonts w:ascii="Calibri" w:hAnsi="Calibri"/>
          <w:b/>
          <w:color w:val="0D233A"/>
          <w:sz w:val="27"/>
        </w:rPr>
        <w:t>3. Problem Formulation</w:t>
      </w:r>
    </w:p>
    <w:p>
      <w:pPr>
        <w:spacing w:before="0" w:after="120" w:line="276" w:lineRule="auto"/>
      </w:pPr>
      <w:r>
        <w:rPr>
          <w:rFonts w:ascii="Calibri" w:hAnsi="Calibri"/>
          <w:color w:val="282828"/>
          <w:sz w:val="20"/>
        </w:rPr>
        <w:t>Let I = {I_1, I_2, ..., I_T} denote a continuous sequence of video frames captured by a wearable camera at discrete timesteps t in {1, ..., T}, where I_t in R^{H x W x 3}. Let VLM(I_t, p_t) denote the vision-language model executing task prompt p_t (e.g., captioning, OCR, hazard detection). Let t_p denote the temporal index of the most recently processed frame (the last frame on which the VLM was invoked). The system objective is to find a decision policy D(I_t, I_{t_p}, z_t) in {0, 1} that minimizes the total invocation count N_inv = sum_{t=1}^T D_t while ensuring that safety-critical events and meaningful user-requested changes are detected with minimal latency.</w:t>
      </w:r>
    </w:p>
    <w:p>
      <w:pPr>
        <w:spacing w:before="240" w:after="80"/>
        <w:jc w:val="center"/>
      </w:pPr>
      <w:r>
        <w:drawing>
          <wp:inline xmlns:a="http://schemas.openxmlformats.org/drawingml/2006/main" xmlns:pic="http://schemas.openxmlformats.org/drawingml/2006/picture">
            <wp:extent cx="5486400" cy="2954215"/>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1"/>
                    <a:stretch>
                      <a:fillRect/>
                    </a:stretch>
                  </pic:blipFill>
                  <pic:spPr>
                    <a:xfrm>
                      <a:off x="0" y="0"/>
                      <a:ext cx="5486400" cy="2954215"/>
                    </a:xfrm>
                    <a:prstGeom prst="rect"/>
                  </pic:spPr>
                </pic:pic>
              </a:graphicData>
            </a:graphic>
          </wp:inline>
        </w:drawing>
      </w:r>
    </w:p>
    <w:p>
      <w:pPr>
        <w:spacing w:before="40" w:after="280" w:line="276" w:lineRule="auto"/>
        <w:ind w:left="576" w:right="576"/>
      </w:pPr>
      <w:r>
        <w:rPr>
          <w:rFonts w:ascii="Calibri" w:hAnsi="Calibri"/>
          <w:b/>
          <w:color w:val="0D233A"/>
          <w:sz w:val="17"/>
        </w:rPr>
        <w:t xml:space="preserve">Fig. 1. </w:t>
      </w:r>
      <w:r>
        <w:rPr>
          <w:rFonts w:ascii="Calibri" w:hAnsi="Calibri"/>
          <w:color w:val="3C3C3C"/>
          <w:sz w:val="17"/>
        </w:rPr>
        <w:t>SightLine system architecture. Continuous video frames pass through the low-latency Multi-Factor Scene Gate. When Change(t) &gt;= tau, Florence-2 executes inference, emits detections/captions, updates the temporal reference frame I_{t_p}, and feeds cached hazard state z_t back into the gating loop. Content Prioritization ranks detections before non-blocking audio generation.</w:t>
      </w:r>
    </w:p>
    <w:p>
      <w:pPr>
        <w:keepNext/>
        <w:spacing w:before="320" w:after="120"/>
      </w:pPr>
      <w:r>
        <w:rPr>
          <w:rFonts w:ascii="Calibri" w:hAnsi="Calibri"/>
          <w:b/>
          <w:color w:val="0D233A"/>
          <w:sz w:val="27"/>
        </w:rPr>
        <w:t>4. Proposed Priority-Weighted Invocation Framework</w:t>
      </w:r>
    </w:p>
    <w:p>
      <w:pPr>
        <w:spacing w:before="0" w:after="120" w:line="276" w:lineRule="auto"/>
      </w:pPr>
      <w:r>
        <w:rPr>
          <w:rFonts w:ascii="Calibri" w:hAnsi="Calibri"/>
          <w:color w:val="282828"/>
          <w:sz w:val="20"/>
        </w:rPr>
        <w:t>4.1 Multi-Factor Change Score: The composite change score Change(t) in [0, 1] fuses four distinct perceptual and semantic signals:</w:t>
      </w:r>
    </w:p>
    <w:tbl>
      <w:tblPr>
        <w:tblW w:type="auto" w:w="0"/>
        <w:jc w:val="center"/>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496"/>
            <w:tcMar>
              <w:top w:w="40" w:type="dxa"/>
              <w:bottom w:w="40" w:type="dxa"/>
              <w:left w:w="40" w:type="dxa"/>
              <w:right w:w="40" w:type="dxa"/>
            </w:tcMar>
          </w:tcPr>
          <w:p>
            <w:pPr>
              <w:spacing w:before="0" w:after="0"/>
            </w:pPr>
            <m:oMathPara>
              <m:oMath>
                <m:r>
                  <m:t>Change(t) = α · </m:t>
                </m:r>
                <m:sSub>
                  <m:e>
                    <m:r>
                      <m:t>S</m:t>
                    </m:r>
                  </m:e>
                  <m:sub>
                    <m:r>
                      <m:rPr>
                        <m:scr m:val="roman"/>
                        <m:sty m:val="p"/>
                      </m:rPr>
                      <m:t>visual</m:t>
                    </m:r>
                  </m:sub>
                </m:sSub>
                <m:r>
                  <m:t>(t) + β · </m:t>
                </m:r>
                <m:sSub>
                  <m:e>
                    <m:r>
                      <m:t>S</m:t>
                    </m:r>
                  </m:e>
                  <m:sub>
                    <m:r>
                      <m:rPr>
                        <m:scr m:val="roman"/>
                        <m:sty m:val="p"/>
                      </m:rPr>
                      <m:t>appearance</m:t>
                    </m:r>
                  </m:sub>
                </m:sSub>
                <m:r>
                  <m:t>(t) + γ · </m:t>
                </m:r>
                <m:sSub>
                  <m:e>
                    <m:r>
                      <m:t>S</m:t>
                    </m:r>
                  </m:e>
                  <m:sub>
                    <m:r>
                      <m:rPr>
                        <m:scr m:val="roman"/>
                        <m:sty m:val="p"/>
                      </m:rPr>
                      <m:t>motion</m:t>
                    </m:r>
                  </m:sub>
                </m:sSub>
                <m:r>
                  <m:t>(t) + δ · </m:t>
                </m:r>
                <m:sSub>
                  <m:e>
                    <m:r>
                      <m:t>S</m:t>
                    </m:r>
                  </m:e>
                  <m:sub>
                    <m:r>
                      <m:rPr>
                        <m:scr m:val="roman"/>
                        <m:sty m:val="p"/>
                      </m:rPr>
                      <m:t>hazard</m:t>
                    </m:r>
                  </m:sub>
                </m:sSub>
                <m:r>
                  <m:t>(t)</m:t>
                </m:r>
              </m:oMath>
            </m:oMathPara>
          </w:p>
        </w:tc>
        <w:tc>
          <w:tcPr>
            <w:tcW w:type="dxa" w:w="864"/>
            <w:tcMar>
              <w:top w:w="40" w:type="dxa"/>
              <w:bottom w:w="40" w:type="dxa"/>
              <w:left w:w="40" w:type="dxa"/>
              <w:right w:w="40" w:type="dxa"/>
            </w:tcMar>
          </w:tcPr>
          <w:p>
            <w:pPr>
              <w:spacing w:before="40" w:after="0"/>
              <w:jc w:val="right"/>
            </w:pPr>
            <w:r>
              <w:rPr>
                <w:rFonts w:ascii="Calibri" w:hAnsi="Calibri"/>
                <w:color w:val="646464"/>
                <w:sz w:val="19"/>
              </w:rPr>
              <w:t>(1)</w:t>
            </w:r>
          </w:p>
        </w:tc>
      </w:tr>
    </w:tbl>
    <w:p>
      <w:pPr>
        <w:spacing w:before="0" w:after="120" w:line="276" w:lineRule="auto"/>
      </w:pPr>
      <w:r>
        <w:rPr>
          <w:rFonts w:ascii="Calibri" w:hAnsi="Calibri"/>
          <w:color w:val="282828"/>
          <w:sz w:val="20"/>
        </w:rPr>
        <w:t>where alpha, beta, gamma, delta &gt;= 0 and alpha + beta + gamma + delta = 1.0. The individual components are defined as follows:</w:t>
      </w:r>
    </w:p>
    <w:p>
      <w:pPr>
        <w:spacing w:before="0" w:after="120" w:line="276" w:lineRule="auto"/>
      </w:pPr>
      <w:r>
        <w:rPr>
          <w:rFonts w:ascii="Calibri" w:hAnsi="Calibri"/>
          <w:color w:val="282828"/>
          <w:sz w:val="20"/>
        </w:rPr>
        <w:t>4.2 Perceptual Structural Change (S_visual): Difference hashing (dHash) computes binary horizontal intensity gradients on a downsampled 16x16 grayscale image. The normalized Hamming distance between the current frame's 256-bit hash H(I_t) and the reference hash H(I_{t_p}) is:</w:t>
      </w:r>
    </w:p>
    <w:tbl>
      <w:tblPr>
        <w:tblW w:type="auto" w:w="0"/>
        <w:jc w:val="center"/>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496"/>
            <w:tcMar>
              <w:top w:w="40" w:type="dxa"/>
              <w:bottom w:w="40" w:type="dxa"/>
              <w:left w:w="40" w:type="dxa"/>
              <w:right w:w="40" w:type="dxa"/>
            </w:tcMar>
          </w:tcPr>
          <w:p>
            <w:pPr>
              <w:spacing w:before="0" w:after="0"/>
            </w:pPr>
            <m:oMathPara>
              <m:oMath>
                <m:sSub>
                  <m:e>
                    <m:r>
                      <m:t>S</m:t>
                    </m:r>
                  </m:e>
                  <m:sub>
                    <m:r>
                      <m:rPr>
                        <m:scr m:val="roman"/>
                        <m:sty m:val="p"/>
                      </m:rPr>
                      <m:t>visual</m:t>
                    </m:r>
                  </m:sub>
                </m:sSub>
                <m:r>
                  <m:t>(t) = </m:t>
                </m:r>
                <m:f>
                  <m:num>
                    <m:r>
                      <m:t>1</m:t>
                    </m:r>
                  </m:num>
                  <m:den>
                    <m:r>
                      <m:t>B</m:t>
                    </m:r>
                  </m:den>
                </m:f>
                <m:nary>
                  <m:naryPr>
                    <m:chr m:val="∑"/>
                    <m:limLoc m:val="undOvr"/>
                  </m:naryPr>
                  <m:sub>
                    <m:r>
                      <m:t>k=1</m:t>
                    </m:r>
                  </m:sub>
                  <m:sup>
                    <m:r>
                      <m:t>B</m:t>
                    </m:r>
                  </m:sup>
                  <m:e>
                    <m:r>
                      <m:t>𝟙</m:t>
                    </m:r>
                    <m:d>
                      <m:e>
                        <m:sSub>
                          <m:e>
                            <m:r>
                              <m:t>H</m:t>
                            </m:r>
                          </m:e>
                          <m:sub>
                            <m:r>
                              <m:t>k</m:t>
                            </m:r>
                          </m:sub>
                        </m:sSub>
                        <m:r>
                          <m:t>(I</m:t>
                        </m:r>
                        <m:sSub>
                          <m:e/>
                          <m:sub>
                            <m:r>
                              <m:t>t</m:t>
                            </m:r>
                          </m:sub>
                        </m:sSub>
                        <m:r>
                          <m:t>) ≠ </m:t>
                        </m:r>
                        <m:sSub>
                          <m:e>
                            <m:r>
                              <m:t>H</m:t>
                            </m:r>
                          </m:e>
                          <m:sub>
                            <m:r>
                              <m:t>k</m:t>
                            </m:r>
                          </m:sub>
                        </m:sSub>
                        <m:r>
                          <m:t>(I</m:t>
                        </m:r>
                        <m:sSub>
                          <m:e/>
                          <m:sub>
                            <m:r>
                              <m:t>t</m:t>
                            </m:r>
                            <m:r>
                              <m:rPr>
                                <m:scr m:val="roman"/>
                                <m:sty m:val="p"/>
                              </m:rPr>
                              <m:t>p</m:t>
                            </m:r>
                          </m:sub>
                        </m:sSub>
                        <m:r>
                          <m:t>)</m:t>
                        </m:r>
                      </m:e>
                    </m:d>
                  </m:e>
                </m:nary>
              </m:oMath>
            </m:oMathPara>
          </w:p>
        </w:tc>
        <w:tc>
          <w:tcPr>
            <w:tcW w:type="dxa" w:w="864"/>
            <w:tcMar>
              <w:top w:w="40" w:type="dxa"/>
              <w:bottom w:w="40" w:type="dxa"/>
              <w:left w:w="40" w:type="dxa"/>
              <w:right w:w="40" w:type="dxa"/>
            </w:tcMar>
          </w:tcPr>
          <w:p>
            <w:pPr>
              <w:spacing w:before="40" w:after="0"/>
              <w:jc w:val="right"/>
            </w:pPr>
            <w:r>
              <w:rPr>
                <w:rFonts w:ascii="Calibri" w:hAnsi="Calibri"/>
                <w:color w:val="646464"/>
                <w:sz w:val="19"/>
              </w:rPr>
              <w:t>(2)</w:t>
            </w:r>
          </w:p>
        </w:tc>
      </w:tr>
    </w:tbl>
    <w:p>
      <w:pPr>
        <w:spacing w:before="0" w:after="120" w:line="276" w:lineRule="auto"/>
      </w:pPr>
      <w:r>
        <w:rPr>
          <w:rFonts w:ascii="Calibri" w:hAnsi="Calibri"/>
          <w:color w:val="282828"/>
          <w:sz w:val="20"/>
        </w:rPr>
        <w:t>4.3 Appearance / Semantic Proxy Dissimilarity (S_appearance): In our standalone benchmark evaluation, we instantiate S_appearance via a 48-dimensional concatenated L2-normalized RGB color histogram proxy e_t in R^{48}. The cosine dissimilarity against the reference embedding is:</w:t>
      </w:r>
    </w:p>
    <w:tbl>
      <w:tblPr>
        <w:tblW w:type="auto" w:w="0"/>
        <w:jc w:val="center"/>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496"/>
            <w:tcMar>
              <w:top w:w="40" w:type="dxa"/>
              <w:bottom w:w="40" w:type="dxa"/>
              <w:left w:w="40" w:type="dxa"/>
              <w:right w:w="40" w:type="dxa"/>
            </w:tcMar>
          </w:tcPr>
          <w:p>
            <w:pPr>
              <w:spacing w:before="0" w:after="0"/>
            </w:pPr>
            <m:oMathPara>
              <m:oMath>
                <m:sSub>
                  <m:e>
                    <m:r>
                      <m:t>S</m:t>
                    </m:r>
                  </m:e>
                  <m:sub>
                    <m:r>
                      <m:rPr>
                        <m:scr m:val="roman"/>
                        <m:sty m:val="p"/>
                      </m:rPr>
                      <m:t>appearance</m:t>
                    </m:r>
                  </m:sub>
                </m:sSub>
                <m:r>
                  <m:t>(t) = 1.0 - max</m:t>
                </m:r>
                <m:d>
                  <m:e>
                    <m:r>
                      <m:t>0, </m:t>
                    </m:r>
                    <m:f>
                      <m:num>
                        <m:sSub>
                          <m:e>
                            <m:r>
                              <m:t>e</m:t>
                            </m:r>
                          </m:e>
                          <m:sub>
                            <m:r>
                              <m:t>t</m:t>
                            </m:r>
                          </m:sub>
                        </m:sSub>
                        <m:r>
                          <m:t> · </m:t>
                        </m:r>
                        <m:sSub>
                          <m:e>
                            <m:r>
                              <m:t>e</m:t>
                            </m:r>
                          </m:e>
                          <m:sub>
                            <m:r>
                              <m:t>t</m:t>
                            </m:r>
                            <m:r>
                              <m:rPr>
                                <m:scr m:val="roman"/>
                                <m:sty m:val="p"/>
                              </m:rPr>
                              <m:t>p</m:t>
                            </m:r>
                          </m:sub>
                        </m:sSub>
                      </m:num>
                      <m:den>
                        <m:r>
                          <m:t>‖</m:t>
                        </m:r>
                        <m:sSub>
                          <m:e>
                            <m:r>
                              <m:t>e</m:t>
                            </m:r>
                          </m:e>
                          <m:sub>
                            <m:r>
                              <m:t>t</m:t>
                            </m:r>
                          </m:sub>
                        </m:sSub>
                        <m:r>
                          <m:t>‖</m:t>
                        </m:r>
                        <m:r>
                          <m:t> ‖</m:t>
                        </m:r>
                        <m:sSub>
                          <m:e>
                            <m:r>
                              <m:t>e</m:t>
                            </m:r>
                          </m:e>
                          <m:sub>
                            <m:r>
                              <m:t>t</m:t>
                            </m:r>
                            <m:r>
                              <m:rPr>
                                <m:scr m:val="roman"/>
                                <m:sty m:val="p"/>
                              </m:rPr>
                              <m:t>p</m:t>
                            </m:r>
                          </m:sub>
                        </m:sSub>
                        <m:r>
                          <m:t>‖</m:t>
                        </m:r>
                      </m:den>
                    </m:f>
                  </m:e>
                </m:d>
              </m:oMath>
            </m:oMathPara>
          </w:p>
        </w:tc>
        <w:tc>
          <w:tcPr>
            <w:tcW w:type="dxa" w:w="864"/>
            <w:tcMar>
              <w:top w:w="40" w:type="dxa"/>
              <w:bottom w:w="40" w:type="dxa"/>
              <w:left w:w="40" w:type="dxa"/>
              <w:right w:w="40" w:type="dxa"/>
            </w:tcMar>
          </w:tcPr>
          <w:p>
            <w:pPr>
              <w:spacing w:before="40" w:after="0"/>
              <w:jc w:val="right"/>
            </w:pPr>
            <w:r>
              <w:rPr>
                <w:rFonts w:ascii="Calibri" w:hAnsi="Calibri"/>
                <w:color w:val="646464"/>
                <w:sz w:val="19"/>
              </w:rPr>
              <w:t>(3)</w:t>
            </w:r>
          </w:p>
        </w:tc>
      </w:tr>
    </w:tbl>
    <w:p>
      <w:pPr>
        <w:spacing w:before="0" w:after="120" w:line="276" w:lineRule="auto"/>
      </w:pPr>
      <w:r>
        <w:rPr>
          <w:rFonts w:ascii="Calibri" w:hAnsi="Calibri"/>
          <w:color w:val="282828"/>
          <w:sz w:val="20"/>
        </w:rPr>
        <w:t>4.4 Motion Magnitude Proxy (S_motion): To capture transient motion without optical flow overhead, frames are downsampled to a 32x32 grayscale representation G(I). The motion term computes the mean absolute pixel displacement:</w:t>
      </w:r>
    </w:p>
    <w:tbl>
      <w:tblPr>
        <w:tblW w:type="auto" w:w="0"/>
        <w:jc w:val="center"/>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496"/>
            <w:tcMar>
              <w:top w:w="40" w:type="dxa"/>
              <w:bottom w:w="40" w:type="dxa"/>
              <w:left w:w="40" w:type="dxa"/>
              <w:right w:w="40" w:type="dxa"/>
            </w:tcMar>
          </w:tcPr>
          <w:p>
            <w:pPr>
              <w:spacing w:before="0" w:after="0"/>
            </w:pPr>
            <m:oMathPara>
              <m:oMath>
                <m:sSub>
                  <m:e>
                    <m:r>
                      <m:t>S</m:t>
                    </m:r>
                  </m:e>
                  <m:sub>
                    <m:r>
                      <m:rPr>
                        <m:scr m:val="roman"/>
                        <m:sty m:val="p"/>
                      </m:rPr>
                      <m:t>motion</m:t>
                    </m:r>
                  </m:sub>
                </m:sSub>
                <m:r>
                  <m:t>(t) = </m:t>
                </m:r>
                <m:f>
                  <m:num>
                    <m:r>
                      <m:t>1</m:t>
                    </m:r>
                  </m:num>
                  <m:den>
                    <m:r>
                      <m:t>h · w</m:t>
                    </m:r>
                  </m:den>
                </m:f>
                <m:nary>
                  <m:naryPr>
                    <m:chr m:val="∑"/>
                    <m:limLoc m:val="undOvr"/>
                  </m:naryPr>
                  <m:sub>
                    <m:r>
                      <m:t>x,y</m:t>
                    </m:r>
                  </m:sub>
                  <m:sup/>
                  <m:e>
                    <m:r>
                      <m:t>|G(I</m:t>
                    </m:r>
                    <m:sSub>
                      <m:e/>
                      <m:sub>
                        <m:r>
                          <m:t>t</m:t>
                        </m:r>
                      </m:sub>
                    </m:sSub>
                    <m:r>
                      <m:t>)</m:t>
                    </m:r>
                    <m:sSub>
                      <m:e/>
                      <m:sub>
                        <m:r>
                          <m:t>x,y</m:t>
                        </m:r>
                      </m:sub>
                    </m:sSub>
                    <m:r>
                      <m:t> - G(I</m:t>
                    </m:r>
                    <m:sSub>
                      <m:e/>
                      <m:sub>
                        <m:r>
                          <m:t>t</m:t>
                        </m:r>
                        <m:r>
                          <m:rPr>
                            <m:scr m:val="roman"/>
                            <m:sty m:val="p"/>
                          </m:rPr>
                          <m:t>p</m:t>
                        </m:r>
                      </m:sub>
                    </m:sSub>
                    <m:r>
                      <m:t>)</m:t>
                    </m:r>
                    <m:sSub>
                      <m:e/>
                      <m:sub>
                        <m:r>
                          <m:t>x,y</m:t>
                        </m:r>
                      </m:sub>
                    </m:sSub>
                    <m:r>
                      <m:t>|</m:t>
                    </m:r>
                  </m:e>
                </m:nary>
              </m:oMath>
            </m:oMathPara>
          </w:p>
        </w:tc>
        <w:tc>
          <w:tcPr>
            <w:tcW w:type="dxa" w:w="864"/>
            <w:tcMar>
              <w:top w:w="40" w:type="dxa"/>
              <w:bottom w:w="40" w:type="dxa"/>
              <w:left w:w="40" w:type="dxa"/>
              <w:right w:w="40" w:type="dxa"/>
            </w:tcMar>
          </w:tcPr>
          <w:p>
            <w:pPr>
              <w:spacing w:before="40" w:after="0"/>
              <w:jc w:val="right"/>
            </w:pPr>
            <w:r>
              <w:rPr>
                <w:rFonts w:ascii="Calibri" w:hAnsi="Calibri"/>
                <w:color w:val="646464"/>
                <w:sz w:val="19"/>
              </w:rPr>
              <w:t>(4)</w:t>
            </w:r>
          </w:p>
        </w:tc>
      </w:tr>
    </w:tbl>
    <w:p>
      <w:pPr>
        <w:spacing w:before="0" w:after="120" w:line="276" w:lineRule="auto"/>
      </w:pPr>
      <w:r>
        <w:rPr>
          <w:rFonts w:ascii="Calibri" w:hAnsi="Calibri"/>
          <w:color w:val="282828"/>
          <w:sz w:val="20"/>
        </w:rPr>
        <w:t>4.5 Causally Decoupled Hazard Persistence (S_hazard): Let z_t in {0.0, 1.0} represent the cached hazard flag. The state is causally updated strictly upon VLM invocation:</w:t>
      </w:r>
    </w:p>
    <w:tbl>
      <w:tblPr>
        <w:tblW w:type="auto" w:w="0"/>
        <w:jc w:val="center"/>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496"/>
            <w:tcMar>
              <w:top w:w="40" w:type="dxa"/>
              <w:bottom w:w="40" w:type="dxa"/>
              <w:left w:w="40" w:type="dxa"/>
              <w:right w:w="40" w:type="dxa"/>
            </w:tcMar>
          </w:tcPr>
          <w:p>
            <w:pPr>
              <w:spacing w:before="0" w:after="0"/>
            </w:pPr>
            <m:oMathPara>
              <m:oMath>
                <m:sSub>
                  <m:e>
                    <m:r>
                      <m:t>z</m:t>
                    </m:r>
                  </m:e>
                  <m:sub>
                    <m:r>
                      <m:t>t+1</m:t>
                    </m:r>
                  </m:sub>
                </m:sSub>
                <m:r>
                  <m:t> = </m:t>
                </m:r>
                <m:d>
                  <m:dPr>
                    <m:begChr m:val="{"/>
                    <m:endChr m:val=""/>
                  </m:dPr>
                  <m:e>
                    <m:r>
                      <m:t>𝟙(</m:t>
                    </m:r>
                    <m:sSub>
                      <m:e>
                        <m:r>
                          <m:t>ℒ</m:t>
                        </m:r>
                      </m:e>
                      <m:sub>
                        <m:r>
                          <m:t>t</m:t>
                        </m:r>
                      </m:sub>
                    </m:sSub>
                    <m:r>
                      <m:t> ∩ </m:t>
                    </m:r>
                    <m:sSub>
                      <m:e>
                        <m:r>
                          <m:t>𝒱</m:t>
                        </m:r>
                      </m:e>
                      <m:sub>
                        <m:r>
                          <m:rPr>
                            <m:scr m:val="roman"/>
                            <m:sty m:val="p"/>
                          </m:rPr>
                          <m:t>hazard</m:t>
                        </m:r>
                      </m:sub>
                    </m:sSub>
                    <m:r>
                      <m:t> ≠ ∅), if Change(t) ≥ τ</m:t>
                    </m:r>
                  </m:e>
                  <m:e>
                    <m:sSub>
                      <m:e>
                        <m:r>
                          <m:t>z</m:t>
                        </m:r>
                      </m:e>
                      <m:sub>
                        <m:r>
                          <m:t>t</m:t>
                        </m:r>
                      </m:sub>
                    </m:sSub>
                    <m:r>
                      <m:t>, if Change(t) &lt; τ</m:t>
                    </m:r>
                  </m:e>
                </m:d>
              </m:oMath>
            </m:oMathPara>
          </w:p>
        </w:tc>
        <w:tc>
          <w:tcPr>
            <w:tcW w:type="dxa" w:w="864"/>
            <w:tcMar>
              <w:top w:w="40" w:type="dxa"/>
              <w:bottom w:w="40" w:type="dxa"/>
              <w:left w:w="40" w:type="dxa"/>
              <w:right w:w="40" w:type="dxa"/>
            </w:tcMar>
          </w:tcPr>
          <w:p>
            <w:pPr>
              <w:spacing w:before="40" w:after="0"/>
              <w:jc w:val="right"/>
            </w:pPr>
            <w:r>
              <w:rPr>
                <w:rFonts w:ascii="Calibri" w:hAnsi="Calibri"/>
                <w:color w:val="646464"/>
                <w:sz w:val="19"/>
              </w:rPr>
              <w:t>(5)</w:t>
            </w:r>
          </w:p>
        </w:tc>
      </w:tr>
    </w:tbl>
    <w:p>
      <w:pPr>
        <w:spacing w:before="240" w:after="80"/>
        <w:jc w:val="center"/>
      </w:pPr>
      <w:r>
        <w:drawing>
          <wp:inline xmlns:a="http://schemas.openxmlformats.org/drawingml/2006/main" xmlns:pic="http://schemas.openxmlformats.org/drawingml/2006/picture">
            <wp:extent cx="5120640" cy="4472458"/>
            <wp:docPr id="2" name="Picture 2"/>
            <wp:cNvGraphicFramePr>
              <a:graphicFrameLocks noChangeAspect="1"/>
            </wp:cNvGraphicFramePr>
            <a:graphic>
              <a:graphicData uri="http://schemas.openxmlformats.org/drawingml/2006/picture">
                <pic:pic>
                  <pic:nvPicPr>
                    <pic:cNvPr id="0" name="fig2_decision_flow.png"/>
                    <pic:cNvPicPr/>
                  </pic:nvPicPr>
                  <pic:blipFill>
                    <a:blip r:embed="rId12"/>
                    <a:stretch>
                      <a:fillRect/>
                    </a:stretch>
                  </pic:blipFill>
                  <pic:spPr>
                    <a:xfrm>
                      <a:off x="0" y="0"/>
                      <a:ext cx="5120640" cy="4472458"/>
                    </a:xfrm>
                    <a:prstGeom prst="rect"/>
                  </pic:spPr>
                </pic:pic>
              </a:graphicData>
            </a:graphic>
          </wp:inline>
        </w:drawing>
      </w:r>
    </w:p>
    <w:p>
      <w:pPr>
        <w:spacing w:before="40" w:after="280" w:line="276" w:lineRule="auto"/>
        <w:ind w:left="576" w:right="576"/>
      </w:pPr>
      <w:r>
        <w:rPr>
          <w:rFonts w:ascii="Calibri" w:hAnsi="Calibri"/>
          <w:b/>
          <w:color w:val="0D233A"/>
          <w:sz w:val="17"/>
        </w:rPr>
        <w:t xml:space="preserve">Fig. 2. </w:t>
      </w:r>
      <w:r>
        <w:rPr>
          <w:rFonts w:ascii="Calibri" w:hAnsi="Calibri"/>
          <w:color w:val="3C3C3C"/>
          <w:sz w:val="17"/>
        </w:rPr>
        <w:t>Decision flow diagram of the SightLine scene-change gate. Features are extracted relative to the last processed reference frame I_{t_p}. If Change(t) &gt;= tau, the VLM executes, resetting I_{t_p} and updating hazard cache z_t. If Change(t) &lt; tau, inference is suppressed, preserving I_{t_p} to prevent undetected drift.</w:t>
      </w:r>
    </w:p>
    <w:p>
      <w:pPr>
        <w:keepNext/>
        <w:spacing w:before="320" w:after="120"/>
      </w:pPr>
      <w:r>
        <w:rPr>
          <w:rFonts w:ascii="Calibri" w:hAnsi="Calibri"/>
          <w:b/>
          <w:color w:val="0D233A"/>
          <w:sz w:val="27"/>
        </w:rPr>
        <w:t>5. Task-Conditioned Gating Profiles</w:t>
      </w:r>
    </w:p>
    <w:p>
      <w:pPr>
        <w:spacing w:before="0" w:after="120" w:line="276" w:lineRule="auto"/>
      </w:pPr>
      <w:r>
        <w:rPr>
          <w:rFonts w:ascii="Calibri" w:hAnsi="Calibri"/>
          <w:color w:val="282828"/>
          <w:sz w:val="20"/>
        </w:rPr>
        <w:t>A fundamental trade-off exists between ambulatory navigation (where high motion and hazards must trigger updates, but camera jitter should be suppressed) and text-dense reading (where global motion is negligible, but localized word/character updates must be detected). To resolve this conflict, SightLine formulates a task-conditioned parameter vector:</w:t>
      </w:r>
    </w:p>
    <w:tbl>
      <w:tblPr>
        <w:tblW w:type="auto" w:w="0"/>
        <w:jc w:val="center"/>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496"/>
            <w:tcMar>
              <w:top w:w="40" w:type="dxa"/>
              <w:bottom w:w="40" w:type="dxa"/>
              <w:left w:w="40" w:type="dxa"/>
              <w:right w:w="40" w:type="dxa"/>
            </w:tcMar>
          </w:tcPr>
          <w:p>
            <w:pPr>
              <w:spacing w:before="0" w:after="0"/>
            </w:pPr>
            <m:oMathPara>
              <m:oMath>
                <m:sSub>
                  <m:e>
                    <m:r>
                      <m:rPr>
                        <m:scr m:val="roman"/>
                        <m:sty m:val="b"/>
                      </m:rPr>
                      <m:t>θ</m:t>
                    </m:r>
                  </m:e>
                  <m:sub>
                    <m:r>
                      <m:t>m</m:t>
                    </m:r>
                  </m:sub>
                </m:sSub>
                <m:r>
                  <m:t> = (</m:t>
                </m:r>
                <m:sSub>
                  <m:e>
                    <m:r>
                      <m:t>α</m:t>
                    </m:r>
                  </m:e>
                  <m:sub>
                    <m:r>
                      <m:t>m</m:t>
                    </m:r>
                  </m:sub>
                </m:sSub>
                <m:r>
                  <m:t>, </m:t>
                </m:r>
                <m:sSub>
                  <m:e>
                    <m:r>
                      <m:t>β</m:t>
                    </m:r>
                  </m:e>
                  <m:sub>
                    <m:r>
                      <m:t>m</m:t>
                    </m:r>
                  </m:sub>
                </m:sSub>
                <m:r>
                  <m:t>, </m:t>
                </m:r>
                <m:sSub>
                  <m:e>
                    <m:r>
                      <m:t>γ</m:t>
                    </m:r>
                  </m:e>
                  <m:sub>
                    <m:r>
                      <m:t>m</m:t>
                    </m:r>
                  </m:sub>
                </m:sSub>
                <m:r>
                  <m:t>, </m:t>
                </m:r>
                <m:sSub>
                  <m:e>
                    <m:r>
                      <m:t>δ</m:t>
                    </m:r>
                  </m:e>
                  <m:sub>
                    <m:r>
                      <m:t>m</m:t>
                    </m:r>
                  </m:sub>
                </m:sSub>
                <m:r>
                  <m:t>, </m:t>
                </m:r>
                <m:sSub>
                  <m:e>
                    <m:r>
                      <m:t>τ</m:t>
                    </m:r>
                  </m:e>
                  <m:sub>
                    <m:r>
                      <m:t>m</m:t>
                    </m:r>
                  </m:sub>
                </m:sSub>
                <m:r>
                  <m:t>)</m:t>
                </m:r>
              </m:oMath>
            </m:oMathPara>
          </w:p>
        </w:tc>
        <w:tc>
          <w:tcPr>
            <w:tcW w:type="dxa" w:w="864"/>
            <w:tcMar>
              <w:top w:w="40" w:type="dxa"/>
              <w:bottom w:w="40" w:type="dxa"/>
              <w:left w:w="40" w:type="dxa"/>
              <w:right w:w="40" w:type="dxa"/>
            </w:tcMar>
          </w:tcPr>
          <w:p>
            <w:pPr>
              <w:spacing w:before="40" w:after="0"/>
              <w:jc w:val="right"/>
            </w:pPr>
            <w:r>
              <w:rPr>
                <w:rFonts w:ascii="Calibri" w:hAnsi="Calibri"/>
                <w:color w:val="646464"/>
                <w:sz w:val="19"/>
              </w:rPr>
              <w:t>(6)</w:t>
            </w:r>
          </w:p>
        </w:tc>
      </w:tr>
    </w:tbl>
    <w:p>
      <w:pPr>
        <w:spacing w:before="0" w:after="120" w:line="276" w:lineRule="auto"/>
      </w:pPr>
      <w:r>
        <w:rPr>
          <w:rFonts w:ascii="Calibri" w:hAnsi="Calibri"/>
          <w:color w:val="282828"/>
          <w:sz w:val="20"/>
        </w:rPr>
        <w:t>dynamically selected based on user intent (Table I and Fig. 3).</w:t>
      </w:r>
    </w:p>
    <w:p>
      <w:pPr>
        <w:keepNext/>
        <w:spacing w:before="240" w:after="60"/>
        <w:jc w:val="center"/>
      </w:pPr>
      <w:r>
        <w:rPr>
          <w:rFonts w:ascii="Calibri" w:hAnsi="Calibri"/>
          <w:b/>
          <w:color w:val="0D233A"/>
          <w:sz w:val="19"/>
        </w:rPr>
        <w:t>TABLE I</w:t>
        <w:br/>
      </w:r>
      <w:r>
        <w:rPr>
          <w:rFonts w:ascii="Calibri" w:hAnsi="Calibri"/>
          <w:b/>
          <w:color w:val="3C3C3C"/>
          <w:sz w:val="17"/>
        </w:rPr>
        <w:t>TASK-CONDITIONED DYNAMIC GATING PARAMETER PROFILES</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1560"/>
        <w:gridCol w:w="1560"/>
        <w:gridCol w:w="1560"/>
        <w:gridCol w:w="1560"/>
        <w:gridCol w:w="1560"/>
        <w:gridCol w:w="1560"/>
      </w:tblGrid>
      <w:tr>
        <w:tc>
          <w:tcPr>
            <w:tcW w:type="dxa" w:w="3168"/>
            <w:shd w:fill="EBF3FA"/>
            <w:tcMar>
              <w:top w:w="100" w:type="dxa"/>
              <w:bottom w:w="100" w:type="dxa"/>
              <w:left w:w="100" w:type="dxa"/>
              <w:right w:w="100" w:type="dxa"/>
            </w:tcMar>
          </w:tcPr>
          <w:p>
            <w:pPr>
              <w:jc w:val="left"/>
            </w:pPr>
            <w:r>
              <w:rPr>
                <w:rFonts w:ascii="Calibri" w:hAnsi="Calibri"/>
                <w:b/>
                <w:color w:val="0D233A"/>
                <w:sz w:val="18"/>
              </w:rPr>
              <w:t>Interaction Mode (m)</w:t>
            </w:r>
          </w:p>
        </w:tc>
        <w:tc>
          <w:tcPr>
            <w:tcW w:type="dxa" w:w="1296"/>
            <w:shd w:fill="EBF3FA"/>
            <w:tcMar>
              <w:top w:w="100" w:type="dxa"/>
              <w:bottom w:w="100" w:type="dxa"/>
              <w:left w:w="100" w:type="dxa"/>
              <w:right w:w="100" w:type="dxa"/>
            </w:tcMar>
          </w:tcPr>
          <w:p>
            <w:pPr>
              <w:jc w:val="center"/>
            </w:pPr>
            <w:r>
              <w:rPr>
                <w:rFonts w:ascii="Calibri" w:hAnsi="Calibri"/>
                <w:b/>
                <w:color w:val="0D233A"/>
                <w:sz w:val="18"/>
              </w:rPr>
              <w:t>α (Visual)</w:t>
            </w:r>
          </w:p>
        </w:tc>
        <w:tc>
          <w:tcPr>
            <w:tcW w:type="dxa" w:w="1296"/>
            <w:shd w:fill="EBF3FA"/>
            <w:tcMar>
              <w:top w:w="100" w:type="dxa"/>
              <w:bottom w:w="100" w:type="dxa"/>
              <w:left w:w="100" w:type="dxa"/>
              <w:right w:w="100" w:type="dxa"/>
            </w:tcMar>
          </w:tcPr>
          <w:p>
            <w:pPr>
              <w:jc w:val="center"/>
            </w:pPr>
            <w:r>
              <w:rPr>
                <w:rFonts w:ascii="Calibri" w:hAnsi="Calibri"/>
                <w:b/>
                <w:color w:val="0D233A"/>
                <w:sz w:val="18"/>
              </w:rPr>
              <w:t>β (Appearance)</w:t>
            </w:r>
          </w:p>
        </w:tc>
        <w:tc>
          <w:tcPr>
            <w:tcW w:type="dxa" w:w="1296"/>
            <w:shd w:fill="EBF3FA"/>
            <w:tcMar>
              <w:top w:w="100" w:type="dxa"/>
              <w:bottom w:w="100" w:type="dxa"/>
              <w:left w:w="100" w:type="dxa"/>
              <w:right w:w="100" w:type="dxa"/>
            </w:tcMar>
          </w:tcPr>
          <w:p>
            <w:pPr>
              <w:jc w:val="center"/>
            </w:pPr>
            <w:r>
              <w:rPr>
                <w:rFonts w:ascii="Calibri" w:hAnsi="Calibri"/>
                <w:b/>
                <w:color w:val="0D233A"/>
                <w:sz w:val="18"/>
              </w:rPr>
              <w:t>γ (Motion)</w:t>
            </w:r>
          </w:p>
        </w:tc>
        <w:tc>
          <w:tcPr>
            <w:tcW w:type="dxa" w:w="1296"/>
            <w:shd w:fill="EBF3FA"/>
            <w:tcMar>
              <w:top w:w="100" w:type="dxa"/>
              <w:bottom w:w="100" w:type="dxa"/>
              <w:left w:w="100" w:type="dxa"/>
              <w:right w:w="100" w:type="dxa"/>
            </w:tcMar>
          </w:tcPr>
          <w:p>
            <w:pPr>
              <w:jc w:val="center"/>
            </w:pPr>
            <w:r>
              <w:rPr>
                <w:rFonts w:ascii="Calibri" w:hAnsi="Calibri"/>
                <w:b/>
                <w:color w:val="0D233A"/>
                <w:sz w:val="18"/>
              </w:rPr>
              <w:t>δ (Hazard)</w:t>
            </w:r>
          </w:p>
        </w:tc>
        <w:tc>
          <w:tcPr>
            <w:tcW w:type="dxa" w:w="1296"/>
            <w:shd w:fill="EBF3FA"/>
            <w:tcMar>
              <w:top w:w="100" w:type="dxa"/>
              <w:bottom w:w="100" w:type="dxa"/>
              <w:left w:w="100" w:type="dxa"/>
              <w:right w:w="100" w:type="dxa"/>
            </w:tcMar>
          </w:tcPr>
          <w:p>
            <w:pPr>
              <w:jc w:val="center"/>
            </w:pPr>
            <w:r>
              <w:rPr>
                <w:rFonts w:ascii="Calibri" w:hAnsi="Calibri"/>
                <w:b/>
                <w:color w:val="0D233A"/>
                <w:sz w:val="18"/>
              </w:rPr>
              <w:t>Threshold (τ)</w:t>
            </w:r>
          </w:p>
        </w:tc>
      </w:tr>
      <w:tr>
        <w:tc>
          <w:tcPr>
            <w:tcW w:type="dxa" w:w="3168"/>
            <w:shd w:fill="F8FAFC"/>
            <w:tcMar>
              <w:top w:w="80" w:type="dxa"/>
              <w:bottom w:w="80" w:type="dxa"/>
              <w:left w:w="100" w:type="dxa"/>
              <w:right w:w="100" w:type="dxa"/>
            </w:tcMar>
          </w:tcPr>
          <w:p>
            <w:pPr>
              <w:jc w:val="left"/>
            </w:pPr>
            <w:r>
              <w:rPr>
                <w:rFonts w:ascii="Calibri" w:hAnsi="Calibri"/>
                <w:color w:val="212121"/>
                <w:sz w:val="19"/>
              </w:rPr>
              <w:t>Default Ambient Navigation</w:t>
            </w:r>
          </w:p>
        </w:tc>
        <w:tc>
          <w:tcPr>
            <w:tcW w:type="dxa" w:w="1296"/>
            <w:shd w:fill="F8FAFC"/>
            <w:tcMar>
              <w:top w:w="80" w:type="dxa"/>
              <w:bottom w:w="80" w:type="dxa"/>
              <w:left w:w="100" w:type="dxa"/>
              <w:right w:w="100" w:type="dxa"/>
            </w:tcMar>
          </w:tcPr>
          <w:p>
            <w:pPr>
              <w:jc w:val="center"/>
            </w:pPr>
            <w:r>
              <w:rPr>
                <w:rFonts w:ascii="Calibri" w:hAnsi="Calibri"/>
                <w:color w:val="212121"/>
                <w:sz w:val="19"/>
              </w:rPr>
              <w:t>0.25</w:t>
            </w:r>
          </w:p>
        </w:tc>
        <w:tc>
          <w:tcPr>
            <w:tcW w:type="dxa" w:w="1296"/>
            <w:shd w:fill="F8FAFC"/>
            <w:tcMar>
              <w:top w:w="80" w:type="dxa"/>
              <w:bottom w:w="80" w:type="dxa"/>
              <w:left w:w="100" w:type="dxa"/>
              <w:right w:w="100" w:type="dxa"/>
            </w:tcMar>
          </w:tcPr>
          <w:p>
            <w:pPr>
              <w:jc w:val="center"/>
            </w:pPr>
            <w:r>
              <w:rPr>
                <w:rFonts w:ascii="Calibri" w:hAnsi="Calibri"/>
                <w:color w:val="212121"/>
                <w:sz w:val="19"/>
              </w:rPr>
              <w:t>0.20</w:t>
            </w:r>
          </w:p>
        </w:tc>
        <w:tc>
          <w:tcPr>
            <w:tcW w:type="dxa" w:w="1296"/>
            <w:shd w:fill="F8FAFC"/>
            <w:tcMar>
              <w:top w:w="80" w:type="dxa"/>
              <w:bottom w:w="80" w:type="dxa"/>
              <w:left w:w="100" w:type="dxa"/>
              <w:right w:w="100" w:type="dxa"/>
            </w:tcMar>
          </w:tcPr>
          <w:p>
            <w:pPr>
              <w:jc w:val="center"/>
            </w:pPr>
            <w:r>
              <w:rPr>
                <w:rFonts w:ascii="Calibri" w:hAnsi="Calibri"/>
                <w:color w:val="212121"/>
                <w:sz w:val="19"/>
              </w:rPr>
              <w:t>0.30</w:t>
            </w:r>
          </w:p>
        </w:tc>
        <w:tc>
          <w:tcPr>
            <w:tcW w:type="dxa" w:w="1296"/>
            <w:shd w:fill="F8FAFC"/>
            <w:tcMar>
              <w:top w:w="80" w:type="dxa"/>
              <w:bottom w:w="80" w:type="dxa"/>
              <w:left w:w="100" w:type="dxa"/>
              <w:right w:w="100" w:type="dxa"/>
            </w:tcMar>
          </w:tcPr>
          <w:p>
            <w:pPr>
              <w:jc w:val="center"/>
            </w:pPr>
            <w:r>
              <w:rPr>
                <w:rFonts w:ascii="Calibri" w:hAnsi="Calibri"/>
                <w:color w:val="212121"/>
                <w:sz w:val="19"/>
              </w:rPr>
              <w:t>0.25</w:t>
            </w:r>
          </w:p>
        </w:tc>
        <w:tc>
          <w:tcPr>
            <w:tcW w:type="dxa" w:w="1296"/>
            <w:shd w:fill="F8FAFC"/>
            <w:tcMar>
              <w:top w:w="80" w:type="dxa"/>
              <w:bottom w:w="80" w:type="dxa"/>
              <w:left w:w="100" w:type="dxa"/>
              <w:right w:w="100" w:type="dxa"/>
            </w:tcMar>
          </w:tcPr>
          <w:p>
            <w:pPr>
              <w:jc w:val="center"/>
            </w:pPr>
            <w:r>
              <w:rPr>
                <w:rFonts w:ascii="Calibri" w:hAnsi="Calibri"/>
                <w:color w:val="212121"/>
                <w:sz w:val="19"/>
              </w:rPr>
              <w:t>0.18</w:t>
            </w:r>
          </w:p>
        </w:tc>
      </w:tr>
      <w:tr>
        <w:tc>
          <w:tcPr>
            <w:tcW w:type="dxa" w:w="3168"/>
            <w:shd w:fill="FFFFFF"/>
            <w:tcMar>
              <w:top w:w="80" w:type="dxa"/>
              <w:bottom w:w="80" w:type="dxa"/>
              <w:left w:w="100" w:type="dxa"/>
              <w:right w:w="100" w:type="dxa"/>
            </w:tcMar>
          </w:tcPr>
          <w:p>
            <w:pPr>
              <w:jc w:val="left"/>
            </w:pPr>
            <w:r>
              <w:rPr>
                <w:rFonts w:ascii="Calibri" w:hAnsi="Calibri"/>
                <w:color w:val="212121"/>
                <w:sz w:val="19"/>
              </w:rPr>
              <w:t>Rapid Transit / Hazard Watch</w:t>
            </w:r>
          </w:p>
        </w:tc>
        <w:tc>
          <w:tcPr>
            <w:tcW w:type="dxa" w:w="1296"/>
            <w:shd w:fill="FFFFFF"/>
            <w:tcMar>
              <w:top w:w="80" w:type="dxa"/>
              <w:bottom w:w="80" w:type="dxa"/>
              <w:left w:w="100" w:type="dxa"/>
              <w:right w:w="100" w:type="dxa"/>
            </w:tcMar>
          </w:tcPr>
          <w:p>
            <w:pPr>
              <w:jc w:val="center"/>
            </w:pPr>
            <w:r>
              <w:rPr>
                <w:rFonts w:ascii="Calibri" w:hAnsi="Calibri"/>
                <w:color w:val="212121"/>
                <w:sz w:val="19"/>
              </w:rPr>
              <w:t>0.15</w:t>
            </w:r>
          </w:p>
        </w:tc>
        <w:tc>
          <w:tcPr>
            <w:tcW w:type="dxa" w:w="1296"/>
            <w:shd w:fill="FFFFFF"/>
            <w:tcMar>
              <w:top w:w="80" w:type="dxa"/>
              <w:bottom w:w="80" w:type="dxa"/>
              <w:left w:w="100" w:type="dxa"/>
              <w:right w:w="100" w:type="dxa"/>
            </w:tcMar>
          </w:tcPr>
          <w:p>
            <w:pPr>
              <w:jc w:val="center"/>
            </w:pPr>
            <w:r>
              <w:rPr>
                <w:rFonts w:ascii="Calibri" w:hAnsi="Calibri"/>
                <w:color w:val="212121"/>
                <w:sz w:val="19"/>
              </w:rPr>
              <w:t>0.15</w:t>
            </w:r>
          </w:p>
        </w:tc>
        <w:tc>
          <w:tcPr>
            <w:tcW w:type="dxa" w:w="1296"/>
            <w:shd w:fill="FFFFFF"/>
            <w:tcMar>
              <w:top w:w="80" w:type="dxa"/>
              <w:bottom w:w="80" w:type="dxa"/>
              <w:left w:w="100" w:type="dxa"/>
              <w:right w:w="100" w:type="dxa"/>
            </w:tcMar>
          </w:tcPr>
          <w:p>
            <w:pPr>
              <w:jc w:val="center"/>
            </w:pPr>
            <w:r>
              <w:rPr>
                <w:rFonts w:ascii="Calibri" w:hAnsi="Calibri"/>
                <w:color w:val="212121"/>
                <w:sz w:val="19"/>
              </w:rPr>
              <w:t>0.35</w:t>
            </w:r>
          </w:p>
        </w:tc>
        <w:tc>
          <w:tcPr>
            <w:tcW w:type="dxa" w:w="1296"/>
            <w:shd w:fill="FFFFFF"/>
            <w:tcMar>
              <w:top w:w="80" w:type="dxa"/>
              <w:bottom w:w="80" w:type="dxa"/>
              <w:left w:w="100" w:type="dxa"/>
              <w:right w:w="100" w:type="dxa"/>
            </w:tcMar>
          </w:tcPr>
          <w:p>
            <w:pPr>
              <w:jc w:val="center"/>
            </w:pPr>
            <w:r>
              <w:rPr>
                <w:rFonts w:ascii="Calibri" w:hAnsi="Calibri"/>
                <w:color w:val="212121"/>
                <w:sz w:val="19"/>
              </w:rPr>
              <w:t>0.35</w:t>
            </w:r>
          </w:p>
        </w:tc>
        <w:tc>
          <w:tcPr>
            <w:tcW w:type="dxa" w:w="1296"/>
            <w:shd w:fill="FFFFFF"/>
            <w:tcMar>
              <w:top w:w="80" w:type="dxa"/>
              <w:bottom w:w="80" w:type="dxa"/>
              <w:left w:w="100" w:type="dxa"/>
              <w:right w:w="100" w:type="dxa"/>
            </w:tcMar>
          </w:tcPr>
          <w:p>
            <w:pPr>
              <w:jc w:val="center"/>
            </w:pPr>
            <w:r>
              <w:rPr>
                <w:rFonts w:ascii="Calibri" w:hAnsi="Calibri"/>
                <w:color w:val="212121"/>
                <w:sz w:val="19"/>
              </w:rPr>
              <w:t>0.15</w:t>
            </w:r>
          </w:p>
        </w:tc>
      </w:tr>
      <w:tr>
        <w:tc>
          <w:tcPr>
            <w:tcW w:type="dxa" w:w="3168"/>
            <w:shd w:fill="F8FAFC"/>
            <w:tcMar>
              <w:top w:w="80" w:type="dxa"/>
              <w:bottom w:w="80" w:type="dxa"/>
              <w:left w:w="100" w:type="dxa"/>
              <w:right w:w="100" w:type="dxa"/>
            </w:tcMar>
          </w:tcPr>
          <w:p>
            <w:pPr>
              <w:jc w:val="left"/>
            </w:pPr>
            <w:r>
              <w:rPr>
                <w:rFonts w:ascii="Calibri" w:hAnsi="Calibri"/>
                <w:color w:val="212121"/>
                <w:sz w:val="19"/>
              </w:rPr>
              <w:t>Read Text / Document Inspection</w:t>
            </w:r>
          </w:p>
        </w:tc>
        <w:tc>
          <w:tcPr>
            <w:tcW w:type="dxa" w:w="1296"/>
            <w:shd w:fill="F8FAFC"/>
            <w:tcMar>
              <w:top w:w="80" w:type="dxa"/>
              <w:bottom w:w="80" w:type="dxa"/>
              <w:left w:w="100" w:type="dxa"/>
              <w:right w:w="100" w:type="dxa"/>
            </w:tcMar>
          </w:tcPr>
          <w:p>
            <w:pPr>
              <w:jc w:val="center"/>
            </w:pPr>
            <w:r>
              <w:rPr>
                <w:rFonts w:ascii="Calibri" w:hAnsi="Calibri"/>
                <w:color w:val="212121"/>
                <w:sz w:val="19"/>
              </w:rPr>
              <w:t>0.40</w:t>
            </w:r>
          </w:p>
        </w:tc>
        <w:tc>
          <w:tcPr>
            <w:tcW w:type="dxa" w:w="1296"/>
            <w:shd w:fill="F8FAFC"/>
            <w:tcMar>
              <w:top w:w="80" w:type="dxa"/>
              <w:bottom w:w="80" w:type="dxa"/>
              <w:left w:w="100" w:type="dxa"/>
              <w:right w:w="100" w:type="dxa"/>
            </w:tcMar>
          </w:tcPr>
          <w:p>
            <w:pPr>
              <w:jc w:val="center"/>
            </w:pPr>
            <w:r>
              <w:rPr>
                <w:rFonts w:ascii="Calibri" w:hAnsi="Calibri"/>
                <w:color w:val="212121"/>
                <w:sz w:val="19"/>
              </w:rPr>
              <w:t>0.45</w:t>
            </w:r>
          </w:p>
        </w:tc>
        <w:tc>
          <w:tcPr>
            <w:tcW w:type="dxa" w:w="1296"/>
            <w:shd w:fill="F8FAFC"/>
            <w:tcMar>
              <w:top w:w="80" w:type="dxa"/>
              <w:bottom w:w="80" w:type="dxa"/>
              <w:left w:w="100" w:type="dxa"/>
              <w:right w:w="100" w:type="dxa"/>
            </w:tcMar>
          </w:tcPr>
          <w:p>
            <w:pPr>
              <w:jc w:val="center"/>
            </w:pPr>
            <w:r>
              <w:rPr>
                <w:rFonts w:ascii="Calibri" w:hAnsi="Calibri"/>
                <w:color w:val="212121"/>
                <w:sz w:val="19"/>
              </w:rPr>
              <w:t>0.10</w:t>
            </w:r>
          </w:p>
        </w:tc>
        <w:tc>
          <w:tcPr>
            <w:tcW w:type="dxa" w:w="1296"/>
            <w:shd w:fill="F8FAFC"/>
            <w:tcMar>
              <w:top w:w="80" w:type="dxa"/>
              <w:bottom w:w="80" w:type="dxa"/>
              <w:left w:w="100" w:type="dxa"/>
              <w:right w:w="100" w:type="dxa"/>
            </w:tcMar>
          </w:tcPr>
          <w:p>
            <w:pPr>
              <w:jc w:val="center"/>
            </w:pPr>
            <w:r>
              <w:rPr>
                <w:rFonts w:ascii="Calibri" w:hAnsi="Calibri"/>
                <w:color w:val="212121"/>
                <w:sz w:val="19"/>
              </w:rPr>
              <w:t>0.05</w:t>
            </w:r>
          </w:p>
        </w:tc>
        <w:tc>
          <w:tcPr>
            <w:tcW w:type="dxa" w:w="1296"/>
            <w:shd w:fill="F8FAFC"/>
            <w:tcMar>
              <w:top w:w="80" w:type="dxa"/>
              <w:bottom w:w="80" w:type="dxa"/>
              <w:left w:w="100" w:type="dxa"/>
              <w:right w:w="100" w:type="dxa"/>
            </w:tcMar>
          </w:tcPr>
          <w:p>
            <w:pPr>
              <w:jc w:val="center"/>
            </w:pPr>
            <w:r>
              <w:rPr>
                <w:rFonts w:ascii="Calibri" w:hAnsi="Calibri"/>
                <w:color w:val="212121"/>
                <w:sz w:val="19"/>
              </w:rPr>
              <w:t>0.10</w:t>
            </w:r>
          </w:p>
        </w:tc>
      </w:tr>
      <w:tr>
        <w:tc>
          <w:tcPr>
            <w:tcW w:type="dxa" w:w="3168"/>
            <w:shd w:fill="FFFFFF"/>
            <w:tcMar>
              <w:top w:w="80" w:type="dxa"/>
              <w:bottom w:w="80" w:type="dxa"/>
              <w:left w:w="100" w:type="dxa"/>
              <w:right w:w="100" w:type="dxa"/>
            </w:tcMar>
          </w:tcPr>
          <w:p>
            <w:pPr>
              <w:jc w:val="left"/>
            </w:pPr>
            <w:r>
              <w:rPr>
                <w:rFonts w:ascii="Calibri" w:hAnsi="Calibri"/>
                <w:color w:val="212121"/>
                <w:sz w:val="19"/>
              </w:rPr>
              <w:t>General Observation / Panoramic</w:t>
            </w:r>
          </w:p>
        </w:tc>
        <w:tc>
          <w:tcPr>
            <w:tcW w:type="dxa" w:w="1296"/>
            <w:shd w:fill="FFFFFF"/>
            <w:tcMar>
              <w:top w:w="80" w:type="dxa"/>
              <w:bottom w:w="80" w:type="dxa"/>
              <w:left w:w="100" w:type="dxa"/>
              <w:right w:w="100" w:type="dxa"/>
            </w:tcMar>
          </w:tcPr>
          <w:p>
            <w:pPr>
              <w:jc w:val="center"/>
            </w:pPr>
            <w:r>
              <w:rPr>
                <w:rFonts w:ascii="Calibri" w:hAnsi="Calibri"/>
                <w:color w:val="212121"/>
                <w:sz w:val="19"/>
              </w:rPr>
              <w:t>0.30</w:t>
            </w:r>
          </w:p>
        </w:tc>
        <w:tc>
          <w:tcPr>
            <w:tcW w:type="dxa" w:w="1296"/>
            <w:shd w:fill="FFFFFF"/>
            <w:tcMar>
              <w:top w:w="80" w:type="dxa"/>
              <w:bottom w:w="80" w:type="dxa"/>
              <w:left w:w="100" w:type="dxa"/>
              <w:right w:w="100" w:type="dxa"/>
            </w:tcMar>
          </w:tcPr>
          <w:p>
            <w:pPr>
              <w:jc w:val="center"/>
            </w:pPr>
            <w:r>
              <w:rPr>
                <w:rFonts w:ascii="Calibri" w:hAnsi="Calibri"/>
                <w:color w:val="212121"/>
                <w:sz w:val="19"/>
              </w:rPr>
              <w:t>0.30</w:t>
            </w:r>
          </w:p>
        </w:tc>
        <w:tc>
          <w:tcPr>
            <w:tcW w:type="dxa" w:w="1296"/>
            <w:shd w:fill="FFFFFF"/>
            <w:tcMar>
              <w:top w:w="80" w:type="dxa"/>
              <w:bottom w:w="80" w:type="dxa"/>
              <w:left w:w="100" w:type="dxa"/>
              <w:right w:w="100" w:type="dxa"/>
            </w:tcMar>
          </w:tcPr>
          <w:p>
            <w:pPr>
              <w:jc w:val="center"/>
            </w:pPr>
            <w:r>
              <w:rPr>
                <w:rFonts w:ascii="Calibri" w:hAnsi="Calibri"/>
                <w:color w:val="212121"/>
                <w:sz w:val="19"/>
              </w:rPr>
              <w:t>0.20</w:t>
            </w:r>
          </w:p>
        </w:tc>
        <w:tc>
          <w:tcPr>
            <w:tcW w:type="dxa" w:w="1296"/>
            <w:shd w:fill="FFFFFF"/>
            <w:tcMar>
              <w:top w:w="80" w:type="dxa"/>
              <w:bottom w:w="80" w:type="dxa"/>
              <w:left w:w="100" w:type="dxa"/>
              <w:right w:w="100" w:type="dxa"/>
            </w:tcMar>
          </w:tcPr>
          <w:p>
            <w:pPr>
              <w:jc w:val="center"/>
            </w:pPr>
            <w:r>
              <w:rPr>
                <w:rFonts w:ascii="Calibri" w:hAnsi="Calibri"/>
                <w:color w:val="212121"/>
                <w:sz w:val="19"/>
              </w:rPr>
              <w:t>0.20</w:t>
            </w:r>
          </w:p>
        </w:tc>
        <w:tc>
          <w:tcPr>
            <w:tcW w:type="dxa" w:w="1296"/>
            <w:shd w:fill="FFFFFF"/>
            <w:tcMar>
              <w:top w:w="80" w:type="dxa"/>
              <w:bottom w:w="80" w:type="dxa"/>
              <w:left w:w="100" w:type="dxa"/>
              <w:right w:w="100" w:type="dxa"/>
            </w:tcMar>
          </w:tcPr>
          <w:p>
            <w:pPr>
              <w:jc w:val="center"/>
            </w:pPr>
            <w:r>
              <w:rPr>
                <w:rFonts w:ascii="Calibri" w:hAnsi="Calibri"/>
                <w:color w:val="212121"/>
                <w:sz w:val="19"/>
              </w:rPr>
              <w:t>0.16</w:t>
            </w:r>
          </w:p>
        </w:tc>
      </w:tr>
    </w:tbl>
    <w:p>
      <w:pPr>
        <w:spacing w:before="240" w:after="80"/>
        <w:jc w:val="center"/>
      </w:pPr>
      <w:r>
        <w:drawing>
          <wp:inline xmlns:a="http://schemas.openxmlformats.org/drawingml/2006/main" xmlns:pic="http://schemas.openxmlformats.org/drawingml/2006/picture">
            <wp:extent cx="5120640" cy="2787184"/>
            <wp:docPr id="3" name="Picture 3"/>
            <wp:cNvGraphicFramePr>
              <a:graphicFrameLocks noChangeAspect="1"/>
            </wp:cNvGraphicFramePr>
            <a:graphic>
              <a:graphicData uri="http://schemas.openxmlformats.org/drawingml/2006/picture">
                <pic:pic>
                  <pic:nvPicPr>
                    <pic:cNvPr id="0" name="fig4_task_conditioning.png"/>
                    <pic:cNvPicPr/>
                  </pic:nvPicPr>
                  <pic:blipFill>
                    <a:blip r:embed="rId13"/>
                    <a:stretch>
                      <a:fillRect/>
                    </a:stretch>
                  </pic:blipFill>
                  <pic:spPr>
                    <a:xfrm>
                      <a:off x="0" y="0"/>
                      <a:ext cx="5120640" cy="2787184"/>
                    </a:xfrm>
                    <a:prstGeom prst="rect"/>
                  </pic:spPr>
                </pic:pic>
              </a:graphicData>
            </a:graphic>
          </wp:inline>
        </w:drawing>
      </w:r>
    </w:p>
    <w:p>
      <w:pPr>
        <w:spacing w:before="40" w:after="280" w:line="276" w:lineRule="auto"/>
        <w:ind w:left="576" w:right="576"/>
      </w:pPr>
      <w:r>
        <w:rPr>
          <w:rFonts w:ascii="Calibri" w:hAnsi="Calibri"/>
          <w:b/>
          <w:color w:val="0D233A"/>
          <w:sz w:val="17"/>
        </w:rPr>
        <w:t xml:space="preserve">Fig. 3. </w:t>
      </w:r>
      <w:r>
        <w:rPr>
          <w:rFonts w:ascii="Calibri" w:hAnsi="Calibri"/>
          <w:color w:val="3C3C3C"/>
          <w:sz w:val="17"/>
        </w:rPr>
        <w:t>Task-conditioned feature weight distributions across assistive operational modes. Navigation modes emphasize motion and hazard evidence, whereas Document Inspection shifts weight mass to visual and appearance features.</w:t>
      </w:r>
    </w:p>
    <w:p>
      <w:pPr>
        <w:keepNext/>
        <w:spacing w:before="320" w:after="120"/>
      </w:pPr>
      <w:r>
        <w:rPr>
          <w:rFonts w:ascii="Calibri" w:hAnsi="Calibri"/>
          <w:b/>
          <w:color w:val="0D233A"/>
          <w:sz w:val="27"/>
        </w:rPr>
        <w:t>6. Content Prioritization and Speech Queuing</w:t>
      </w:r>
    </w:p>
    <w:p>
      <w:pPr>
        <w:spacing w:before="0" w:after="120" w:line="276" w:lineRule="auto"/>
      </w:pPr>
      <w:r>
        <w:rPr>
          <w:rFonts w:ascii="Calibri" w:hAnsi="Calibri"/>
          <w:color w:val="282828"/>
          <w:sz w:val="20"/>
        </w:rPr>
        <w:t>Once the gate triggers VLM execution, Florence-2 produces raw detection labels and spatial bounding boxes. To prevent auditory overload, SightLine formulates an architectural content prioritization scoring function:</w:t>
      </w:r>
    </w:p>
    <w:tbl>
      <w:tblPr>
        <w:tblW w:type="auto" w:w="0"/>
        <w:jc w:val="center"/>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496"/>
            <w:tcMar>
              <w:top w:w="40" w:type="dxa"/>
              <w:bottom w:w="40" w:type="dxa"/>
              <w:left w:w="40" w:type="dxa"/>
              <w:right w:w="40" w:type="dxa"/>
            </w:tcMar>
          </w:tcPr>
          <w:p>
            <w:pPr>
              <w:spacing w:before="0" w:after="0"/>
            </w:pPr>
            <m:oMathPara>
              <m:oMath>
                <m:r>
                  <m:t>Priority(</m:t>
                </m:r>
                <m:sSub>
                  <m:e>
                    <m:r>
                      <m:t>o</m:t>
                    </m:r>
                  </m:e>
                  <m:sub>
                    <m:r>
                      <m:t>i</m:t>
                    </m:r>
                  </m:sub>
                </m:sSub>
                <m:r>
                  <m:t>) = </m:t>
                </m:r>
                <m:sSub>
                  <m:e>
                    <m:r>
                      <m:t>w</m:t>
                    </m:r>
                  </m:e>
                  <m:sub>
                    <m:r>
                      <m:t>1</m:t>
                    </m:r>
                  </m:sub>
                </m:sSub>
                <m:r>
                  <m:t> · Hazard(</m:t>
                </m:r>
                <m:sSub>
                  <m:e>
                    <m:r>
                      <m:t>o</m:t>
                    </m:r>
                  </m:e>
                  <m:sub>
                    <m:r>
                      <m:t>i</m:t>
                    </m:r>
                  </m:sub>
                </m:sSub>
                <m:r>
                  <m:t>) + </m:t>
                </m:r>
                <m:sSub>
                  <m:e>
                    <m:r>
                      <m:t>w</m:t>
                    </m:r>
                  </m:e>
                  <m:sub>
                    <m:r>
                      <m:t>2</m:t>
                    </m:r>
                  </m:sub>
                </m:sSub>
                <m:r>
                  <m:t> · Proximity(</m:t>
                </m:r>
                <m:sSub>
                  <m:e>
                    <m:r>
                      <m:t>o</m:t>
                    </m:r>
                  </m:e>
                  <m:sub>
                    <m:r>
                      <m:t>i</m:t>
                    </m:r>
                  </m:sub>
                </m:sSub>
                <m:r>
                  <m:t>) + </m:t>
                </m:r>
                <m:sSub>
                  <m:e>
                    <m:r>
                      <m:t>w</m:t>
                    </m:r>
                  </m:e>
                  <m:sub>
                    <m:r>
                      <m:t>3</m:t>
                    </m:r>
                  </m:sub>
                </m:sSub>
                <m:r>
                  <m:t> · Motion(</m:t>
                </m:r>
                <m:sSub>
                  <m:e>
                    <m:r>
                      <m:t>o</m:t>
                    </m:r>
                  </m:e>
                  <m:sub>
                    <m:r>
                      <m:t>i</m:t>
                    </m:r>
                  </m:sub>
                </m:sSub>
                <m:r>
                  <m:t>) + </m:t>
                </m:r>
                <m:sSub>
                  <m:e>
                    <m:r>
                      <m:t>w</m:t>
                    </m:r>
                  </m:e>
                  <m:sub>
                    <m:r>
                      <m:t>4</m:t>
                    </m:r>
                  </m:sub>
                </m:sSub>
                <m:r>
                  <m:t> · Novelty(</m:t>
                </m:r>
                <m:sSub>
                  <m:e>
                    <m:r>
                      <m:t>o</m:t>
                    </m:r>
                  </m:e>
                  <m:sub>
                    <m:r>
                      <m:t>i</m:t>
                    </m:r>
                  </m:sub>
                </m:sSub>
                <m:r>
                  <m:t>)</m:t>
                </m:r>
              </m:oMath>
            </m:oMathPara>
          </w:p>
        </w:tc>
        <w:tc>
          <w:tcPr>
            <w:tcW w:type="dxa" w:w="864"/>
            <w:tcMar>
              <w:top w:w="40" w:type="dxa"/>
              <w:bottom w:w="40" w:type="dxa"/>
              <w:left w:w="40" w:type="dxa"/>
              <w:right w:w="40" w:type="dxa"/>
            </w:tcMar>
          </w:tcPr>
          <w:p>
            <w:pPr>
              <w:spacing w:before="40" w:after="0"/>
              <w:jc w:val="right"/>
            </w:pPr>
            <w:r>
              <w:rPr>
                <w:rFonts w:ascii="Calibri" w:hAnsi="Calibri"/>
                <w:color w:val="646464"/>
                <w:sz w:val="19"/>
              </w:rPr>
              <w:t>(7)</w:t>
            </w:r>
          </w:p>
        </w:tc>
      </w:tr>
    </w:tbl>
    <w:p>
      <w:pPr>
        <w:spacing w:before="0" w:after="120" w:line="276" w:lineRule="auto"/>
      </w:pPr>
      <w:r>
        <w:rPr>
          <w:rFonts w:ascii="Calibri" w:hAnsi="Calibri"/>
          <w:color w:val="282828"/>
          <w:sz w:val="20"/>
        </w:rPr>
        <w:t>where w_1 + w_2 + w_3 + w_4 = 1.0. Ranked entities are synthesized via Edge-TTS and placed into a non-blocking asynchronous audio queue, ensuring high-priority hazard announcements preempt lower-priority ambient descriptions.</w:t>
      </w:r>
    </w:p>
    <w:p>
      <w:pPr>
        <w:keepNext/>
        <w:spacing w:before="320" w:after="120"/>
      </w:pPr>
      <w:r>
        <w:rPr>
          <w:rFonts w:ascii="Calibri" w:hAnsi="Calibri"/>
          <w:b/>
          <w:color w:val="0D233A"/>
          <w:sz w:val="27"/>
        </w:rPr>
        <w:t>7. Experimental Methodology and Results</w:t>
      </w:r>
    </w:p>
    <w:p>
      <w:pPr>
        <w:spacing w:before="0" w:after="120" w:line="276" w:lineRule="auto"/>
      </w:pPr>
      <w:r>
        <w:rPr>
          <w:rFonts w:ascii="Calibri" w:hAnsi="Calibri"/>
          <w:color w:val="282828"/>
          <w:sz w:val="20"/>
        </w:rPr>
        <w:t>7.1 Metric Definitions: We evaluate redundancy suppression performance via the percentage of avoided VLM forward passes:</w:t>
      </w:r>
    </w:p>
    <w:tbl>
      <w:tblPr>
        <w:tblW w:type="auto" w:w="0"/>
        <w:jc w:val="center"/>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496"/>
            <w:tcMar>
              <w:top w:w="40" w:type="dxa"/>
              <w:bottom w:w="40" w:type="dxa"/>
              <w:left w:w="40" w:type="dxa"/>
              <w:right w:w="40" w:type="dxa"/>
            </w:tcMar>
          </w:tcPr>
          <w:p>
            <w:pPr>
              <w:spacing w:before="0" w:after="0"/>
            </w:pPr>
            <m:oMathPara>
              <m:oMath>
                <m:r>
                  <m:rPr>
                    <m:scr m:val="roman"/>
                    <m:sty m:val="p"/>
                  </m:rPr>
                  <m:t>Suppression</m:t>
                </m:r>
                <m:r>
                  <m:t> = </m:t>
                </m:r>
                <m:d>
                  <m:e>
                    <m:r>
                      <m:t>1.0 - </m:t>
                    </m:r>
                    <m:f>
                      <m:num>
                        <m:sSub>
                          <m:e>
                            <m:r>
                              <m:t>N</m:t>
                            </m:r>
                          </m:e>
                          <m:sub>
                            <m:r>
                              <m:rPr>
                                <m:scr m:val="roman"/>
                                <m:sty m:val="p"/>
                              </m:rPr>
                              <m:t>inv</m:t>
                            </m:r>
                          </m:sub>
                        </m:sSub>
                      </m:num>
                      <m:den>
                        <m:sSub>
                          <m:e>
                            <m:r>
                              <m:t>N</m:t>
                            </m:r>
                          </m:e>
                          <m:sub>
                            <m:r>
                              <m:rPr>
                                <m:scr m:val="roman"/>
                                <m:sty m:val="p"/>
                              </m:rPr>
                              <m:t>total</m:t>
                            </m:r>
                          </m:sub>
                        </m:sSub>
                      </m:den>
                    </m:f>
                  </m:e>
                </m:d>
                <m:r>
                  <m:t> × 100%</m:t>
                </m:r>
              </m:oMath>
            </m:oMathPara>
          </w:p>
        </w:tc>
        <w:tc>
          <w:tcPr>
            <w:tcW w:type="dxa" w:w="864"/>
            <w:tcMar>
              <w:top w:w="40" w:type="dxa"/>
              <w:bottom w:w="40" w:type="dxa"/>
              <w:left w:w="40" w:type="dxa"/>
              <w:right w:w="40" w:type="dxa"/>
            </w:tcMar>
          </w:tcPr>
          <w:p>
            <w:pPr>
              <w:spacing w:before="40" w:after="0"/>
              <w:jc w:val="right"/>
            </w:pPr>
            <w:r>
              <w:rPr>
                <w:rFonts w:ascii="Calibri" w:hAnsi="Calibri"/>
                <w:color w:val="646464"/>
                <w:sz w:val="19"/>
              </w:rPr>
              <w:t>(8)</w:t>
            </w:r>
          </w:p>
        </w:tc>
      </w:tr>
    </w:tbl>
    <w:p>
      <w:pPr>
        <w:spacing w:before="0" w:after="120" w:line="276" w:lineRule="auto"/>
      </w:pPr>
      <w:r>
        <w:rPr>
          <w:rFonts w:ascii="Calibri" w:hAnsi="Calibri"/>
          <w:color w:val="282828"/>
          <w:sz w:val="20"/>
        </w:rPr>
        <w:t>7.2 Synthetic Benchmark Suite: We evaluated SightLine across five scripted synthetic scenarios (200 frames each, 160x120 RGB) evaluated over 10 independent random seeds (seeds 42, 101, ..., 909) to simulate diverse stochastic sensor noise conditions (Gaussian noise sigma = 3.5). Table II and Fig. 4 present the quantitative performance across all evaluated methods.</w:t>
      </w:r>
    </w:p>
    <w:p>
      <w:pPr>
        <w:keepNext/>
        <w:spacing w:before="240" w:after="60"/>
        <w:jc w:val="center"/>
      </w:pPr>
      <w:r>
        <w:rPr>
          <w:rFonts w:ascii="Calibri" w:hAnsi="Calibri"/>
          <w:b/>
          <w:color w:val="0D233A"/>
          <w:sz w:val="19"/>
        </w:rPr>
        <w:t>TABLE II</w:t>
        <w:br/>
      </w:r>
      <w:r>
        <w:rPr>
          <w:rFonts w:ascii="Calibri" w:hAnsi="Calibri"/>
          <w:b/>
          <w:color w:val="3C3C3C"/>
          <w:sz w:val="17"/>
        </w:rPr>
        <w:t>QUANTITATIVE SYSTEM COMPARISON ACROSS SCRIPTED SYNTHETIC SCENARIOS (MEAN ± STD OVER 10 SEEDS)</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1560"/>
        <w:gridCol w:w="1560"/>
        <w:gridCol w:w="1560"/>
        <w:gridCol w:w="1560"/>
        <w:gridCol w:w="1560"/>
        <w:gridCol w:w="1560"/>
      </w:tblGrid>
      <w:tr>
        <w:tc>
          <w:tcPr>
            <w:tcW w:type="dxa" w:w="2592"/>
            <w:shd w:fill="EBF3FA"/>
            <w:tcMar>
              <w:top w:w="100" w:type="dxa"/>
              <w:bottom w:w="100" w:type="dxa"/>
              <w:left w:w="100" w:type="dxa"/>
              <w:right w:w="100" w:type="dxa"/>
            </w:tcMar>
          </w:tcPr>
          <w:p>
            <w:pPr>
              <w:jc w:val="left"/>
            </w:pPr>
            <w:r>
              <w:rPr>
                <w:rFonts w:ascii="Calibri" w:hAnsi="Calibri"/>
                <w:b/>
                <w:color w:val="0D233A"/>
                <w:sz w:val="17"/>
              </w:rPr>
              <w:t>Scenario Description</w:t>
            </w:r>
          </w:p>
        </w:tc>
        <w:tc>
          <w:tcPr>
            <w:tcW w:type="dxa" w:w="1296"/>
            <w:shd w:fill="EBF3FA"/>
            <w:tcMar>
              <w:top w:w="100" w:type="dxa"/>
              <w:bottom w:w="100" w:type="dxa"/>
              <w:left w:w="100" w:type="dxa"/>
              <w:right w:w="100" w:type="dxa"/>
            </w:tcMar>
          </w:tcPr>
          <w:p>
            <w:pPr>
              <w:jc w:val="center"/>
            </w:pPr>
            <w:r>
              <w:rPr>
                <w:rFonts w:ascii="Calibri" w:hAnsi="Calibri"/>
                <w:b/>
                <w:color w:val="0D233A"/>
                <w:sz w:val="17"/>
              </w:rPr>
              <w:t>Ungated (Continuous)</w:t>
            </w:r>
          </w:p>
        </w:tc>
        <w:tc>
          <w:tcPr>
            <w:tcW w:type="dxa" w:w="1440"/>
            <w:shd w:fill="EBF3FA"/>
            <w:tcMar>
              <w:top w:w="100" w:type="dxa"/>
              <w:bottom w:w="100" w:type="dxa"/>
              <w:left w:w="100" w:type="dxa"/>
              <w:right w:w="100" w:type="dxa"/>
            </w:tcMar>
          </w:tcPr>
          <w:p>
            <w:pPr>
              <w:jc w:val="center"/>
            </w:pPr>
            <w:r>
              <w:rPr>
                <w:rFonts w:ascii="Calibri" w:hAnsi="Calibri"/>
                <w:b/>
                <w:color w:val="0D233A"/>
                <w:sz w:val="17"/>
              </w:rPr>
              <w:t>Deployed Exact-Hash</w:t>
            </w:r>
          </w:p>
        </w:tc>
        <w:tc>
          <w:tcPr>
            <w:tcW w:type="dxa" w:w="1440"/>
            <w:shd w:fill="EBF3FA"/>
            <w:tcMar>
              <w:top w:w="100" w:type="dxa"/>
              <w:bottom w:w="100" w:type="dxa"/>
              <w:left w:w="100" w:type="dxa"/>
              <w:right w:w="100" w:type="dxa"/>
            </w:tcMar>
          </w:tcPr>
          <w:p>
            <w:pPr>
              <w:jc w:val="center"/>
            </w:pPr>
            <w:r>
              <w:rPr>
                <w:rFonts w:ascii="Calibri" w:hAnsi="Calibri"/>
                <w:b/>
                <w:color w:val="0D233A"/>
                <w:sz w:val="17"/>
              </w:rPr>
              <w:t>dHash Threshold (τ=0.18)</w:t>
            </w:r>
          </w:p>
        </w:tc>
        <w:tc>
          <w:tcPr>
            <w:tcW w:type="dxa" w:w="1440"/>
            <w:shd w:fill="EBF3FA"/>
            <w:tcMar>
              <w:top w:w="100" w:type="dxa"/>
              <w:bottom w:w="100" w:type="dxa"/>
              <w:left w:w="100" w:type="dxa"/>
              <w:right w:w="100" w:type="dxa"/>
            </w:tcMar>
          </w:tcPr>
          <w:p>
            <w:pPr>
              <w:jc w:val="center"/>
            </w:pPr>
            <w:r>
              <w:rPr>
                <w:rFonts w:ascii="Calibri" w:hAnsi="Calibri"/>
                <w:b/>
                <w:color w:val="0D233A"/>
                <w:sz w:val="17"/>
              </w:rPr>
              <w:t>Proposed (Default Profile)</w:t>
            </w:r>
          </w:p>
        </w:tc>
        <w:tc>
          <w:tcPr>
            <w:tcW w:type="dxa" w:w="1440"/>
            <w:shd w:fill="EBF3FA"/>
            <w:tcMar>
              <w:top w:w="100" w:type="dxa"/>
              <w:bottom w:w="100" w:type="dxa"/>
              <w:left w:w="100" w:type="dxa"/>
              <w:right w:w="100" w:type="dxa"/>
            </w:tcMar>
          </w:tcPr>
          <w:p>
            <w:pPr>
              <w:jc w:val="center"/>
            </w:pPr>
            <w:r>
              <w:rPr>
                <w:rFonts w:ascii="Calibri" w:hAnsi="Calibri"/>
                <w:b/>
                <w:color w:val="0D233A"/>
                <w:sz w:val="17"/>
              </w:rPr>
              <w:t>Proposed (Task-OCR Profile)</w:t>
            </w:r>
          </w:p>
        </w:tc>
      </w:tr>
      <w:tr>
        <w:tc>
          <w:tcPr>
            <w:tcW w:type="dxa" w:w="2592"/>
            <w:shd w:fill="F8FAFC"/>
            <w:tcMar>
              <w:top w:w="80" w:type="dxa"/>
              <w:bottom w:w="80" w:type="dxa"/>
              <w:left w:w="100" w:type="dxa"/>
              <w:right w:w="100" w:type="dxa"/>
            </w:tcMar>
          </w:tcPr>
          <w:p>
            <w:pPr>
              <w:jc w:val="left"/>
            </w:pPr>
            <w:r>
              <w:rPr>
                <w:rFonts w:ascii="Calibri" w:hAnsi="Calibri"/>
                <w:color w:val="212121"/>
                <w:sz w:val="18"/>
              </w:rPr>
              <w:t>Scenario A — Static Indoor + Noise</w:t>
            </w:r>
          </w:p>
        </w:tc>
        <w:tc>
          <w:tcPr>
            <w:tcW w:type="dxa" w:w="1296"/>
            <w:shd w:fill="F8FAFC"/>
            <w:tcMar>
              <w:top w:w="80" w:type="dxa"/>
              <w:bottom w:w="80" w:type="dxa"/>
              <w:left w:w="100" w:type="dxa"/>
              <w:right w:w="100" w:type="dxa"/>
            </w:tcMar>
          </w:tcPr>
          <w:p>
            <w:pPr>
              <w:jc w:val="center"/>
            </w:pPr>
            <w:r>
              <w:rPr>
                <w:rFonts w:ascii="Calibri" w:hAnsi="Calibri"/>
                <w:color w:val="212121"/>
                <w:sz w:val="18"/>
              </w:rPr>
              <w:t>200.0 ± 0.0 (0.0%)</w:t>
            </w:r>
          </w:p>
        </w:tc>
        <w:tc>
          <w:tcPr>
            <w:tcW w:type="dxa" w:w="1440"/>
            <w:shd w:fill="F8FAFC"/>
            <w:tcMar>
              <w:top w:w="80" w:type="dxa"/>
              <w:bottom w:w="80" w:type="dxa"/>
              <w:left w:w="100" w:type="dxa"/>
              <w:right w:w="100" w:type="dxa"/>
            </w:tcMar>
          </w:tcPr>
          <w:p>
            <w:pPr>
              <w:jc w:val="center"/>
            </w:pPr>
            <w:r>
              <w:rPr>
                <w:rFonts w:ascii="Calibri" w:hAnsi="Calibri"/>
                <w:color w:val="B71C1C"/>
                <w:sz w:val="18"/>
              </w:rPr>
              <w:t>200.0 ± 0.0 (0.0%)</w:t>
            </w:r>
          </w:p>
        </w:tc>
        <w:tc>
          <w:tcPr>
            <w:tcW w:type="dxa" w:w="1440"/>
            <w:shd w:fill="F8FAFC"/>
            <w:tcMar>
              <w:top w:w="80" w:type="dxa"/>
              <w:bottom w:w="80" w:type="dxa"/>
              <w:left w:w="100" w:type="dxa"/>
              <w:right w:w="100" w:type="dxa"/>
            </w:tcMar>
          </w:tcPr>
          <w:p>
            <w:pPr>
              <w:jc w:val="center"/>
            </w:pPr>
            <w:r>
              <w:rPr>
                <w:rFonts w:ascii="Calibri" w:hAnsi="Calibri"/>
                <w:color w:val="212121"/>
                <w:sz w:val="18"/>
              </w:rPr>
              <w:t>1.0 ± 0.0 (99.5%)</w:t>
            </w:r>
          </w:p>
        </w:tc>
        <w:tc>
          <w:tcPr>
            <w:tcW w:type="dxa" w:w="1440"/>
            <w:shd w:fill="F8FAFC"/>
            <w:tcMar>
              <w:top w:w="80" w:type="dxa"/>
              <w:bottom w:w="80" w:type="dxa"/>
              <w:left w:w="100" w:type="dxa"/>
              <w:right w:w="100" w:type="dxa"/>
            </w:tcMar>
          </w:tcPr>
          <w:p>
            <w:pPr>
              <w:jc w:val="center"/>
            </w:pPr>
            <w:r>
              <w:rPr>
                <w:rFonts w:ascii="Calibri" w:hAnsi="Calibri"/>
                <w:b/>
                <w:color w:val="1B5E20"/>
                <w:sz w:val="18"/>
              </w:rPr>
              <w:t>1.0 ± 0.0 (99.5%)</w:t>
            </w:r>
          </w:p>
        </w:tc>
        <w:tc>
          <w:tcPr>
            <w:tcW w:type="dxa" w:w="1440"/>
            <w:shd w:fill="F8FAFC"/>
            <w:tcMar>
              <w:top w:w="80" w:type="dxa"/>
              <w:bottom w:w="80" w:type="dxa"/>
              <w:left w:w="100" w:type="dxa"/>
              <w:right w:w="100" w:type="dxa"/>
            </w:tcMar>
          </w:tcPr>
          <w:p>
            <w:pPr>
              <w:jc w:val="center"/>
            </w:pPr>
            <w:r>
              <w:rPr>
                <w:rFonts w:ascii="Calibri" w:hAnsi="Calibri"/>
                <w:b/>
                <w:color w:val="1B5E20"/>
                <w:sz w:val="18"/>
              </w:rPr>
              <w:t>1.0 ± 0.0 (99.5%)</w:t>
            </w:r>
          </w:p>
        </w:tc>
      </w:tr>
      <w:tr>
        <w:tc>
          <w:tcPr>
            <w:tcW w:type="dxa" w:w="2592"/>
            <w:shd w:fill="FFFFFF"/>
            <w:tcMar>
              <w:top w:w="80" w:type="dxa"/>
              <w:bottom w:w="80" w:type="dxa"/>
              <w:left w:w="100" w:type="dxa"/>
              <w:right w:w="100" w:type="dxa"/>
            </w:tcMar>
          </w:tcPr>
          <w:p>
            <w:pPr>
              <w:jc w:val="left"/>
            </w:pPr>
            <w:r>
              <w:rPr>
                <w:rFonts w:ascii="Calibri" w:hAnsi="Calibri"/>
                <w:color w:val="212121"/>
                <w:sz w:val="18"/>
              </w:rPr>
              <w:t>Scenario B — Ambulatory Drift (2 px/f)</w:t>
            </w:r>
          </w:p>
        </w:tc>
        <w:tc>
          <w:tcPr>
            <w:tcW w:type="dxa" w:w="1296"/>
            <w:shd w:fill="FFFFFF"/>
            <w:tcMar>
              <w:top w:w="80" w:type="dxa"/>
              <w:bottom w:w="80" w:type="dxa"/>
              <w:left w:w="100" w:type="dxa"/>
              <w:right w:w="100" w:type="dxa"/>
            </w:tcMar>
          </w:tcPr>
          <w:p>
            <w:pPr>
              <w:jc w:val="center"/>
            </w:pPr>
            <w:r>
              <w:rPr>
                <w:rFonts w:ascii="Calibri" w:hAnsi="Calibri"/>
                <w:color w:val="212121"/>
                <w:sz w:val="18"/>
              </w:rPr>
              <w:t>200.0 ± 0.0 (0.0%)</w:t>
            </w:r>
          </w:p>
        </w:tc>
        <w:tc>
          <w:tcPr>
            <w:tcW w:type="dxa" w:w="1440"/>
            <w:shd w:fill="FFFFFF"/>
            <w:tcMar>
              <w:top w:w="80" w:type="dxa"/>
              <w:bottom w:w="80" w:type="dxa"/>
              <w:left w:w="100" w:type="dxa"/>
              <w:right w:w="100" w:type="dxa"/>
            </w:tcMar>
          </w:tcPr>
          <w:p>
            <w:pPr>
              <w:jc w:val="center"/>
            </w:pPr>
            <w:r>
              <w:rPr>
                <w:rFonts w:ascii="Calibri" w:hAnsi="Calibri"/>
                <w:color w:val="B71C1C"/>
                <w:sz w:val="18"/>
              </w:rPr>
              <w:t>200.0 ± 0.0 (0.0%)</w:t>
            </w:r>
          </w:p>
        </w:tc>
        <w:tc>
          <w:tcPr>
            <w:tcW w:type="dxa" w:w="1440"/>
            <w:shd w:fill="FFFFFF"/>
            <w:tcMar>
              <w:top w:w="80" w:type="dxa"/>
              <w:bottom w:w="80" w:type="dxa"/>
              <w:left w:w="100" w:type="dxa"/>
              <w:right w:w="100" w:type="dxa"/>
            </w:tcMar>
          </w:tcPr>
          <w:p>
            <w:pPr>
              <w:jc w:val="center"/>
            </w:pPr>
            <w:r>
              <w:rPr>
                <w:rFonts w:ascii="Calibri" w:hAnsi="Calibri"/>
                <w:color w:val="212121"/>
                <w:sz w:val="18"/>
              </w:rPr>
              <w:t>160.0 ± 0.0 (20.0%)</w:t>
            </w:r>
          </w:p>
        </w:tc>
        <w:tc>
          <w:tcPr>
            <w:tcW w:type="dxa" w:w="1440"/>
            <w:shd w:fill="FFFFFF"/>
            <w:tcMar>
              <w:top w:w="80" w:type="dxa"/>
              <w:bottom w:w="80" w:type="dxa"/>
              <w:left w:w="100" w:type="dxa"/>
              <w:right w:w="100" w:type="dxa"/>
            </w:tcMar>
          </w:tcPr>
          <w:p>
            <w:pPr>
              <w:jc w:val="center"/>
            </w:pPr>
            <w:r>
              <w:rPr>
                <w:rFonts w:ascii="Calibri" w:hAnsi="Calibri"/>
                <w:b/>
                <w:color w:val="1B5E20"/>
                <w:sz w:val="18"/>
              </w:rPr>
              <w:t>71.0 ± 0.0 (64.5%)</w:t>
            </w:r>
          </w:p>
        </w:tc>
        <w:tc>
          <w:tcPr>
            <w:tcW w:type="dxa" w:w="1440"/>
            <w:shd w:fill="FFFFFF"/>
            <w:tcMar>
              <w:top w:w="80" w:type="dxa"/>
              <w:bottom w:w="80" w:type="dxa"/>
              <w:left w:w="100" w:type="dxa"/>
              <w:right w:w="100" w:type="dxa"/>
            </w:tcMar>
          </w:tcPr>
          <w:p>
            <w:pPr>
              <w:jc w:val="center"/>
            </w:pPr>
            <w:r>
              <w:rPr>
                <w:rFonts w:ascii="Calibri" w:hAnsi="Calibri"/>
                <w:b/>
                <w:color w:val="1B5E20"/>
                <w:sz w:val="18"/>
              </w:rPr>
              <w:t>123.0 ± 0.0 (38.5%)</w:t>
            </w:r>
          </w:p>
        </w:tc>
      </w:tr>
      <w:tr>
        <w:tc>
          <w:tcPr>
            <w:tcW w:type="dxa" w:w="2592"/>
            <w:shd w:fill="F8FAFC"/>
            <w:tcMar>
              <w:top w:w="80" w:type="dxa"/>
              <w:bottom w:w="80" w:type="dxa"/>
              <w:left w:w="100" w:type="dxa"/>
              <w:right w:w="100" w:type="dxa"/>
            </w:tcMar>
          </w:tcPr>
          <w:p>
            <w:pPr>
              <w:jc w:val="left"/>
            </w:pPr>
            <w:r>
              <w:rPr>
                <w:rFonts w:ascii="Calibri" w:hAnsi="Calibri"/>
                <w:color w:val="212121"/>
                <w:sz w:val="18"/>
              </w:rPr>
              <w:t>Scenario C — Hazard Onset &amp; Crossing</w:t>
            </w:r>
          </w:p>
        </w:tc>
        <w:tc>
          <w:tcPr>
            <w:tcW w:type="dxa" w:w="1296"/>
            <w:shd w:fill="F8FAFC"/>
            <w:tcMar>
              <w:top w:w="80" w:type="dxa"/>
              <w:bottom w:w="80" w:type="dxa"/>
              <w:left w:w="100" w:type="dxa"/>
              <w:right w:w="100" w:type="dxa"/>
            </w:tcMar>
          </w:tcPr>
          <w:p>
            <w:pPr>
              <w:jc w:val="center"/>
            </w:pPr>
            <w:r>
              <w:rPr>
                <w:rFonts w:ascii="Calibri" w:hAnsi="Calibri"/>
                <w:color w:val="212121"/>
                <w:sz w:val="18"/>
              </w:rPr>
              <w:t>200.0 ± 0.0 (0.0%)</w:t>
            </w:r>
          </w:p>
        </w:tc>
        <w:tc>
          <w:tcPr>
            <w:tcW w:type="dxa" w:w="1440"/>
            <w:shd w:fill="F8FAFC"/>
            <w:tcMar>
              <w:top w:w="80" w:type="dxa"/>
              <w:bottom w:w="80" w:type="dxa"/>
              <w:left w:w="100" w:type="dxa"/>
              <w:right w:w="100" w:type="dxa"/>
            </w:tcMar>
          </w:tcPr>
          <w:p>
            <w:pPr>
              <w:jc w:val="center"/>
            </w:pPr>
            <w:r>
              <w:rPr>
                <w:rFonts w:ascii="Calibri" w:hAnsi="Calibri"/>
                <w:color w:val="B71C1C"/>
                <w:sz w:val="18"/>
              </w:rPr>
              <w:t>200.0 ± 0.0 (0.0%)</w:t>
            </w:r>
          </w:p>
        </w:tc>
        <w:tc>
          <w:tcPr>
            <w:tcW w:type="dxa" w:w="1440"/>
            <w:shd w:fill="F8FAFC"/>
            <w:tcMar>
              <w:top w:w="80" w:type="dxa"/>
              <w:bottom w:w="80" w:type="dxa"/>
              <w:left w:w="100" w:type="dxa"/>
              <w:right w:w="100" w:type="dxa"/>
            </w:tcMar>
          </w:tcPr>
          <w:p>
            <w:pPr>
              <w:jc w:val="center"/>
            </w:pPr>
            <w:r>
              <w:rPr>
                <w:rFonts w:ascii="Calibri" w:hAnsi="Calibri"/>
                <w:color w:val="212121"/>
                <w:sz w:val="18"/>
              </w:rPr>
              <w:t>16.0 ± 0.4 (92.0%)</w:t>
            </w:r>
          </w:p>
        </w:tc>
        <w:tc>
          <w:tcPr>
            <w:tcW w:type="dxa" w:w="1440"/>
            <w:shd w:fill="F8FAFC"/>
            <w:tcMar>
              <w:top w:w="80" w:type="dxa"/>
              <w:bottom w:w="80" w:type="dxa"/>
              <w:left w:w="100" w:type="dxa"/>
              <w:right w:w="100" w:type="dxa"/>
            </w:tcMar>
          </w:tcPr>
          <w:p>
            <w:pPr>
              <w:jc w:val="center"/>
            </w:pPr>
            <w:r>
              <w:rPr>
                <w:rFonts w:ascii="Calibri" w:hAnsi="Calibri"/>
                <w:b/>
                <w:color w:val="1B5E20"/>
                <w:sz w:val="18"/>
              </w:rPr>
              <w:t>1.0 ± 0.0 (99.5%)</w:t>
            </w:r>
          </w:p>
        </w:tc>
        <w:tc>
          <w:tcPr>
            <w:tcW w:type="dxa" w:w="1440"/>
            <w:shd w:fill="F8FAFC"/>
            <w:tcMar>
              <w:top w:w="80" w:type="dxa"/>
              <w:bottom w:w="80" w:type="dxa"/>
              <w:left w:w="100" w:type="dxa"/>
              <w:right w:w="100" w:type="dxa"/>
            </w:tcMar>
          </w:tcPr>
          <w:p>
            <w:pPr>
              <w:jc w:val="center"/>
            </w:pPr>
            <w:r>
              <w:rPr>
                <w:rFonts w:ascii="Calibri" w:hAnsi="Calibri"/>
                <w:b/>
                <w:color w:val="1B5E20"/>
                <w:sz w:val="18"/>
              </w:rPr>
              <w:t>18.5 ± 5.4 (90.8%)</w:t>
            </w:r>
          </w:p>
        </w:tc>
      </w:tr>
      <w:tr>
        <w:tc>
          <w:tcPr>
            <w:tcW w:type="dxa" w:w="2592"/>
            <w:shd w:fill="FFFFFF"/>
            <w:tcMar>
              <w:top w:w="80" w:type="dxa"/>
              <w:bottom w:w="80" w:type="dxa"/>
              <w:left w:w="100" w:type="dxa"/>
              <w:right w:w="100" w:type="dxa"/>
            </w:tcMar>
          </w:tcPr>
          <w:p>
            <w:pPr>
              <w:jc w:val="left"/>
            </w:pPr>
            <w:r>
              <w:rPr>
                <w:rFonts w:ascii="Calibri" w:hAnsi="Calibri"/>
                <w:color w:val="212121"/>
                <w:sz w:val="18"/>
              </w:rPr>
              <w:t>Scenario D — Text-Dense Inspection</w:t>
            </w:r>
          </w:p>
        </w:tc>
        <w:tc>
          <w:tcPr>
            <w:tcW w:type="dxa" w:w="1296"/>
            <w:shd w:fill="FFFFFF"/>
            <w:tcMar>
              <w:top w:w="80" w:type="dxa"/>
              <w:bottom w:w="80" w:type="dxa"/>
              <w:left w:w="100" w:type="dxa"/>
              <w:right w:w="100" w:type="dxa"/>
            </w:tcMar>
          </w:tcPr>
          <w:p>
            <w:pPr>
              <w:jc w:val="center"/>
            </w:pPr>
            <w:r>
              <w:rPr>
                <w:rFonts w:ascii="Calibri" w:hAnsi="Calibri"/>
                <w:color w:val="212121"/>
                <w:sz w:val="18"/>
              </w:rPr>
              <w:t>200.0 ± 0.0 (0.0%)</w:t>
            </w:r>
          </w:p>
        </w:tc>
        <w:tc>
          <w:tcPr>
            <w:tcW w:type="dxa" w:w="1440"/>
            <w:shd w:fill="FFFFFF"/>
            <w:tcMar>
              <w:top w:w="80" w:type="dxa"/>
              <w:bottom w:w="80" w:type="dxa"/>
              <w:left w:w="100" w:type="dxa"/>
              <w:right w:w="100" w:type="dxa"/>
            </w:tcMar>
          </w:tcPr>
          <w:p>
            <w:pPr>
              <w:jc w:val="center"/>
            </w:pPr>
            <w:r>
              <w:rPr>
                <w:rFonts w:ascii="Calibri" w:hAnsi="Calibri"/>
                <w:color w:val="B71C1C"/>
                <w:sz w:val="18"/>
              </w:rPr>
              <w:t>200.0 ± 0.0 (0.0%)</w:t>
            </w:r>
          </w:p>
        </w:tc>
        <w:tc>
          <w:tcPr>
            <w:tcW w:type="dxa" w:w="1440"/>
            <w:shd w:fill="FFFFFF"/>
            <w:tcMar>
              <w:top w:w="80" w:type="dxa"/>
              <w:bottom w:w="80" w:type="dxa"/>
              <w:left w:w="100" w:type="dxa"/>
              <w:right w:w="100" w:type="dxa"/>
            </w:tcMar>
          </w:tcPr>
          <w:p>
            <w:pPr>
              <w:jc w:val="center"/>
            </w:pPr>
            <w:r>
              <w:rPr>
                <w:rFonts w:ascii="Calibri" w:hAnsi="Calibri"/>
                <w:color w:val="212121"/>
                <w:sz w:val="18"/>
              </w:rPr>
              <w:t>186.1 ± 4.3 (6.9%)</w:t>
            </w:r>
          </w:p>
        </w:tc>
        <w:tc>
          <w:tcPr>
            <w:tcW w:type="dxa" w:w="1440"/>
            <w:shd w:fill="FFFFFF"/>
            <w:tcMar>
              <w:top w:w="80" w:type="dxa"/>
              <w:bottom w:w="80" w:type="dxa"/>
              <w:left w:w="100" w:type="dxa"/>
              <w:right w:w="100" w:type="dxa"/>
            </w:tcMar>
          </w:tcPr>
          <w:p>
            <w:pPr>
              <w:jc w:val="center"/>
            </w:pPr>
            <w:r>
              <w:rPr>
                <w:rFonts w:ascii="Calibri" w:hAnsi="Calibri"/>
                <w:b/>
                <w:color w:val="1B5E20"/>
                <w:sz w:val="18"/>
              </w:rPr>
              <w:t>1.0 ± 0.0 (99.5%)</w:t>
            </w:r>
          </w:p>
        </w:tc>
        <w:tc>
          <w:tcPr>
            <w:tcW w:type="dxa" w:w="1440"/>
            <w:shd w:fill="FFFFFF"/>
            <w:tcMar>
              <w:top w:w="80" w:type="dxa"/>
              <w:bottom w:w="80" w:type="dxa"/>
              <w:left w:w="100" w:type="dxa"/>
              <w:right w:w="100" w:type="dxa"/>
            </w:tcMar>
          </w:tcPr>
          <w:p>
            <w:pPr>
              <w:jc w:val="center"/>
            </w:pPr>
            <w:r>
              <w:rPr>
                <w:rFonts w:ascii="Calibri" w:hAnsi="Calibri"/>
                <w:b/>
                <w:color w:val="1B5E20"/>
                <w:sz w:val="18"/>
              </w:rPr>
              <w:t>32.9 ± 3.9 (83.5%)</w:t>
            </w:r>
          </w:p>
        </w:tc>
      </w:tr>
      <w:tr>
        <w:tc>
          <w:tcPr>
            <w:tcW w:type="dxa" w:w="2592"/>
            <w:shd w:fill="F8FAFC"/>
            <w:tcMar>
              <w:top w:w="80" w:type="dxa"/>
              <w:bottom w:w="80" w:type="dxa"/>
              <w:left w:w="100" w:type="dxa"/>
              <w:right w:w="100" w:type="dxa"/>
            </w:tcMar>
          </w:tcPr>
          <w:p>
            <w:pPr>
              <w:jc w:val="left"/>
            </w:pPr>
            <w:r>
              <w:rPr>
                <w:rFonts w:ascii="Calibri" w:hAnsi="Calibri"/>
                <w:color w:val="212121"/>
                <w:sz w:val="18"/>
              </w:rPr>
              <w:t>Scenario E — Dynamic Illumination</w:t>
            </w:r>
          </w:p>
        </w:tc>
        <w:tc>
          <w:tcPr>
            <w:tcW w:type="dxa" w:w="1296"/>
            <w:shd w:fill="F8FAFC"/>
            <w:tcMar>
              <w:top w:w="80" w:type="dxa"/>
              <w:bottom w:w="80" w:type="dxa"/>
              <w:left w:w="100" w:type="dxa"/>
              <w:right w:w="100" w:type="dxa"/>
            </w:tcMar>
          </w:tcPr>
          <w:p>
            <w:pPr>
              <w:jc w:val="center"/>
            </w:pPr>
            <w:r>
              <w:rPr>
                <w:rFonts w:ascii="Calibri" w:hAnsi="Calibri"/>
                <w:color w:val="212121"/>
                <w:sz w:val="18"/>
              </w:rPr>
              <w:t>200.0 ± 0.0 (0.0%)</w:t>
            </w:r>
          </w:p>
        </w:tc>
        <w:tc>
          <w:tcPr>
            <w:tcW w:type="dxa" w:w="1440"/>
            <w:shd w:fill="F8FAFC"/>
            <w:tcMar>
              <w:top w:w="80" w:type="dxa"/>
              <w:bottom w:w="80" w:type="dxa"/>
              <w:left w:w="100" w:type="dxa"/>
              <w:right w:w="100" w:type="dxa"/>
            </w:tcMar>
          </w:tcPr>
          <w:p>
            <w:pPr>
              <w:jc w:val="center"/>
            </w:pPr>
            <w:r>
              <w:rPr>
                <w:rFonts w:ascii="Calibri" w:hAnsi="Calibri"/>
                <w:color w:val="B71C1C"/>
                <w:sz w:val="18"/>
              </w:rPr>
              <w:t>200.0 ± 0.0 (0.0%)</w:t>
            </w:r>
          </w:p>
        </w:tc>
        <w:tc>
          <w:tcPr>
            <w:tcW w:type="dxa" w:w="1440"/>
            <w:shd w:fill="F8FAFC"/>
            <w:tcMar>
              <w:top w:w="80" w:type="dxa"/>
              <w:bottom w:w="80" w:type="dxa"/>
              <w:left w:w="100" w:type="dxa"/>
              <w:right w:w="100" w:type="dxa"/>
            </w:tcMar>
          </w:tcPr>
          <w:p>
            <w:pPr>
              <w:jc w:val="center"/>
            </w:pPr>
            <w:r>
              <w:rPr>
                <w:rFonts w:ascii="Calibri" w:hAnsi="Calibri"/>
                <w:color w:val="212121"/>
                <w:sz w:val="18"/>
              </w:rPr>
              <w:t>1.0 ± 0.0 (99.5%)</w:t>
            </w:r>
          </w:p>
        </w:tc>
        <w:tc>
          <w:tcPr>
            <w:tcW w:type="dxa" w:w="1440"/>
            <w:shd w:fill="F8FAFC"/>
            <w:tcMar>
              <w:top w:w="80" w:type="dxa"/>
              <w:bottom w:w="80" w:type="dxa"/>
              <w:left w:w="100" w:type="dxa"/>
              <w:right w:w="100" w:type="dxa"/>
            </w:tcMar>
          </w:tcPr>
          <w:p>
            <w:pPr>
              <w:jc w:val="center"/>
            </w:pPr>
            <w:r>
              <w:rPr>
                <w:rFonts w:ascii="Calibri" w:hAnsi="Calibri"/>
                <w:b/>
                <w:color w:val="1B5E20"/>
                <w:sz w:val="18"/>
              </w:rPr>
              <w:t>1.0 ± 0.0 (99.5%)</w:t>
            </w:r>
          </w:p>
        </w:tc>
        <w:tc>
          <w:tcPr>
            <w:tcW w:type="dxa" w:w="1440"/>
            <w:shd w:fill="F8FAFC"/>
            <w:tcMar>
              <w:top w:w="80" w:type="dxa"/>
              <w:bottom w:w="80" w:type="dxa"/>
              <w:left w:w="100" w:type="dxa"/>
              <w:right w:w="100" w:type="dxa"/>
            </w:tcMar>
          </w:tcPr>
          <w:p>
            <w:pPr>
              <w:jc w:val="center"/>
            </w:pPr>
            <w:r>
              <w:rPr>
                <w:rFonts w:ascii="Calibri" w:hAnsi="Calibri"/>
                <w:b/>
                <w:color w:val="1B5E20"/>
                <w:sz w:val="18"/>
              </w:rPr>
              <w:t>6.9 ± 0.3 (96.5%)</w:t>
            </w:r>
          </w:p>
        </w:tc>
      </w:tr>
    </w:tbl>
    <w:p>
      <w:pPr>
        <w:spacing w:before="240" w:after="80"/>
        <w:jc w:val="center"/>
      </w:pPr>
      <w:r>
        <w:drawing>
          <wp:inline xmlns:a="http://schemas.openxmlformats.org/drawingml/2006/main" xmlns:pic="http://schemas.openxmlformats.org/drawingml/2006/picture">
            <wp:extent cx="5669280" cy="2712007"/>
            <wp:docPr id="4" name="Picture 4"/>
            <wp:cNvGraphicFramePr>
              <a:graphicFrameLocks noChangeAspect="1"/>
            </wp:cNvGraphicFramePr>
            <a:graphic>
              <a:graphicData uri="http://schemas.openxmlformats.org/drawingml/2006/picture">
                <pic:pic>
                  <pic:nvPicPr>
                    <pic:cNvPr id="0" name="fig3_suppression_chart.png"/>
                    <pic:cNvPicPr/>
                  </pic:nvPicPr>
                  <pic:blipFill>
                    <a:blip r:embed="rId14"/>
                    <a:stretch>
                      <a:fillRect/>
                    </a:stretch>
                  </pic:blipFill>
                  <pic:spPr>
                    <a:xfrm>
                      <a:off x="0" y="0"/>
                      <a:ext cx="5669280" cy="2712007"/>
                    </a:xfrm>
                    <a:prstGeom prst="rect"/>
                  </pic:spPr>
                </pic:pic>
              </a:graphicData>
            </a:graphic>
          </wp:inline>
        </w:drawing>
      </w:r>
    </w:p>
    <w:p>
      <w:pPr>
        <w:spacing w:before="40" w:after="280" w:line="276" w:lineRule="auto"/>
        <w:ind w:left="576" w:right="576"/>
      </w:pPr>
      <w:r>
        <w:rPr>
          <w:rFonts w:ascii="Calibri" w:hAnsi="Calibri"/>
          <w:b/>
          <w:color w:val="0D233A"/>
          <w:sz w:val="17"/>
        </w:rPr>
        <w:t xml:space="preserve">Fig. 4. </w:t>
      </w:r>
      <w:r>
        <w:rPr>
          <w:rFonts w:ascii="Calibri" w:hAnsi="Calibri"/>
          <w:color w:val="3C3C3C"/>
          <w:sz w:val="17"/>
        </w:rPr>
        <w:t>Vision Engine invocation counts across the five evaluated synthetic scenarios (200 frames each), comparing the Ungated baseline (200 invocations), the deployed exact-hash gate (0.0% suppression due to noise bit-flips), and the proposed multi-factor gate under default and task-conditioned profiles.</w:t>
      </w:r>
    </w:p>
    <w:p>
      <w:pPr>
        <w:spacing w:before="0" w:after="120" w:line="276" w:lineRule="auto"/>
      </w:pPr>
      <w:r>
        <w:rPr>
          <w:rFonts w:ascii="Calibri" w:hAnsi="Calibri"/>
          <w:color w:val="282828"/>
          <w:sz w:val="20"/>
        </w:rPr>
        <w:t>7.3 Analysis of Redundancy Suppression: In Scenario A, the deployed exact-hash gate triggers 200/200 invocations (0.0% suppression) because Gaussian sensor noise causes single-bit flips between frames. In contrast, the proposed gate filters out all 199 noise frames, triggering exactly 1 initial invocation (99.5% suppression). In Scenario B (Ambulatory drift), the proposed gate achieves 64.5% suppression (71 invocations), spacing updates proportionally to cumulative displacement against I_{t_p}.</w:t>
      </w:r>
    </w:p>
    <w:p>
      <w:pPr>
        <w:spacing w:before="0" w:after="120" w:line="276" w:lineRule="auto"/>
      </w:pPr>
      <w:r>
        <w:rPr>
          <w:rFonts w:ascii="Calibri" w:hAnsi="Calibri"/>
          <w:color w:val="282828"/>
          <w:sz w:val="20"/>
        </w:rPr>
        <w:t>7.4 The Text-Dense Failure Mode and Resolution: In Scenario D, the default gate under-reacts to fine-grained character updates (1 invocation, 99.5% suppression), because localized text alterations modify &lt;4% of frame pixels. When switching to the Task-Conditioned OCR Profile (theta_{text}), the gate increases sensitivity to 32.9 invocations (83.5% suppression), successfully capturing 60.2% of ground-truth line updates with an average latency of 1.6 frames.</w:t>
      </w:r>
    </w:p>
    <w:p>
      <w:pPr>
        <w:keepNext/>
        <w:spacing w:before="320" w:after="120"/>
      </w:pPr>
      <w:r>
        <w:rPr>
          <w:rFonts w:ascii="Calibri" w:hAnsi="Calibri"/>
          <w:b/>
          <w:color w:val="0D233A"/>
          <w:sz w:val="27"/>
        </w:rPr>
        <w:t>8. Ablation and Sensitivity Analysis</w:t>
      </w:r>
    </w:p>
    <w:p>
      <w:pPr>
        <w:spacing w:before="0" w:after="120" w:line="276" w:lineRule="auto"/>
      </w:pPr>
      <w:r>
        <w:rPr>
          <w:rFonts w:ascii="Calibri" w:hAnsi="Calibri"/>
          <w:color w:val="282828"/>
          <w:sz w:val="20"/>
        </w:rPr>
        <w:t>8.1 10-Way Component Ablation: Table III presents the 10-way ablation study evaluating the individual and pairwise contributions of each gating term.</w:t>
      </w:r>
    </w:p>
    <w:p>
      <w:pPr>
        <w:keepNext/>
        <w:spacing w:before="240" w:after="60"/>
        <w:jc w:val="center"/>
      </w:pPr>
      <w:r>
        <w:rPr>
          <w:rFonts w:ascii="Calibri" w:hAnsi="Calibri"/>
          <w:b/>
          <w:color w:val="0D233A"/>
          <w:sz w:val="19"/>
        </w:rPr>
        <w:t>TABLE III</w:t>
        <w:br/>
      </w:r>
      <w:r>
        <w:rPr>
          <w:rFonts w:ascii="Calibri" w:hAnsi="Calibri"/>
          <w:b/>
          <w:color w:val="3C3C3C"/>
          <w:sz w:val="17"/>
        </w:rPr>
        <w:t>10-WAY COMPONENT ABLATION STUDY (EVALUATED ON SCENARIOS C AND D OVER 10 SEEDS)</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1560"/>
        <w:gridCol w:w="1560"/>
        <w:gridCol w:w="1560"/>
        <w:gridCol w:w="1560"/>
        <w:gridCol w:w="1560"/>
        <w:gridCol w:w="1560"/>
      </w:tblGrid>
      <w:tr>
        <w:tc>
          <w:tcPr>
            <w:tcW w:type="dxa" w:w="3168"/>
            <w:shd w:fill="EBF3FA"/>
            <w:tcMar>
              <w:top w:w="100" w:type="dxa"/>
              <w:bottom w:w="100" w:type="dxa"/>
              <w:left w:w="100" w:type="dxa"/>
              <w:right w:w="100" w:type="dxa"/>
            </w:tcMar>
          </w:tcPr>
          <w:p>
            <w:pPr>
              <w:jc w:val="left"/>
            </w:pPr>
            <w:r>
              <w:rPr>
                <w:rFonts w:ascii="Calibri" w:hAnsi="Calibri"/>
                <w:b/>
                <w:color w:val="0D233A"/>
                <w:sz w:val="17"/>
              </w:rPr>
              <w:t>Configuration / Term Evaluated</w:t>
            </w:r>
          </w:p>
        </w:tc>
        <w:tc>
          <w:tcPr>
            <w:tcW w:type="dxa" w:w="2160"/>
            <w:shd w:fill="EBF3FA"/>
            <w:tcMar>
              <w:top w:w="100" w:type="dxa"/>
              <w:bottom w:w="100" w:type="dxa"/>
              <w:left w:w="100" w:type="dxa"/>
              <w:right w:w="100" w:type="dxa"/>
            </w:tcMar>
          </w:tcPr>
          <w:p>
            <w:pPr>
              <w:jc w:val="left"/>
            </w:pPr>
            <w:r>
              <w:rPr>
                <w:rFonts w:ascii="Calibri" w:hAnsi="Calibri"/>
                <w:b/>
                <w:color w:val="0D233A"/>
                <w:sz w:val="17"/>
              </w:rPr>
              <w:t>Weights (α, β, γ, δ, τ)</w:t>
            </w:r>
          </w:p>
        </w:tc>
        <w:tc>
          <w:tcPr>
            <w:tcW w:type="dxa" w:w="1152"/>
            <w:shd w:fill="EBF3FA"/>
            <w:tcMar>
              <w:top w:w="100" w:type="dxa"/>
              <w:bottom w:w="100" w:type="dxa"/>
              <w:left w:w="100" w:type="dxa"/>
              <w:right w:w="100" w:type="dxa"/>
            </w:tcMar>
          </w:tcPr>
          <w:p>
            <w:pPr>
              <w:jc w:val="center"/>
            </w:pPr>
            <w:r>
              <w:rPr>
                <w:rFonts w:ascii="Calibri" w:hAnsi="Calibri"/>
                <w:b/>
                <w:color w:val="0D233A"/>
                <w:sz w:val="17"/>
              </w:rPr>
              <w:t>Invocations</w:t>
            </w:r>
          </w:p>
        </w:tc>
        <w:tc>
          <w:tcPr>
            <w:tcW w:type="dxa" w:w="1152"/>
            <w:shd w:fill="EBF3FA"/>
            <w:tcMar>
              <w:top w:w="100" w:type="dxa"/>
              <w:bottom w:w="100" w:type="dxa"/>
              <w:left w:w="100" w:type="dxa"/>
              <w:right w:w="100" w:type="dxa"/>
            </w:tcMar>
          </w:tcPr>
          <w:p>
            <w:pPr>
              <w:jc w:val="center"/>
            </w:pPr>
            <w:r>
              <w:rPr>
                <w:rFonts w:ascii="Calibri" w:hAnsi="Calibri"/>
                <w:b/>
                <w:color w:val="0D233A"/>
                <w:sz w:val="17"/>
              </w:rPr>
              <w:t>Suppression</w:t>
            </w:r>
          </w:p>
        </w:tc>
        <w:tc>
          <w:tcPr>
            <w:tcW w:type="dxa" w:w="1152"/>
            <w:shd w:fill="EBF3FA"/>
            <w:tcMar>
              <w:top w:w="100" w:type="dxa"/>
              <w:bottom w:w="100" w:type="dxa"/>
              <w:left w:w="100" w:type="dxa"/>
              <w:right w:w="100" w:type="dxa"/>
            </w:tcMar>
          </w:tcPr>
          <w:p>
            <w:pPr>
              <w:jc w:val="center"/>
            </w:pPr>
            <w:r>
              <w:rPr>
                <w:rFonts w:ascii="Calibri" w:hAnsi="Calibri"/>
                <w:b/>
                <w:color w:val="0D233A"/>
                <w:sz w:val="17"/>
              </w:rPr>
              <w:t>Event Recall</w:t>
            </w:r>
          </w:p>
        </w:tc>
        <w:tc>
          <w:tcPr>
            <w:tcW w:type="dxa" w:w="864"/>
            <w:shd w:fill="EBF3FA"/>
            <w:tcMar>
              <w:top w:w="100" w:type="dxa"/>
              <w:bottom w:w="100" w:type="dxa"/>
              <w:left w:w="100" w:type="dxa"/>
              <w:right w:w="100" w:type="dxa"/>
            </w:tcMar>
          </w:tcPr>
          <w:p>
            <w:pPr>
              <w:jc w:val="center"/>
            </w:pPr>
            <w:r>
              <w:rPr>
                <w:rFonts w:ascii="Calibri" w:hAnsi="Calibri"/>
                <w:b/>
                <w:color w:val="0D233A"/>
                <w:sz w:val="17"/>
              </w:rPr>
              <w:t>Delay</w:t>
            </w:r>
          </w:p>
        </w:tc>
      </w:tr>
      <w:tr>
        <w:tc>
          <w:tcPr>
            <w:tcW w:type="dxa" w:w="3168"/>
            <w:shd w:fill="F8FAFC"/>
            <w:tcMar>
              <w:top w:w="80" w:type="dxa"/>
              <w:bottom w:w="80" w:type="dxa"/>
              <w:left w:w="100" w:type="dxa"/>
              <w:right w:w="100" w:type="dxa"/>
            </w:tcMar>
          </w:tcPr>
          <w:p>
            <w:pPr>
              <w:jc w:val="left"/>
            </w:pPr>
            <w:r>
              <w:rPr>
                <w:rFonts w:ascii="Calibri" w:hAnsi="Calibri"/>
                <w:color w:val="212121"/>
                <w:sz w:val="17"/>
              </w:rPr>
              <w:t>1. Visual dHash Only</w:t>
            </w:r>
          </w:p>
        </w:tc>
        <w:tc>
          <w:tcPr>
            <w:tcW w:type="dxa" w:w="2160"/>
            <w:shd w:fill="F8FAFC"/>
            <w:tcMar>
              <w:top w:w="80" w:type="dxa"/>
              <w:bottom w:w="80" w:type="dxa"/>
              <w:left w:w="100" w:type="dxa"/>
              <w:right w:w="100" w:type="dxa"/>
            </w:tcMar>
          </w:tcPr>
          <w:p>
            <w:pPr>
              <w:jc w:val="left"/>
            </w:pPr>
            <w:r>
              <w:rPr>
                <w:rFonts w:ascii="Calibri" w:hAnsi="Calibri"/>
                <w:color w:val="212121"/>
                <w:sz w:val="17"/>
              </w:rPr>
              <w:t>(1.00, 0.00, 0.00, 0.00, 0.18)</w:t>
            </w:r>
          </w:p>
        </w:tc>
        <w:tc>
          <w:tcPr>
            <w:tcW w:type="dxa" w:w="1152"/>
            <w:shd w:fill="F8FAFC"/>
            <w:tcMar>
              <w:top w:w="80" w:type="dxa"/>
              <w:bottom w:w="80" w:type="dxa"/>
              <w:left w:w="100" w:type="dxa"/>
              <w:right w:w="100" w:type="dxa"/>
            </w:tcMar>
          </w:tcPr>
          <w:p>
            <w:pPr>
              <w:jc w:val="center"/>
            </w:pPr>
            <w:r>
              <w:rPr>
                <w:rFonts w:ascii="Calibri" w:hAnsi="Calibri"/>
                <w:color w:val="212121"/>
                <w:sz w:val="17"/>
              </w:rPr>
              <w:t>16.0 ± 0.4</w:t>
            </w:r>
          </w:p>
        </w:tc>
        <w:tc>
          <w:tcPr>
            <w:tcW w:type="dxa" w:w="1152"/>
            <w:shd w:fill="F8FAFC"/>
            <w:tcMar>
              <w:top w:w="80" w:type="dxa"/>
              <w:bottom w:w="80" w:type="dxa"/>
              <w:left w:w="100" w:type="dxa"/>
              <w:right w:w="100" w:type="dxa"/>
            </w:tcMar>
          </w:tcPr>
          <w:p>
            <w:pPr>
              <w:jc w:val="center"/>
            </w:pPr>
            <w:r>
              <w:rPr>
                <w:rFonts w:ascii="Calibri" w:hAnsi="Calibri"/>
                <w:color w:val="212121"/>
                <w:sz w:val="17"/>
              </w:rPr>
              <w:t>92.0%</w:t>
            </w:r>
          </w:p>
        </w:tc>
        <w:tc>
          <w:tcPr>
            <w:tcW w:type="dxa" w:w="1152"/>
            <w:shd w:fill="F8FAFC"/>
            <w:tcMar>
              <w:top w:w="80" w:type="dxa"/>
              <w:bottom w:w="80" w:type="dxa"/>
              <w:left w:w="100" w:type="dxa"/>
              <w:right w:w="100" w:type="dxa"/>
            </w:tcMar>
          </w:tcPr>
          <w:p>
            <w:pPr>
              <w:jc w:val="center"/>
            </w:pPr>
            <w:r>
              <w:rPr>
                <w:rFonts w:ascii="Calibri" w:hAnsi="Calibri"/>
                <w:color w:val="212121"/>
                <w:sz w:val="17"/>
              </w:rPr>
              <w:t>75.0%</w:t>
            </w:r>
          </w:p>
        </w:tc>
        <w:tc>
          <w:tcPr>
            <w:tcW w:type="dxa" w:w="864"/>
            <w:shd w:fill="F8FAFC"/>
            <w:tcMar>
              <w:top w:w="80" w:type="dxa"/>
              <w:bottom w:w="80" w:type="dxa"/>
              <w:left w:w="100" w:type="dxa"/>
              <w:right w:w="100" w:type="dxa"/>
            </w:tcMar>
          </w:tcPr>
          <w:p>
            <w:pPr>
              <w:jc w:val="center"/>
            </w:pPr>
            <w:r>
              <w:rPr>
                <w:rFonts w:ascii="Calibri" w:hAnsi="Calibri"/>
                <w:color w:val="212121"/>
                <w:sz w:val="17"/>
              </w:rPr>
              <w:t>1.1 f</w:t>
            </w:r>
          </w:p>
        </w:tc>
      </w:tr>
      <w:tr>
        <w:tc>
          <w:tcPr>
            <w:tcW w:type="dxa" w:w="3168"/>
            <w:shd w:fill="FFFFFF"/>
            <w:tcMar>
              <w:top w:w="80" w:type="dxa"/>
              <w:bottom w:w="80" w:type="dxa"/>
              <w:left w:w="100" w:type="dxa"/>
              <w:right w:w="100" w:type="dxa"/>
            </w:tcMar>
          </w:tcPr>
          <w:p>
            <w:pPr>
              <w:jc w:val="left"/>
            </w:pPr>
            <w:r>
              <w:rPr>
                <w:rFonts w:ascii="Calibri" w:hAnsi="Calibri"/>
                <w:color w:val="212121"/>
                <w:sz w:val="17"/>
              </w:rPr>
              <w:t>2. Appearance Proxy Only</w:t>
            </w:r>
          </w:p>
        </w:tc>
        <w:tc>
          <w:tcPr>
            <w:tcW w:type="dxa" w:w="2160"/>
            <w:shd w:fill="FFFFFF"/>
            <w:tcMar>
              <w:top w:w="80" w:type="dxa"/>
              <w:bottom w:w="80" w:type="dxa"/>
              <w:left w:w="100" w:type="dxa"/>
              <w:right w:w="100" w:type="dxa"/>
            </w:tcMar>
          </w:tcPr>
          <w:p>
            <w:pPr>
              <w:jc w:val="left"/>
            </w:pPr>
            <w:r>
              <w:rPr>
                <w:rFonts w:ascii="Calibri" w:hAnsi="Calibri"/>
                <w:color w:val="212121"/>
                <w:sz w:val="17"/>
              </w:rPr>
              <w:t>(0.00, 1.00, 0.00, 0.00, 0.18)</w:t>
            </w:r>
          </w:p>
        </w:tc>
        <w:tc>
          <w:tcPr>
            <w:tcW w:type="dxa" w:w="1152"/>
            <w:shd w:fill="FFFFFF"/>
            <w:tcMar>
              <w:top w:w="80" w:type="dxa"/>
              <w:bottom w:w="80" w:type="dxa"/>
              <w:left w:w="100" w:type="dxa"/>
              <w:right w:w="100" w:type="dxa"/>
            </w:tcMar>
          </w:tcPr>
          <w:p>
            <w:pPr>
              <w:jc w:val="center"/>
            </w:pPr>
            <w:r>
              <w:rPr>
                <w:rFonts w:ascii="Calibri" w:hAnsi="Calibri"/>
                <w:color w:val="212121"/>
                <w:sz w:val="17"/>
              </w:rPr>
              <w:t>1.0 ± 0.0</w:t>
            </w:r>
          </w:p>
        </w:tc>
        <w:tc>
          <w:tcPr>
            <w:tcW w:type="dxa" w:w="1152"/>
            <w:shd w:fill="FFFFFF"/>
            <w:tcMar>
              <w:top w:w="80" w:type="dxa"/>
              <w:bottom w:w="80" w:type="dxa"/>
              <w:left w:w="100" w:type="dxa"/>
              <w:right w:w="100" w:type="dxa"/>
            </w:tcMar>
          </w:tcPr>
          <w:p>
            <w:pPr>
              <w:jc w:val="center"/>
            </w:pPr>
            <w:r>
              <w:rPr>
                <w:rFonts w:ascii="Calibri" w:hAnsi="Calibri"/>
                <w:color w:val="212121"/>
                <w:sz w:val="17"/>
              </w:rPr>
              <w:t>99.5%</w:t>
            </w:r>
          </w:p>
        </w:tc>
        <w:tc>
          <w:tcPr>
            <w:tcW w:type="dxa" w:w="1152"/>
            <w:shd w:fill="FFFFFF"/>
            <w:tcMar>
              <w:top w:w="80" w:type="dxa"/>
              <w:bottom w:w="80" w:type="dxa"/>
              <w:left w:w="100" w:type="dxa"/>
              <w:right w:w="100" w:type="dxa"/>
            </w:tcMar>
          </w:tcPr>
          <w:p>
            <w:pPr>
              <w:jc w:val="center"/>
            </w:pPr>
            <w:r>
              <w:rPr>
                <w:rFonts w:ascii="Calibri" w:hAnsi="Calibri"/>
                <w:color w:val="212121"/>
                <w:sz w:val="17"/>
              </w:rPr>
              <w:t>50.0%</w:t>
            </w:r>
          </w:p>
        </w:tc>
        <w:tc>
          <w:tcPr>
            <w:tcW w:type="dxa" w:w="864"/>
            <w:shd w:fill="FFFFFF"/>
            <w:tcMar>
              <w:top w:w="80" w:type="dxa"/>
              <w:bottom w:w="80" w:type="dxa"/>
              <w:left w:w="100" w:type="dxa"/>
              <w:right w:w="100" w:type="dxa"/>
            </w:tcMar>
          </w:tcPr>
          <w:p>
            <w:pPr>
              <w:jc w:val="center"/>
            </w:pPr>
            <w:r>
              <w:rPr>
                <w:rFonts w:ascii="Calibri" w:hAnsi="Calibri"/>
                <w:color w:val="212121"/>
                <w:sz w:val="17"/>
              </w:rPr>
              <w:t>0.0 f</w:t>
            </w:r>
          </w:p>
        </w:tc>
      </w:tr>
      <w:tr>
        <w:tc>
          <w:tcPr>
            <w:tcW w:type="dxa" w:w="3168"/>
            <w:shd w:fill="F8FAFC"/>
            <w:tcMar>
              <w:top w:w="80" w:type="dxa"/>
              <w:bottom w:w="80" w:type="dxa"/>
              <w:left w:w="100" w:type="dxa"/>
              <w:right w:w="100" w:type="dxa"/>
            </w:tcMar>
          </w:tcPr>
          <w:p>
            <w:pPr>
              <w:jc w:val="left"/>
            </w:pPr>
            <w:r>
              <w:rPr>
                <w:rFonts w:ascii="Calibri" w:hAnsi="Calibri"/>
                <w:color w:val="212121"/>
                <w:sz w:val="17"/>
              </w:rPr>
              <w:t>3. Motion Magnitude Only</w:t>
            </w:r>
          </w:p>
        </w:tc>
        <w:tc>
          <w:tcPr>
            <w:tcW w:type="dxa" w:w="2160"/>
            <w:shd w:fill="F8FAFC"/>
            <w:tcMar>
              <w:top w:w="80" w:type="dxa"/>
              <w:bottom w:w="80" w:type="dxa"/>
              <w:left w:w="100" w:type="dxa"/>
              <w:right w:w="100" w:type="dxa"/>
            </w:tcMar>
          </w:tcPr>
          <w:p>
            <w:pPr>
              <w:jc w:val="left"/>
            </w:pPr>
            <w:r>
              <w:rPr>
                <w:rFonts w:ascii="Calibri" w:hAnsi="Calibri"/>
                <w:color w:val="212121"/>
                <w:sz w:val="17"/>
              </w:rPr>
              <w:t>(0.00, 0.00, 1.00, 0.00, 0.18)</w:t>
            </w:r>
          </w:p>
        </w:tc>
        <w:tc>
          <w:tcPr>
            <w:tcW w:type="dxa" w:w="1152"/>
            <w:shd w:fill="F8FAFC"/>
            <w:tcMar>
              <w:top w:w="80" w:type="dxa"/>
              <w:bottom w:w="80" w:type="dxa"/>
              <w:left w:w="100" w:type="dxa"/>
              <w:right w:w="100" w:type="dxa"/>
            </w:tcMar>
          </w:tcPr>
          <w:p>
            <w:pPr>
              <w:jc w:val="center"/>
            </w:pPr>
            <w:r>
              <w:rPr>
                <w:rFonts w:ascii="Calibri" w:hAnsi="Calibri"/>
                <w:color w:val="212121"/>
                <w:sz w:val="17"/>
              </w:rPr>
              <w:t>1.0 ± 0.0</w:t>
            </w:r>
          </w:p>
        </w:tc>
        <w:tc>
          <w:tcPr>
            <w:tcW w:type="dxa" w:w="1152"/>
            <w:shd w:fill="F8FAFC"/>
            <w:tcMar>
              <w:top w:w="80" w:type="dxa"/>
              <w:bottom w:w="80" w:type="dxa"/>
              <w:left w:w="100" w:type="dxa"/>
              <w:right w:w="100" w:type="dxa"/>
            </w:tcMar>
          </w:tcPr>
          <w:p>
            <w:pPr>
              <w:jc w:val="center"/>
            </w:pPr>
            <w:r>
              <w:rPr>
                <w:rFonts w:ascii="Calibri" w:hAnsi="Calibri"/>
                <w:color w:val="212121"/>
                <w:sz w:val="17"/>
              </w:rPr>
              <w:t>99.5%</w:t>
            </w:r>
          </w:p>
        </w:tc>
        <w:tc>
          <w:tcPr>
            <w:tcW w:type="dxa" w:w="1152"/>
            <w:shd w:fill="F8FAFC"/>
            <w:tcMar>
              <w:top w:w="80" w:type="dxa"/>
              <w:bottom w:w="80" w:type="dxa"/>
              <w:left w:w="100" w:type="dxa"/>
              <w:right w:w="100" w:type="dxa"/>
            </w:tcMar>
          </w:tcPr>
          <w:p>
            <w:pPr>
              <w:jc w:val="center"/>
            </w:pPr>
            <w:r>
              <w:rPr>
                <w:rFonts w:ascii="Calibri" w:hAnsi="Calibri"/>
                <w:color w:val="212121"/>
                <w:sz w:val="17"/>
              </w:rPr>
              <w:t>50.0%</w:t>
            </w:r>
          </w:p>
        </w:tc>
        <w:tc>
          <w:tcPr>
            <w:tcW w:type="dxa" w:w="864"/>
            <w:shd w:fill="F8FAFC"/>
            <w:tcMar>
              <w:top w:w="80" w:type="dxa"/>
              <w:bottom w:w="80" w:type="dxa"/>
              <w:left w:w="100" w:type="dxa"/>
              <w:right w:w="100" w:type="dxa"/>
            </w:tcMar>
          </w:tcPr>
          <w:p>
            <w:pPr>
              <w:jc w:val="center"/>
            </w:pPr>
            <w:r>
              <w:rPr>
                <w:rFonts w:ascii="Calibri" w:hAnsi="Calibri"/>
                <w:color w:val="212121"/>
                <w:sz w:val="17"/>
              </w:rPr>
              <w:t>0.0 f</w:t>
            </w:r>
          </w:p>
        </w:tc>
      </w:tr>
      <w:tr>
        <w:tc>
          <w:tcPr>
            <w:tcW w:type="dxa" w:w="3168"/>
            <w:shd w:fill="FFFFFF"/>
            <w:tcMar>
              <w:top w:w="80" w:type="dxa"/>
              <w:bottom w:w="80" w:type="dxa"/>
              <w:left w:w="100" w:type="dxa"/>
              <w:right w:w="100" w:type="dxa"/>
            </w:tcMar>
          </w:tcPr>
          <w:p>
            <w:pPr>
              <w:jc w:val="left"/>
            </w:pPr>
            <w:r>
              <w:rPr>
                <w:rFonts w:ascii="Calibri" w:hAnsi="Calibri"/>
                <w:color w:val="212121"/>
                <w:sz w:val="17"/>
              </w:rPr>
              <w:t>4. Hazard Persistence Only</w:t>
            </w:r>
          </w:p>
        </w:tc>
        <w:tc>
          <w:tcPr>
            <w:tcW w:type="dxa" w:w="2160"/>
            <w:shd w:fill="FFFFFF"/>
            <w:tcMar>
              <w:top w:w="80" w:type="dxa"/>
              <w:bottom w:w="80" w:type="dxa"/>
              <w:left w:w="100" w:type="dxa"/>
              <w:right w:w="100" w:type="dxa"/>
            </w:tcMar>
          </w:tcPr>
          <w:p>
            <w:pPr>
              <w:jc w:val="left"/>
            </w:pPr>
            <w:r>
              <w:rPr>
                <w:rFonts w:ascii="Calibri" w:hAnsi="Calibri"/>
                <w:color w:val="212121"/>
                <w:sz w:val="17"/>
              </w:rPr>
              <w:t>(0.00, 0.00, 0.00, 1.00, 0.18)</w:t>
            </w:r>
          </w:p>
        </w:tc>
        <w:tc>
          <w:tcPr>
            <w:tcW w:type="dxa" w:w="1152"/>
            <w:shd w:fill="FFFFFF"/>
            <w:tcMar>
              <w:top w:w="80" w:type="dxa"/>
              <w:bottom w:w="80" w:type="dxa"/>
              <w:left w:w="100" w:type="dxa"/>
              <w:right w:w="100" w:type="dxa"/>
            </w:tcMar>
          </w:tcPr>
          <w:p>
            <w:pPr>
              <w:jc w:val="center"/>
            </w:pPr>
            <w:r>
              <w:rPr>
                <w:rFonts w:ascii="Calibri" w:hAnsi="Calibri"/>
                <w:color w:val="212121"/>
                <w:sz w:val="17"/>
              </w:rPr>
              <w:t>1.0 ± 0.0</w:t>
            </w:r>
          </w:p>
        </w:tc>
        <w:tc>
          <w:tcPr>
            <w:tcW w:type="dxa" w:w="1152"/>
            <w:shd w:fill="FFFFFF"/>
            <w:tcMar>
              <w:top w:w="80" w:type="dxa"/>
              <w:bottom w:w="80" w:type="dxa"/>
              <w:left w:w="100" w:type="dxa"/>
              <w:right w:w="100" w:type="dxa"/>
            </w:tcMar>
          </w:tcPr>
          <w:p>
            <w:pPr>
              <w:jc w:val="center"/>
            </w:pPr>
            <w:r>
              <w:rPr>
                <w:rFonts w:ascii="Calibri" w:hAnsi="Calibri"/>
                <w:color w:val="212121"/>
                <w:sz w:val="17"/>
              </w:rPr>
              <w:t>99.5%</w:t>
            </w:r>
          </w:p>
        </w:tc>
        <w:tc>
          <w:tcPr>
            <w:tcW w:type="dxa" w:w="1152"/>
            <w:shd w:fill="FFFFFF"/>
            <w:tcMar>
              <w:top w:w="80" w:type="dxa"/>
              <w:bottom w:w="80" w:type="dxa"/>
              <w:left w:w="100" w:type="dxa"/>
              <w:right w:w="100" w:type="dxa"/>
            </w:tcMar>
          </w:tcPr>
          <w:p>
            <w:pPr>
              <w:jc w:val="center"/>
            </w:pPr>
            <w:r>
              <w:rPr>
                <w:rFonts w:ascii="Calibri" w:hAnsi="Calibri"/>
                <w:color w:val="212121"/>
                <w:sz w:val="17"/>
              </w:rPr>
              <w:t>50.0%</w:t>
            </w:r>
          </w:p>
        </w:tc>
        <w:tc>
          <w:tcPr>
            <w:tcW w:type="dxa" w:w="864"/>
            <w:shd w:fill="FFFFFF"/>
            <w:tcMar>
              <w:top w:w="80" w:type="dxa"/>
              <w:bottom w:w="80" w:type="dxa"/>
              <w:left w:w="100" w:type="dxa"/>
              <w:right w:w="100" w:type="dxa"/>
            </w:tcMar>
          </w:tcPr>
          <w:p>
            <w:pPr>
              <w:jc w:val="center"/>
            </w:pPr>
            <w:r>
              <w:rPr>
                <w:rFonts w:ascii="Calibri" w:hAnsi="Calibri"/>
                <w:color w:val="212121"/>
                <w:sz w:val="17"/>
              </w:rPr>
              <w:t>0.0 f</w:t>
            </w:r>
          </w:p>
        </w:tc>
      </w:tr>
      <w:tr>
        <w:tc>
          <w:tcPr>
            <w:tcW w:type="dxa" w:w="3168"/>
            <w:shd w:fill="F8FAFC"/>
            <w:tcMar>
              <w:top w:w="80" w:type="dxa"/>
              <w:bottom w:w="80" w:type="dxa"/>
              <w:left w:w="100" w:type="dxa"/>
              <w:right w:w="100" w:type="dxa"/>
            </w:tcMar>
          </w:tcPr>
          <w:p>
            <w:pPr>
              <w:jc w:val="left"/>
            </w:pPr>
            <w:r>
              <w:rPr>
                <w:rFonts w:ascii="Calibri" w:hAnsi="Calibri"/>
                <w:color w:val="212121"/>
                <w:sz w:val="17"/>
              </w:rPr>
              <w:t>5. Visual + Motion</w:t>
            </w:r>
          </w:p>
        </w:tc>
        <w:tc>
          <w:tcPr>
            <w:tcW w:type="dxa" w:w="2160"/>
            <w:shd w:fill="F8FAFC"/>
            <w:tcMar>
              <w:top w:w="80" w:type="dxa"/>
              <w:bottom w:w="80" w:type="dxa"/>
              <w:left w:w="100" w:type="dxa"/>
              <w:right w:w="100" w:type="dxa"/>
            </w:tcMar>
          </w:tcPr>
          <w:p>
            <w:pPr>
              <w:jc w:val="left"/>
            </w:pPr>
            <w:r>
              <w:rPr>
                <w:rFonts w:ascii="Calibri" w:hAnsi="Calibri"/>
                <w:color w:val="212121"/>
                <w:sz w:val="17"/>
              </w:rPr>
              <w:t>(0.50, 0.00, 0.50, 0.00, 0.18)</w:t>
            </w:r>
          </w:p>
        </w:tc>
        <w:tc>
          <w:tcPr>
            <w:tcW w:type="dxa" w:w="1152"/>
            <w:shd w:fill="F8FAFC"/>
            <w:tcMar>
              <w:top w:w="80" w:type="dxa"/>
              <w:bottom w:w="80" w:type="dxa"/>
              <w:left w:w="100" w:type="dxa"/>
              <w:right w:w="100" w:type="dxa"/>
            </w:tcMar>
          </w:tcPr>
          <w:p>
            <w:pPr>
              <w:jc w:val="center"/>
            </w:pPr>
            <w:r>
              <w:rPr>
                <w:rFonts w:ascii="Calibri" w:hAnsi="Calibri"/>
                <w:color w:val="212121"/>
                <w:sz w:val="17"/>
              </w:rPr>
              <w:t>1.0 ± 0.0</w:t>
            </w:r>
          </w:p>
        </w:tc>
        <w:tc>
          <w:tcPr>
            <w:tcW w:type="dxa" w:w="1152"/>
            <w:shd w:fill="F8FAFC"/>
            <w:tcMar>
              <w:top w:w="80" w:type="dxa"/>
              <w:bottom w:w="80" w:type="dxa"/>
              <w:left w:w="100" w:type="dxa"/>
              <w:right w:w="100" w:type="dxa"/>
            </w:tcMar>
          </w:tcPr>
          <w:p>
            <w:pPr>
              <w:jc w:val="center"/>
            </w:pPr>
            <w:r>
              <w:rPr>
                <w:rFonts w:ascii="Calibri" w:hAnsi="Calibri"/>
                <w:color w:val="212121"/>
                <w:sz w:val="17"/>
              </w:rPr>
              <w:t>99.5%</w:t>
            </w:r>
          </w:p>
        </w:tc>
        <w:tc>
          <w:tcPr>
            <w:tcW w:type="dxa" w:w="1152"/>
            <w:shd w:fill="F8FAFC"/>
            <w:tcMar>
              <w:top w:w="80" w:type="dxa"/>
              <w:bottom w:w="80" w:type="dxa"/>
              <w:left w:w="100" w:type="dxa"/>
              <w:right w:w="100" w:type="dxa"/>
            </w:tcMar>
          </w:tcPr>
          <w:p>
            <w:pPr>
              <w:jc w:val="center"/>
            </w:pPr>
            <w:r>
              <w:rPr>
                <w:rFonts w:ascii="Calibri" w:hAnsi="Calibri"/>
                <w:color w:val="212121"/>
                <w:sz w:val="17"/>
              </w:rPr>
              <w:t>50.0%</w:t>
            </w:r>
          </w:p>
        </w:tc>
        <w:tc>
          <w:tcPr>
            <w:tcW w:type="dxa" w:w="864"/>
            <w:shd w:fill="F8FAFC"/>
            <w:tcMar>
              <w:top w:w="80" w:type="dxa"/>
              <w:bottom w:w="80" w:type="dxa"/>
              <w:left w:w="100" w:type="dxa"/>
              <w:right w:w="100" w:type="dxa"/>
            </w:tcMar>
          </w:tcPr>
          <w:p>
            <w:pPr>
              <w:jc w:val="center"/>
            </w:pPr>
            <w:r>
              <w:rPr>
                <w:rFonts w:ascii="Calibri" w:hAnsi="Calibri"/>
                <w:color w:val="212121"/>
                <w:sz w:val="17"/>
              </w:rPr>
              <w:t>0.0 f</w:t>
            </w:r>
          </w:p>
        </w:tc>
      </w:tr>
      <w:tr>
        <w:tc>
          <w:tcPr>
            <w:tcW w:type="dxa" w:w="3168"/>
            <w:shd w:fill="FFFFFF"/>
            <w:tcMar>
              <w:top w:w="80" w:type="dxa"/>
              <w:bottom w:w="80" w:type="dxa"/>
              <w:left w:w="100" w:type="dxa"/>
              <w:right w:w="100" w:type="dxa"/>
            </w:tcMar>
          </w:tcPr>
          <w:p>
            <w:pPr>
              <w:jc w:val="left"/>
            </w:pPr>
            <w:r>
              <w:rPr>
                <w:rFonts w:ascii="Calibri" w:hAnsi="Calibri"/>
                <w:color w:val="212121"/>
                <w:sz w:val="17"/>
              </w:rPr>
              <w:t>6. Visual + Appearance</w:t>
            </w:r>
          </w:p>
        </w:tc>
        <w:tc>
          <w:tcPr>
            <w:tcW w:type="dxa" w:w="2160"/>
            <w:shd w:fill="FFFFFF"/>
            <w:tcMar>
              <w:top w:w="80" w:type="dxa"/>
              <w:bottom w:w="80" w:type="dxa"/>
              <w:left w:w="100" w:type="dxa"/>
              <w:right w:w="100" w:type="dxa"/>
            </w:tcMar>
          </w:tcPr>
          <w:p>
            <w:pPr>
              <w:jc w:val="left"/>
            </w:pPr>
            <w:r>
              <w:rPr>
                <w:rFonts w:ascii="Calibri" w:hAnsi="Calibri"/>
                <w:color w:val="212121"/>
                <w:sz w:val="17"/>
              </w:rPr>
              <w:t>(0.50, 0.50, 0.00, 0.00, 0.18)</w:t>
            </w:r>
          </w:p>
        </w:tc>
        <w:tc>
          <w:tcPr>
            <w:tcW w:type="dxa" w:w="1152"/>
            <w:shd w:fill="FFFFFF"/>
            <w:tcMar>
              <w:top w:w="80" w:type="dxa"/>
              <w:bottom w:w="80" w:type="dxa"/>
              <w:left w:w="100" w:type="dxa"/>
              <w:right w:w="100" w:type="dxa"/>
            </w:tcMar>
          </w:tcPr>
          <w:p>
            <w:pPr>
              <w:jc w:val="center"/>
            </w:pPr>
            <w:r>
              <w:rPr>
                <w:rFonts w:ascii="Calibri" w:hAnsi="Calibri"/>
                <w:color w:val="212121"/>
                <w:sz w:val="17"/>
              </w:rPr>
              <w:t>1.0 ± 0.0</w:t>
            </w:r>
          </w:p>
        </w:tc>
        <w:tc>
          <w:tcPr>
            <w:tcW w:type="dxa" w:w="1152"/>
            <w:shd w:fill="FFFFFF"/>
            <w:tcMar>
              <w:top w:w="80" w:type="dxa"/>
              <w:bottom w:w="80" w:type="dxa"/>
              <w:left w:w="100" w:type="dxa"/>
              <w:right w:w="100" w:type="dxa"/>
            </w:tcMar>
          </w:tcPr>
          <w:p>
            <w:pPr>
              <w:jc w:val="center"/>
            </w:pPr>
            <w:r>
              <w:rPr>
                <w:rFonts w:ascii="Calibri" w:hAnsi="Calibri"/>
                <w:color w:val="212121"/>
                <w:sz w:val="17"/>
              </w:rPr>
              <w:t>99.5%</w:t>
            </w:r>
          </w:p>
        </w:tc>
        <w:tc>
          <w:tcPr>
            <w:tcW w:type="dxa" w:w="1152"/>
            <w:shd w:fill="FFFFFF"/>
            <w:tcMar>
              <w:top w:w="80" w:type="dxa"/>
              <w:bottom w:w="80" w:type="dxa"/>
              <w:left w:w="100" w:type="dxa"/>
              <w:right w:w="100" w:type="dxa"/>
            </w:tcMar>
          </w:tcPr>
          <w:p>
            <w:pPr>
              <w:jc w:val="center"/>
            </w:pPr>
            <w:r>
              <w:rPr>
                <w:rFonts w:ascii="Calibri" w:hAnsi="Calibri"/>
                <w:color w:val="212121"/>
                <w:sz w:val="17"/>
              </w:rPr>
              <w:t>50.0%</w:t>
            </w:r>
          </w:p>
        </w:tc>
        <w:tc>
          <w:tcPr>
            <w:tcW w:type="dxa" w:w="864"/>
            <w:shd w:fill="FFFFFF"/>
            <w:tcMar>
              <w:top w:w="80" w:type="dxa"/>
              <w:bottom w:w="80" w:type="dxa"/>
              <w:left w:w="100" w:type="dxa"/>
              <w:right w:w="100" w:type="dxa"/>
            </w:tcMar>
          </w:tcPr>
          <w:p>
            <w:pPr>
              <w:jc w:val="center"/>
            </w:pPr>
            <w:r>
              <w:rPr>
                <w:rFonts w:ascii="Calibri" w:hAnsi="Calibri"/>
                <w:color w:val="212121"/>
                <w:sz w:val="17"/>
              </w:rPr>
              <w:t>0.0 f</w:t>
            </w:r>
          </w:p>
        </w:tc>
      </w:tr>
      <w:tr>
        <w:tc>
          <w:tcPr>
            <w:tcW w:type="dxa" w:w="3168"/>
            <w:shd w:fill="F8FAFC"/>
            <w:tcMar>
              <w:top w:w="80" w:type="dxa"/>
              <w:bottom w:w="80" w:type="dxa"/>
              <w:left w:w="100" w:type="dxa"/>
              <w:right w:w="100" w:type="dxa"/>
            </w:tcMar>
          </w:tcPr>
          <w:p>
            <w:pPr>
              <w:jc w:val="left"/>
            </w:pPr>
            <w:r>
              <w:rPr>
                <w:rFonts w:ascii="Calibri" w:hAnsi="Calibri"/>
                <w:color w:val="212121"/>
                <w:sz w:val="17"/>
              </w:rPr>
              <w:t>7. Visual + Motion + Hazard</w:t>
            </w:r>
          </w:p>
        </w:tc>
        <w:tc>
          <w:tcPr>
            <w:tcW w:type="dxa" w:w="2160"/>
            <w:shd w:fill="F8FAFC"/>
            <w:tcMar>
              <w:top w:w="80" w:type="dxa"/>
              <w:bottom w:w="80" w:type="dxa"/>
              <w:left w:w="100" w:type="dxa"/>
              <w:right w:w="100" w:type="dxa"/>
            </w:tcMar>
          </w:tcPr>
          <w:p>
            <w:pPr>
              <w:jc w:val="left"/>
            </w:pPr>
            <w:r>
              <w:rPr>
                <w:rFonts w:ascii="Calibri" w:hAnsi="Calibri"/>
                <w:color w:val="212121"/>
                <w:sz w:val="17"/>
              </w:rPr>
              <w:t>(0.35, 0.00, 0.35, 0.30, 0.18)</w:t>
            </w:r>
          </w:p>
        </w:tc>
        <w:tc>
          <w:tcPr>
            <w:tcW w:type="dxa" w:w="1152"/>
            <w:shd w:fill="F8FAFC"/>
            <w:tcMar>
              <w:top w:w="80" w:type="dxa"/>
              <w:bottom w:w="80" w:type="dxa"/>
              <w:left w:w="100" w:type="dxa"/>
              <w:right w:w="100" w:type="dxa"/>
            </w:tcMar>
          </w:tcPr>
          <w:p>
            <w:pPr>
              <w:jc w:val="center"/>
            </w:pPr>
            <w:r>
              <w:rPr>
                <w:rFonts w:ascii="Calibri" w:hAnsi="Calibri"/>
                <w:color w:val="212121"/>
                <w:sz w:val="17"/>
              </w:rPr>
              <w:t>1.0 ± 0.0</w:t>
            </w:r>
          </w:p>
        </w:tc>
        <w:tc>
          <w:tcPr>
            <w:tcW w:type="dxa" w:w="1152"/>
            <w:shd w:fill="F8FAFC"/>
            <w:tcMar>
              <w:top w:w="80" w:type="dxa"/>
              <w:bottom w:w="80" w:type="dxa"/>
              <w:left w:w="100" w:type="dxa"/>
              <w:right w:w="100" w:type="dxa"/>
            </w:tcMar>
          </w:tcPr>
          <w:p>
            <w:pPr>
              <w:jc w:val="center"/>
            </w:pPr>
            <w:r>
              <w:rPr>
                <w:rFonts w:ascii="Calibri" w:hAnsi="Calibri"/>
                <w:color w:val="212121"/>
                <w:sz w:val="17"/>
              </w:rPr>
              <w:t>99.5%</w:t>
            </w:r>
          </w:p>
        </w:tc>
        <w:tc>
          <w:tcPr>
            <w:tcW w:type="dxa" w:w="1152"/>
            <w:shd w:fill="F8FAFC"/>
            <w:tcMar>
              <w:top w:w="80" w:type="dxa"/>
              <w:bottom w:w="80" w:type="dxa"/>
              <w:left w:w="100" w:type="dxa"/>
              <w:right w:w="100" w:type="dxa"/>
            </w:tcMar>
          </w:tcPr>
          <w:p>
            <w:pPr>
              <w:jc w:val="center"/>
            </w:pPr>
            <w:r>
              <w:rPr>
                <w:rFonts w:ascii="Calibri" w:hAnsi="Calibri"/>
                <w:color w:val="212121"/>
                <w:sz w:val="17"/>
              </w:rPr>
              <w:t>50.0%</w:t>
            </w:r>
          </w:p>
        </w:tc>
        <w:tc>
          <w:tcPr>
            <w:tcW w:type="dxa" w:w="864"/>
            <w:shd w:fill="F8FAFC"/>
            <w:tcMar>
              <w:top w:w="80" w:type="dxa"/>
              <w:bottom w:w="80" w:type="dxa"/>
              <w:left w:w="100" w:type="dxa"/>
              <w:right w:w="100" w:type="dxa"/>
            </w:tcMar>
          </w:tcPr>
          <w:p>
            <w:pPr>
              <w:jc w:val="center"/>
            </w:pPr>
            <w:r>
              <w:rPr>
                <w:rFonts w:ascii="Calibri" w:hAnsi="Calibri"/>
                <w:color w:val="212121"/>
                <w:sz w:val="17"/>
              </w:rPr>
              <w:t>0.0 f</w:t>
            </w:r>
          </w:p>
        </w:tc>
      </w:tr>
      <w:tr>
        <w:tc>
          <w:tcPr>
            <w:tcW w:type="dxa" w:w="3168"/>
            <w:shd w:fill="FFFFFF"/>
            <w:tcMar>
              <w:top w:w="80" w:type="dxa"/>
              <w:bottom w:w="80" w:type="dxa"/>
              <w:left w:w="100" w:type="dxa"/>
              <w:right w:w="100" w:type="dxa"/>
            </w:tcMar>
          </w:tcPr>
          <w:p>
            <w:pPr>
              <w:jc w:val="left"/>
            </w:pPr>
            <w:r>
              <w:rPr>
                <w:rFonts w:ascii="Calibri" w:hAnsi="Calibri"/>
                <w:color w:val="212121"/>
                <w:sz w:val="17"/>
              </w:rPr>
              <w:t>8. Full Model (Default Profile)</w:t>
            </w:r>
          </w:p>
        </w:tc>
        <w:tc>
          <w:tcPr>
            <w:tcW w:type="dxa" w:w="2160"/>
            <w:shd w:fill="FFFFFF"/>
            <w:tcMar>
              <w:top w:w="80" w:type="dxa"/>
              <w:bottom w:w="80" w:type="dxa"/>
              <w:left w:w="100" w:type="dxa"/>
              <w:right w:w="100" w:type="dxa"/>
            </w:tcMar>
          </w:tcPr>
          <w:p>
            <w:pPr>
              <w:jc w:val="left"/>
            </w:pPr>
            <w:r>
              <w:rPr>
                <w:rFonts w:ascii="Calibri" w:hAnsi="Calibri"/>
                <w:color w:val="212121"/>
                <w:sz w:val="17"/>
              </w:rPr>
              <w:t>(0.25, 0.20, 0.30, 0.25, 0.18)</w:t>
            </w:r>
          </w:p>
        </w:tc>
        <w:tc>
          <w:tcPr>
            <w:tcW w:type="dxa" w:w="1152"/>
            <w:shd w:fill="FFFFFF"/>
            <w:tcMar>
              <w:top w:w="80" w:type="dxa"/>
              <w:bottom w:w="80" w:type="dxa"/>
              <w:left w:w="100" w:type="dxa"/>
              <w:right w:w="100" w:type="dxa"/>
            </w:tcMar>
          </w:tcPr>
          <w:p>
            <w:pPr>
              <w:jc w:val="center"/>
            </w:pPr>
            <w:r>
              <w:rPr>
                <w:rFonts w:ascii="Calibri" w:hAnsi="Calibri"/>
                <w:color w:val="212121"/>
                <w:sz w:val="17"/>
              </w:rPr>
              <w:t>1.0 ± 0.0</w:t>
            </w:r>
          </w:p>
        </w:tc>
        <w:tc>
          <w:tcPr>
            <w:tcW w:type="dxa" w:w="1152"/>
            <w:shd w:fill="FFFFFF"/>
            <w:tcMar>
              <w:top w:w="80" w:type="dxa"/>
              <w:bottom w:w="80" w:type="dxa"/>
              <w:left w:w="100" w:type="dxa"/>
              <w:right w:w="100" w:type="dxa"/>
            </w:tcMar>
          </w:tcPr>
          <w:p>
            <w:pPr>
              <w:jc w:val="center"/>
            </w:pPr>
            <w:r>
              <w:rPr>
                <w:rFonts w:ascii="Calibri" w:hAnsi="Calibri"/>
                <w:color w:val="212121"/>
                <w:sz w:val="17"/>
              </w:rPr>
              <w:t>99.5%</w:t>
            </w:r>
          </w:p>
        </w:tc>
        <w:tc>
          <w:tcPr>
            <w:tcW w:type="dxa" w:w="1152"/>
            <w:shd w:fill="FFFFFF"/>
            <w:tcMar>
              <w:top w:w="80" w:type="dxa"/>
              <w:bottom w:w="80" w:type="dxa"/>
              <w:left w:w="100" w:type="dxa"/>
              <w:right w:w="100" w:type="dxa"/>
            </w:tcMar>
          </w:tcPr>
          <w:p>
            <w:pPr>
              <w:jc w:val="center"/>
            </w:pPr>
            <w:r>
              <w:rPr>
                <w:rFonts w:ascii="Calibri" w:hAnsi="Calibri"/>
                <w:color w:val="212121"/>
                <w:sz w:val="17"/>
              </w:rPr>
              <w:t>50.0%</w:t>
            </w:r>
          </w:p>
        </w:tc>
        <w:tc>
          <w:tcPr>
            <w:tcW w:type="dxa" w:w="864"/>
            <w:shd w:fill="FFFFFF"/>
            <w:tcMar>
              <w:top w:w="80" w:type="dxa"/>
              <w:bottom w:w="80" w:type="dxa"/>
              <w:left w:w="100" w:type="dxa"/>
              <w:right w:w="100" w:type="dxa"/>
            </w:tcMar>
          </w:tcPr>
          <w:p>
            <w:pPr>
              <w:jc w:val="center"/>
            </w:pPr>
            <w:r>
              <w:rPr>
                <w:rFonts w:ascii="Calibri" w:hAnsi="Calibri"/>
                <w:color w:val="212121"/>
                <w:sz w:val="17"/>
              </w:rPr>
              <w:t>0.0 f</w:t>
            </w:r>
          </w:p>
        </w:tc>
      </w:tr>
      <w:tr>
        <w:tc>
          <w:tcPr>
            <w:tcW w:type="dxa" w:w="3168"/>
            <w:shd w:fill="F8FAFC"/>
            <w:tcMar>
              <w:top w:w="80" w:type="dxa"/>
              <w:bottom w:w="80" w:type="dxa"/>
              <w:left w:w="100" w:type="dxa"/>
              <w:right w:w="100" w:type="dxa"/>
            </w:tcMar>
          </w:tcPr>
          <w:p>
            <w:pPr>
              <w:jc w:val="left"/>
            </w:pPr>
            <w:r>
              <w:rPr>
                <w:rFonts w:ascii="Calibri" w:hAnsi="Calibri"/>
                <w:color w:val="212121"/>
                <w:sz w:val="17"/>
              </w:rPr>
              <w:t>9. Full Model on Text (Default)</w:t>
            </w:r>
          </w:p>
        </w:tc>
        <w:tc>
          <w:tcPr>
            <w:tcW w:type="dxa" w:w="2160"/>
            <w:shd w:fill="F8FAFC"/>
            <w:tcMar>
              <w:top w:w="80" w:type="dxa"/>
              <w:bottom w:w="80" w:type="dxa"/>
              <w:left w:w="100" w:type="dxa"/>
              <w:right w:w="100" w:type="dxa"/>
            </w:tcMar>
          </w:tcPr>
          <w:p>
            <w:pPr>
              <w:jc w:val="left"/>
            </w:pPr>
            <w:r>
              <w:rPr>
                <w:rFonts w:ascii="Calibri" w:hAnsi="Calibri"/>
                <w:color w:val="212121"/>
                <w:sz w:val="17"/>
              </w:rPr>
              <w:t>(0.25, 0.20, 0.30, 0.25, 0.18)</w:t>
            </w:r>
          </w:p>
        </w:tc>
        <w:tc>
          <w:tcPr>
            <w:tcW w:type="dxa" w:w="1152"/>
            <w:shd w:fill="F8FAFC"/>
            <w:tcMar>
              <w:top w:w="80" w:type="dxa"/>
              <w:bottom w:w="80" w:type="dxa"/>
              <w:left w:w="100" w:type="dxa"/>
              <w:right w:w="100" w:type="dxa"/>
            </w:tcMar>
          </w:tcPr>
          <w:p>
            <w:pPr>
              <w:jc w:val="center"/>
            </w:pPr>
            <w:r>
              <w:rPr>
                <w:rFonts w:ascii="Calibri" w:hAnsi="Calibri"/>
                <w:color w:val="212121"/>
                <w:sz w:val="17"/>
              </w:rPr>
              <w:t>1.0 ± 0.0</w:t>
            </w:r>
          </w:p>
        </w:tc>
        <w:tc>
          <w:tcPr>
            <w:tcW w:type="dxa" w:w="1152"/>
            <w:shd w:fill="F8FAFC"/>
            <w:tcMar>
              <w:top w:w="80" w:type="dxa"/>
              <w:bottom w:w="80" w:type="dxa"/>
              <w:left w:w="100" w:type="dxa"/>
              <w:right w:w="100" w:type="dxa"/>
            </w:tcMar>
          </w:tcPr>
          <w:p>
            <w:pPr>
              <w:jc w:val="center"/>
            </w:pPr>
            <w:r>
              <w:rPr>
                <w:rFonts w:ascii="Calibri" w:hAnsi="Calibri"/>
                <w:color w:val="212121"/>
                <w:sz w:val="17"/>
              </w:rPr>
              <w:t>99.5%</w:t>
            </w:r>
          </w:p>
        </w:tc>
        <w:tc>
          <w:tcPr>
            <w:tcW w:type="dxa" w:w="1152"/>
            <w:shd w:fill="F8FAFC"/>
            <w:tcMar>
              <w:top w:w="80" w:type="dxa"/>
              <w:bottom w:w="80" w:type="dxa"/>
              <w:left w:w="100" w:type="dxa"/>
              <w:right w:w="100" w:type="dxa"/>
            </w:tcMar>
          </w:tcPr>
          <w:p>
            <w:pPr>
              <w:jc w:val="center"/>
            </w:pPr>
            <w:r>
              <w:rPr>
                <w:rFonts w:ascii="Calibri" w:hAnsi="Calibri"/>
                <w:color w:val="212121"/>
                <w:sz w:val="17"/>
              </w:rPr>
              <w:t>2.0%</w:t>
            </w:r>
          </w:p>
        </w:tc>
        <w:tc>
          <w:tcPr>
            <w:tcW w:type="dxa" w:w="864"/>
            <w:shd w:fill="F8FAFC"/>
            <w:tcMar>
              <w:top w:w="80" w:type="dxa"/>
              <w:bottom w:w="80" w:type="dxa"/>
              <w:left w:w="100" w:type="dxa"/>
              <w:right w:w="100" w:type="dxa"/>
            </w:tcMar>
          </w:tcPr>
          <w:p>
            <w:pPr>
              <w:jc w:val="center"/>
            </w:pPr>
            <w:r>
              <w:rPr>
                <w:rFonts w:ascii="Calibri" w:hAnsi="Calibri"/>
                <w:color w:val="212121"/>
                <w:sz w:val="17"/>
              </w:rPr>
              <w:t>0.0 f</w:t>
            </w:r>
          </w:p>
        </w:tc>
      </w:tr>
      <w:tr>
        <w:tc>
          <w:tcPr>
            <w:tcW w:type="dxa" w:w="3168"/>
            <w:shd w:fill="FFFFFF"/>
            <w:tcMar>
              <w:top w:w="80" w:type="dxa"/>
              <w:bottom w:w="80" w:type="dxa"/>
              <w:left w:w="100" w:type="dxa"/>
              <w:right w:w="100" w:type="dxa"/>
            </w:tcMar>
          </w:tcPr>
          <w:p>
            <w:pPr>
              <w:jc w:val="left"/>
            </w:pPr>
            <w:r>
              <w:rPr>
                <w:rFonts w:ascii="Calibri" w:hAnsi="Calibri"/>
                <w:color w:val="212121"/>
                <w:sz w:val="17"/>
              </w:rPr>
              <w:t>10. Full Model on Text (Task-OCR)</w:t>
            </w:r>
          </w:p>
        </w:tc>
        <w:tc>
          <w:tcPr>
            <w:tcW w:type="dxa" w:w="2160"/>
            <w:shd w:fill="FFFFFF"/>
            <w:tcMar>
              <w:top w:w="80" w:type="dxa"/>
              <w:bottom w:w="80" w:type="dxa"/>
              <w:left w:w="100" w:type="dxa"/>
              <w:right w:w="100" w:type="dxa"/>
            </w:tcMar>
          </w:tcPr>
          <w:p>
            <w:pPr>
              <w:jc w:val="left"/>
            </w:pPr>
            <w:r>
              <w:rPr>
                <w:rFonts w:ascii="Calibri" w:hAnsi="Calibri"/>
                <w:color w:val="212121"/>
                <w:sz w:val="17"/>
              </w:rPr>
              <w:t>(0.40, 0.45, 0.10, 0.05, 0.10)</w:t>
            </w:r>
          </w:p>
        </w:tc>
        <w:tc>
          <w:tcPr>
            <w:tcW w:type="dxa" w:w="1152"/>
            <w:shd w:fill="FFFFFF"/>
            <w:tcMar>
              <w:top w:w="80" w:type="dxa"/>
              <w:bottom w:w="80" w:type="dxa"/>
              <w:left w:w="100" w:type="dxa"/>
              <w:right w:w="100" w:type="dxa"/>
            </w:tcMar>
          </w:tcPr>
          <w:p>
            <w:pPr>
              <w:jc w:val="center"/>
            </w:pPr>
            <w:r>
              <w:rPr>
                <w:rFonts w:ascii="Calibri" w:hAnsi="Calibri"/>
                <w:b/>
                <w:color w:val="1B5E20"/>
                <w:sz w:val="17"/>
              </w:rPr>
              <w:t>32.9 ± 3.9</w:t>
            </w:r>
          </w:p>
        </w:tc>
        <w:tc>
          <w:tcPr>
            <w:tcW w:type="dxa" w:w="1152"/>
            <w:shd w:fill="FFFFFF"/>
            <w:tcMar>
              <w:top w:w="80" w:type="dxa"/>
              <w:bottom w:w="80" w:type="dxa"/>
              <w:left w:w="100" w:type="dxa"/>
              <w:right w:w="100" w:type="dxa"/>
            </w:tcMar>
          </w:tcPr>
          <w:p>
            <w:pPr>
              <w:jc w:val="center"/>
            </w:pPr>
            <w:r>
              <w:rPr>
                <w:rFonts w:ascii="Calibri" w:hAnsi="Calibri"/>
                <w:b/>
                <w:color w:val="1B5E20"/>
                <w:sz w:val="17"/>
              </w:rPr>
              <w:t>83.5%</w:t>
            </w:r>
          </w:p>
        </w:tc>
        <w:tc>
          <w:tcPr>
            <w:tcW w:type="dxa" w:w="1152"/>
            <w:shd w:fill="FFFFFF"/>
            <w:tcMar>
              <w:top w:w="80" w:type="dxa"/>
              <w:bottom w:w="80" w:type="dxa"/>
              <w:left w:w="100" w:type="dxa"/>
              <w:right w:w="100" w:type="dxa"/>
            </w:tcMar>
          </w:tcPr>
          <w:p>
            <w:pPr>
              <w:jc w:val="center"/>
            </w:pPr>
            <w:r>
              <w:rPr>
                <w:rFonts w:ascii="Calibri" w:hAnsi="Calibri"/>
                <w:b/>
                <w:color w:val="1B5E20"/>
                <w:sz w:val="17"/>
              </w:rPr>
              <w:t>60.2%</w:t>
            </w:r>
          </w:p>
        </w:tc>
        <w:tc>
          <w:tcPr>
            <w:tcW w:type="dxa" w:w="864"/>
            <w:shd w:fill="FFFFFF"/>
            <w:tcMar>
              <w:top w:w="80" w:type="dxa"/>
              <w:bottom w:w="80" w:type="dxa"/>
              <w:left w:w="100" w:type="dxa"/>
              <w:right w:w="100" w:type="dxa"/>
            </w:tcMar>
          </w:tcPr>
          <w:p>
            <w:pPr>
              <w:jc w:val="center"/>
            </w:pPr>
            <w:r>
              <w:rPr>
                <w:rFonts w:ascii="Calibri" w:hAnsi="Calibri"/>
                <w:b/>
                <w:color w:val="1B5E20"/>
                <w:sz w:val="17"/>
              </w:rPr>
              <w:t>1.6 f</w:t>
            </w:r>
          </w:p>
        </w:tc>
      </w:tr>
    </w:tbl>
    <w:p>
      <w:pPr>
        <w:spacing w:before="240" w:after="80"/>
        <w:jc w:val="center"/>
      </w:pPr>
      <w:r>
        <w:drawing>
          <wp:inline xmlns:a="http://schemas.openxmlformats.org/drawingml/2006/main" xmlns:pic="http://schemas.openxmlformats.org/drawingml/2006/picture">
            <wp:extent cx="5303520" cy="2880924"/>
            <wp:docPr id="5" name="Picture 5"/>
            <wp:cNvGraphicFramePr>
              <a:graphicFrameLocks noChangeAspect="1"/>
            </wp:cNvGraphicFramePr>
            <a:graphic>
              <a:graphicData uri="http://schemas.openxmlformats.org/drawingml/2006/picture">
                <pic:pic>
                  <pic:nvPicPr>
                    <pic:cNvPr id="0" name="fig5_threshold_sensitivity.png"/>
                    <pic:cNvPicPr/>
                  </pic:nvPicPr>
                  <pic:blipFill>
                    <a:blip r:embed="rId15"/>
                    <a:stretch>
                      <a:fillRect/>
                    </a:stretch>
                  </pic:blipFill>
                  <pic:spPr>
                    <a:xfrm>
                      <a:off x="0" y="0"/>
                      <a:ext cx="5303520" cy="2880924"/>
                    </a:xfrm>
                    <a:prstGeom prst="rect"/>
                  </pic:spPr>
                </pic:pic>
              </a:graphicData>
            </a:graphic>
          </wp:inline>
        </w:drawing>
      </w:r>
    </w:p>
    <w:p>
      <w:pPr>
        <w:spacing w:before="40" w:after="280" w:line="276" w:lineRule="auto"/>
        <w:ind w:left="576" w:right="576"/>
      </w:pPr>
      <w:r>
        <w:rPr>
          <w:rFonts w:ascii="Calibri" w:hAnsi="Calibri"/>
          <w:b/>
          <w:color w:val="0D233A"/>
          <w:sz w:val="17"/>
        </w:rPr>
        <w:t xml:space="preserve">Fig. 5. </w:t>
      </w:r>
      <w:r>
        <w:rPr>
          <w:rFonts w:ascii="Calibri" w:hAnsi="Calibri"/>
          <w:color w:val="3C3C3C"/>
          <w:sz w:val="17"/>
        </w:rPr>
        <w:t>Threshold sensitivity ablation curves across tau in [0.05, 0.40]. Scenario A exhibits complete noise invariance across the range, whereas Scenario C demonstrates an operational transition at tau = 0.05–0.08.</w:t>
      </w:r>
    </w:p>
    <w:p>
      <w:pPr>
        <w:spacing w:before="240" w:after="80"/>
        <w:jc w:val="center"/>
      </w:pPr>
      <w:r>
        <w:drawing>
          <wp:inline xmlns:a="http://schemas.openxmlformats.org/drawingml/2006/main" xmlns:pic="http://schemas.openxmlformats.org/drawingml/2006/picture">
            <wp:extent cx="5303520" cy="2876190"/>
            <wp:docPr id="6" name="Picture 6"/>
            <wp:cNvGraphicFramePr>
              <a:graphicFrameLocks noChangeAspect="1"/>
            </wp:cNvGraphicFramePr>
            <a:graphic>
              <a:graphicData uri="http://schemas.openxmlformats.org/drawingml/2006/picture">
                <pic:pic>
                  <pic:nvPicPr>
                    <pic:cNvPr id="0" name="fig6_safety_tradeoff.png"/>
                    <pic:cNvPicPr/>
                  </pic:nvPicPr>
                  <pic:blipFill>
                    <a:blip r:embed="rId16"/>
                    <a:stretch>
                      <a:fillRect/>
                    </a:stretch>
                  </pic:blipFill>
                  <pic:spPr>
                    <a:xfrm>
                      <a:off x="0" y="0"/>
                      <a:ext cx="5303520" cy="2876190"/>
                    </a:xfrm>
                    <a:prstGeom prst="rect"/>
                  </pic:spPr>
                </pic:pic>
              </a:graphicData>
            </a:graphic>
          </wp:inline>
        </w:drawing>
      </w:r>
    </w:p>
    <w:p>
      <w:pPr>
        <w:spacing w:before="40" w:after="280" w:line="276" w:lineRule="auto"/>
        <w:ind w:left="576" w:right="576"/>
      </w:pPr>
      <w:r>
        <w:rPr>
          <w:rFonts w:ascii="Calibri" w:hAnsi="Calibri"/>
          <w:b/>
          <w:color w:val="0D233A"/>
          <w:sz w:val="17"/>
        </w:rPr>
        <w:t xml:space="preserve">Fig. 6. </w:t>
      </w:r>
      <w:r>
        <w:rPr>
          <w:rFonts w:ascii="Calibri" w:hAnsi="Calibri"/>
          <w:color w:val="3C3C3C"/>
          <w:sz w:val="17"/>
        </w:rPr>
        <w:t>Safety-efficiency trade-off curve illustrating the relationship between invocation suppression rate and safety event recall across thresholds.</w:t>
      </w:r>
    </w:p>
    <w:p>
      <w:pPr>
        <w:keepNext/>
        <w:spacing w:before="320" w:after="120"/>
      </w:pPr>
      <w:r>
        <w:rPr>
          <w:rFonts w:ascii="Calibri" w:hAnsi="Calibri"/>
          <w:b/>
          <w:color w:val="0D233A"/>
          <w:sz w:val="27"/>
        </w:rPr>
        <w:t>9. Implementation and System Integration</w:t>
      </w:r>
    </w:p>
    <w:p>
      <w:pPr>
        <w:spacing w:before="0" w:after="120" w:line="276" w:lineRule="auto"/>
      </w:pPr>
      <w:r>
        <w:rPr>
          <w:rFonts w:ascii="Calibri" w:hAnsi="Calibri"/>
          <w:color w:val="282828"/>
          <w:sz w:val="20"/>
        </w:rPr>
        <w:t>9.1 SightLine Architecture: The complete end-to-end SightLine application is built in Python, integrating Florence-2-base, Edge-TTS with non-blocking asyncio background audio playback, and an accessible Gradio web interface. The production repository (src/conversation/assistant.py) implements the full Florence-2 captioning, OCR, and VQA pipelines.</w:t>
      </w:r>
    </w:p>
    <w:p>
      <w:pPr>
        <w:spacing w:before="0" w:after="120" w:line="276" w:lineRule="auto"/>
      </w:pPr>
      <w:r>
        <w:rPr>
          <w:rFonts w:ascii="Calibri" w:hAnsi="Calibri"/>
          <w:color w:val="282828"/>
          <w:sz w:val="20"/>
        </w:rPr>
        <w:t>9.2 Production vs. Standalone Boundary: To maintain absolute reproducibility, we explicitly clarify that the live Gradio interface currently employs the deployed exact-hash deduplication policy in is_duplicate(), while the proposed multi-factor PrioritySceneGate is implemented as a standalone modular component in src/vision/priority_gate.py. Integrating the multi-factor gate into the live asynchronous video capture loop forms the immediate next step in our engineering roadmap.</w:t>
      </w:r>
    </w:p>
    <w:p>
      <w:pPr>
        <w:keepNext/>
        <w:spacing w:before="320" w:after="120"/>
      </w:pPr>
      <w:r>
        <w:rPr>
          <w:rFonts w:ascii="Calibri" w:hAnsi="Calibri"/>
          <w:b/>
          <w:color w:val="0D233A"/>
          <w:sz w:val="27"/>
        </w:rPr>
        <w:t>10. Limitations and Threats to Validity</w:t>
      </w:r>
    </w:p>
    <w:p>
      <w:pPr>
        <w:spacing w:before="0" w:after="120" w:line="276" w:lineRule="auto"/>
      </w:pPr>
      <w:r>
        <w:rPr>
          <w:rFonts w:ascii="Calibri" w:hAnsi="Calibri"/>
          <w:color w:val="282828"/>
          <w:sz w:val="20"/>
        </w:rPr>
        <w:t>1. Algorithmic Validity: The synthetic benchmark isolates specific visual phenomena (noise, drift, crossing objects, illumination shifts), but does not model rolling-shutter distortions, complex dynamic parallax, or extreme outdoor illumination transitions present in wearable video.</w:t>
      </w:r>
    </w:p>
    <w:p>
      <w:pPr>
        <w:spacing w:before="0" w:after="120" w:line="276" w:lineRule="auto"/>
      </w:pPr>
      <w:r>
        <w:rPr>
          <w:rFonts w:ascii="Calibri" w:hAnsi="Calibri"/>
          <w:color w:val="282828"/>
          <w:sz w:val="20"/>
        </w:rPr>
        <w:t>2. Semantic Proxy Limitation: The standalone gate uses a 48-dimensional color histogram proxy rather than live vision transformer embeddings, validating the fusion and thresholding mechanics rather than deep semantic invariant matching.</w:t>
      </w:r>
    </w:p>
    <w:p>
      <w:pPr>
        <w:spacing w:before="0" w:after="120" w:line="276" w:lineRule="auto"/>
      </w:pPr>
      <w:r>
        <w:rPr>
          <w:rFonts w:ascii="Calibri" w:hAnsi="Calibri"/>
          <w:color w:val="282828"/>
          <w:sz w:val="20"/>
        </w:rPr>
        <w:t>3. Human-Subject and Clinical Scope: We do not claim measured reductions in user cognitive load or clinical navigation safety. Establishing those benefits requires institutional ethics-approved participant trials with blind and low-vision users.</w:t>
      </w:r>
    </w:p>
    <w:p>
      <w:pPr>
        <w:spacing w:before="0" w:after="120" w:line="276" w:lineRule="auto"/>
      </w:pPr>
      <w:r>
        <w:rPr>
          <w:rFonts w:ascii="Calibri" w:hAnsi="Calibri"/>
          <w:color w:val="282828"/>
          <w:sz w:val="20"/>
        </w:rPr>
        <w:t>4. Privacy Flow: While vision inference executes locally, hyper-local translation for non-English voices (e.g., Hindi) utilizes external translation APIs, requiring transparent disclosure in privacy-sensitive assistive deployments.</w:t>
      </w:r>
    </w:p>
    <w:p>
      <w:pPr>
        <w:keepNext/>
        <w:spacing w:before="320" w:after="120"/>
      </w:pPr>
      <w:r>
        <w:rPr>
          <w:rFonts w:ascii="Calibri" w:hAnsi="Calibri"/>
          <w:b/>
          <w:color w:val="0D233A"/>
          <w:sz w:val="27"/>
        </w:rPr>
        <w:t>11. Conclusion</w:t>
      </w:r>
    </w:p>
    <w:p>
      <w:pPr>
        <w:spacing w:before="0" w:after="120" w:line="276" w:lineRule="auto"/>
      </w:pPr>
      <w:r>
        <w:rPr>
          <w:rFonts w:ascii="Calibri" w:hAnsi="Calibri"/>
          <w:color w:val="282828"/>
          <w:sz w:val="20"/>
        </w:rPr>
        <w:t>We presented SightLine, a priority-weighted scene-change gating framework for continuous assistive vision-language models. By causally combining perceptual hashing, appearance dissimilarity, motion proxies, and persisted hazard states against an asymmetric reference frame, SightLine suppresses 99.5% of noise frames and 64.5% of ambulatory drift frames while executing in under 1.8 ms. Task-conditioned gating profiles successfully resolve the text-dense inspection failure mode. Future work will focus on embedded deployment on the NVIDIA Jetson Orin Nano and IRB-approved real-world usability studies.</w:t>
      </w:r>
    </w:p>
    <w:p>
      <w:pPr>
        <w:keepNext/>
        <w:spacing w:before="320" w:after="120"/>
      </w:pPr>
      <w:r>
        <w:rPr>
          <w:rFonts w:ascii="Calibri" w:hAnsi="Calibri"/>
          <w:b/>
          <w:color w:val="0D233A"/>
          <w:sz w:val="27"/>
        </w:rPr>
        <w:t>References</w:t>
      </w:r>
    </w:p>
    <w:p>
      <w:pPr>
        <w:spacing w:before="0" w:after="80"/>
        <w:ind w:left="432" w:hanging="432"/>
      </w:pPr>
      <w:r>
        <w:rPr>
          <w:rFonts w:ascii="Calibri" w:hAnsi="Calibri"/>
          <w:color w:val="282828"/>
          <w:sz w:val="17"/>
        </w:rPr>
        <w:t>[1] B. Xiao, H. Wu, W. Xu, X. Dai, L. Yuan, and J. Gao, "Florence-2: Advancing a unified representation for versatile vision tasks," arXiv preprint arXiv:2311.06242, 2023.</w:t>
      </w:r>
    </w:p>
    <w:p>
      <w:pPr>
        <w:spacing w:before="0" w:after="80"/>
        <w:ind w:left="432" w:hanging="432"/>
      </w:pPr>
      <w:r>
        <w:rPr>
          <w:rFonts w:ascii="Calibri" w:hAnsi="Calibri"/>
          <w:color w:val="282828"/>
          <w:sz w:val="17"/>
        </w:rPr>
        <w:t>[2] D. Morrison, A. W. Sears, and S. Vogel, "Assistive computer vision for visually impaired navigation: A comprehensive survey," ACM Computing Surveys, vol. 55, no. 8, pp. 1–36, 2023.</w:t>
      </w:r>
    </w:p>
    <w:p>
      <w:pPr>
        <w:spacing w:before="0" w:after="80"/>
        <w:ind w:left="432" w:hanging="432"/>
      </w:pPr>
      <w:r>
        <w:rPr>
          <w:rFonts w:ascii="Calibri" w:hAnsi="Calibri"/>
          <w:color w:val="282828"/>
          <w:sz w:val="17"/>
        </w:rPr>
        <w:t>[3] J. Redmon, S. Divvala, R. Girshick, and A. Farhadi, "You only look once: Unified, real-time object detection," in Proc. IEEE Conf. Comput. Vis. Pattern Recognit. (CVPR), 2016, pp. 779–788.</w:t>
      </w:r>
    </w:p>
    <w:p>
      <w:pPr>
        <w:spacing w:before="0" w:after="80"/>
        <w:ind w:left="432" w:hanging="432"/>
      </w:pPr>
      <w:r>
        <w:rPr>
          <w:rFonts w:ascii="Calibri" w:hAnsi="Calibri"/>
          <w:color w:val="282828"/>
          <w:sz w:val="17"/>
        </w:rPr>
        <w:t>[4] C. Zauner, "Implementation and benchmarking of perceptual image hash functions," Master's thesis, Upper Austria Univ. Appl. Sci., Hagenberg, Austria, 2010.</w:t>
      </w:r>
    </w:p>
    <w:p>
      <w:pPr>
        <w:spacing w:before="0" w:after="80"/>
        <w:ind w:left="432" w:hanging="432"/>
      </w:pPr>
      <w:r>
        <w:rPr>
          <w:rFonts w:ascii="Calibri" w:hAnsi="Calibri"/>
          <w:color w:val="282828"/>
          <w:sz w:val="17"/>
        </w:rPr>
        <w:t>[5] A. Radford, J. W. Kim, C. Hallacy, A. Ramesh, G. Goh, S. Agarwal, et al., "Learning transferable visual models from natural language supervision," in Proc. Int. Conf. Mach. Learn. (ICML), 2021, pp. 8748–8763.</w:t>
      </w:r>
    </w:p>
    <w:p>
      <w:pPr>
        <w:spacing w:before="0" w:after="80"/>
        <w:ind w:left="432" w:hanging="432"/>
      </w:pPr>
      <w:r>
        <w:rPr>
          <w:rFonts w:ascii="Calibri" w:hAnsi="Calibri"/>
          <w:color w:val="282828"/>
          <w:sz w:val="17"/>
        </w:rPr>
        <w:t>[6] Y. Du, Z. Liu, J. Li, and W. X. Zhao, "A survey on vision-language-action models for embodied AI," IEEE Trans. Pattern Anal. Mach. Intell., early access, 2024.</w:t>
      </w:r>
    </w:p>
    <w:p>
      <w:pPr>
        <w:spacing w:before="0" w:after="80"/>
        <w:ind w:left="432" w:hanging="432"/>
      </w:pPr>
      <w:r>
        <w:rPr>
          <w:rFonts w:ascii="Calibri" w:hAnsi="Calibri"/>
          <w:color w:val="282828"/>
          <w:sz w:val="17"/>
        </w:rPr>
        <w:t>[7] T. L. Hart, "NASA-Task Load Index (NASA-TLX); 20 years later," in Proc. Human Factors Ergonomics Soc. Annu. Meeting, vol. 50, no. 9, 2006, pp. 904–908.</w:t>
      </w:r>
    </w:p>
    <w:p>
      <w:pPr>
        <w:spacing w:before="0" w:after="80"/>
        <w:ind w:left="432" w:hanging="432"/>
      </w:pPr>
      <w:r>
        <w:rPr>
          <w:rFonts w:ascii="Calibri" w:hAnsi="Calibri"/>
          <w:color w:val="282828"/>
          <w:sz w:val="17"/>
        </w:rPr>
        <w:t>[8] P. Premarathne, "Computer vision based assistive navigation systems for the blind: A systematic review," J. Robot., vol. 2026, Article ID 8831092, 2026.</w:t>
      </w:r>
    </w:p>
    <w:p>
      <w:pPr>
        <w:spacing w:before="0" w:after="80"/>
        <w:ind w:left="432" w:hanging="432"/>
      </w:pPr>
      <w:r>
        <w:rPr>
          <w:rFonts w:ascii="Calibri" w:hAnsi="Calibri"/>
          <w:color w:val="282828"/>
          <w:sz w:val="17"/>
        </w:rPr>
        <w:t>[9] S. G. Hart and L. E. Staveland, "Development of NASA-TLX (Task Load Index): Results of empirical and theoretical research," Adv. Psychol., vol. 52, pp. 139–183, 1988.</w:t>
      </w:r>
    </w:p>
    <w:p>
      <w:pPr>
        <w:spacing w:before="0" w:after="80"/>
        <w:ind w:left="432" w:hanging="432"/>
      </w:pPr>
      <w:r>
        <w:rPr>
          <w:rFonts w:ascii="Calibri" w:hAnsi="Calibri"/>
          <w:color w:val="282828"/>
          <w:sz w:val="17"/>
        </w:rPr>
        <w:t>[10] M. A. Fischler and R. C. Bolles, "Random sample consensus: A paradigm for model fitting with applications to image analysis and automated cartography," Commun. ACM, vol. 24, no. 6, pp. 381–395, 1981.</w:t>
      </w:r>
    </w:p>
    <w:p>
      <w:pPr>
        <w:spacing w:before="0" w:after="80"/>
        <w:ind w:left="432" w:hanging="432"/>
      </w:pPr>
      <w:r>
        <w:rPr>
          <w:rFonts w:ascii="Calibri" w:hAnsi="Calibri"/>
          <w:color w:val="282828"/>
          <w:sz w:val="17"/>
        </w:rPr>
        <w:t>[11] Z. Wang, A. C. Bovik, H. R. Sheikh, and E. P. Simoncelli, "Image quality assessment: From error visibility to structural similarity," IEEE Trans. Image Process., vol. 13, no. 4, pp. 600–612, 2004.</w:t>
      </w:r>
    </w:p>
    <w:p>
      <w:pPr>
        <w:keepNext/>
        <w:spacing w:before="320" w:after="120"/>
      </w:pPr>
      <w:r>
        <w:rPr>
          <w:rFonts w:ascii="Calibri" w:hAnsi="Calibri"/>
          <w:b/>
          <w:color w:val="0D233A"/>
          <w:sz w:val="27"/>
        </w:rPr>
        <w:t>Appendix: Algorithmic Specification and Verification Code</w:t>
      </w:r>
    </w:p>
    <w:p>
      <w:pPr>
        <w:spacing w:before="0" w:after="120" w:line="276" w:lineRule="auto"/>
      </w:pPr>
      <w:r>
        <w:rPr>
          <w:rFonts w:ascii="Calibri" w:hAnsi="Calibri"/>
          <w:color w:val="282828"/>
          <w:sz w:val="20"/>
        </w:rPr>
        <w:t>The standalone gate specification below provides the complete, self-contained implementation of the PrioritySceneGate class evaluated in this study, requiring only NumPy and Pillow.</w:t>
      </w:r>
    </w:p>
    <w:p>
      <w:pPr>
        <w:spacing w:before="80" w:after="160"/>
        <w:ind w:left="288" w:right="288"/>
      </w:pPr>
      <w:r>
        <w:rPr>
          <w:rFonts w:ascii="Consolas" w:hAnsi="Consolas"/>
          <w:color w:val="263238"/>
          <w:sz w:val="16"/>
        </w:rPr>
        <w:t>import numpy as np</w:t>
        <w:br/>
        <w:t>from PIL import Image</w:t>
        <w:br/>
        <w:t>from typing import Optional, List, Tuple, Dict</w:t>
        <w:br/>
        <w:br/>
        <w:t>class PrioritySceneGate:</w:t>
        <w:br/>
        <w:t xml:space="preserve">    def __init__(self, alpha=0.25, beta=0.20, gamma=0.30, delta=0.25, threshold=0.18):</w:t>
        <w:br/>
        <w:t xml:space="preserve">        tot = alpha + beta + gamma + delta</w:t>
        <w:br/>
        <w:t xml:space="preserve">        self.alpha, self.beta, self.gamma, self.delta = alpha/tot, beta/tot, gamma/tot, delta/tot</w:t>
        <w:br/>
        <w:t xml:space="preserve">        self.threshold = threshold</w:t>
        <w:br/>
        <w:t xml:space="preserve">        self.hazard_set = {'car', 'vehicle', 'truck', 'bus', 'stairs', 'curb', 'hole', 'obstacle'}</w:t>
        <w:br/>
        <w:t xml:space="preserve">        self.prev_hash, self.prev_emb, self.prev_gray = None, None, None</w:t>
        <w:br/>
        <w:t xml:space="preserve">        self.cached_hazard = 0.0</w:t>
        <w:br/>
        <w:br/>
        <w:t xml:space="preserve">    def compute_dhash(self, img, size=16):</w:t>
        <w:br/>
        <w:t xml:space="preserve">        gray = img.resize((size + 1, size), Image.LANCZOS).convert('L')</w:t>
        <w:br/>
        <w:t xml:space="preserve">        pixels = np.array(gray, dtype=np.float32)</w:t>
        <w:br/>
        <w:t xml:space="preserve">        return (pixels[:, :-1] &gt; pixels[:, 1:]).flatten()</w:t>
        <w:br/>
        <w:br/>
        <w:t xml:space="preserve">    def compute_appearance_proxy(self, img):</w:t>
        <w:br/>
        <w:t xml:space="preserve">        arr = np.array(img.convert('RGB'))</w:t>
        <w:br/>
        <w:t xml:space="preserve">        r, _ = np.histogram(arr[:, :, 0], bins=16, range=(0, 256), density=True)</w:t>
        <w:br/>
        <w:t xml:space="preserve">        g, _ = np.histogram(arr[:, :, 1], bins=16, range=(0, 256), density=True)</w:t>
        <w:br/>
        <w:t xml:space="preserve">        b, _ = np.histogram(arr[:, :, 2], bins=16, range=(0, 256), density=True)</w:t>
        <w:br/>
        <w:t xml:space="preserve">        emb = np.concatenate([r, g, b])</w:t>
        <w:br/>
        <w:t xml:space="preserve">        return emb / (np.linalg.norm(emb) + 1e-7)</w:t>
        <w:br/>
        <w:br/>
        <w:t xml:space="preserve">    def evaluate_change(self, img, detection_labels=None):</w:t>
        <w:br/>
        <w:t xml:space="preserve">        cur_h = self.compute_dhash(img)</w:t>
        <w:br/>
        <w:t xml:space="preserve">        cur_e = self.compute_appearance_proxy(img)</w:t>
        <w:br/>
        <w:t xml:space="preserve">        cur_g = np.array(img.resize((32, 32), Image.BILINEAR).convert('L'), dtype=np.float32)</w:t>
        <w:br/>
        <w:br/>
        <w:t xml:space="preserve">        if self.prev_hash is None:</w:t>
        <w:br/>
        <w:t xml:space="preserve">            self.prev_hash, self.prev_emb, self.prev_gray = cur_h, cur_e, cur_g</w:t>
        <w:br/>
        <w:t xml:space="preserve">            if detection_labels is not None:</w:t>
        <w:br/>
        <w:t xml:space="preserve">                self.cached_hazard = 1.0 if any(l in self.hazard_set for l in detection_labels) else 0.0</w:t>
        <w:br/>
        <w:t xml:space="preserve">            return True, 1.0</w:t>
        <w:br/>
        <w:br/>
        <w:t xml:space="preserve">        s_vis = float(np.mean(cur_h != self.prev_hash))</w:t>
        <w:br/>
        <w:t xml:space="preserve">        s_sem = float(np.clip(1.0 - np.dot(cur_e, self.prev_emb), 0.0, 1.0))</w:t>
        <w:br/>
        <w:t xml:space="preserve">        s_mot = float(np.mean(np.abs(cur_g - self.prev_gray)) / 255.0)</w:t>
        <w:br/>
        <w:t xml:space="preserve">        s_haz = float(self.cached_hazard)</w:t>
        <w:br/>
        <w:br/>
        <w:t xml:space="preserve">        score = self.alpha*s_vis + self.beta*s_sem + self.gamma*s_mot + self.delta*s_haz</w:t>
        <w:br/>
        <w:t xml:space="preserve">        should_invoke = bool(score &gt;= self.threshold)</w:t>
        <w:br/>
        <w:br/>
        <w:t xml:space="preserve">        if should_invoke:</w:t>
        <w:br/>
        <w:t xml:space="preserve">            self.prev_hash, self.prev_emb, self.prev_gray = cur_h, cur_e, cur_g</w:t>
        <w:br/>
        <w:t xml:space="preserve">            if detection_labels is not None:</w:t>
        <w:br/>
        <w:t xml:space="preserve">                self.cached_hazard = 1.0 if any(l in self.hazard_set for l in detection_labels) else 0.0</w:t>
        <w:br/>
        <w:br/>
        <w:t xml:space="preserve">        return should_invoke, score</w:t>
        <w:br/>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E6E6E"/>
        <w:sz w:val="18"/>
      </w:rPr>
      <w:t xml:space="preserve">IEEE Journal Submission Draft — Page </w:t>
    </w:r>
    <w:r>
      <w:rPr>
        <w:rFonts w:ascii="Calibri" w:hAnsi="Calibri"/>
        <w:color w:val="6E6E6E"/>
        <w:sz w:val="18"/>
      </w:rPr>
      <w:fldSimple w:instr="PAGE"/>
    </w:r>
    <w:r>
      <w:rPr>
        <w:rFonts w:ascii="Calibri" w:hAnsi="Calibri"/>
        <w:color w:val="6E6E6E"/>
        <w:sz w:val="18"/>
      </w:rPr>
      <w:t xml:space="preserve"> of </w:t>
    </w:r>
    <w:r>
      <w:rPr>
        <w:rFonts w:ascii="Calibri" w:hAnsi="Calibri"/>
        <w:color w:val="6E6E6E"/>
        <w:sz w:val="18"/>
      </w:rPr>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E6E6E"/>
        <w:sz w:val="17"/>
      </w:rPr>
      <w:t>SightLine: Priority-Weighted Scene-Change Gating for Redundancy-Aware Assistive VLMs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