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MBA讲座申请表</w:t>
      </w:r>
    </w:p>
    <w:p>
      <w:pPr>
        <w:jc w:val="right"/>
      </w:pPr>
      <w:r>
        <w:t>申请时间：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主讲人</w:t>
            </w:r>
          </w:p>
        </w:tc>
        <w:tc>
          <w:tcPr>
            <w:tcW w:type="dxa" w:w="2160"/>
          </w:tcPr>
          <w:p>
            <w:r>
              <w:rPr>
                <w:rFonts w:ascii="Songti SC" w:hAnsi="Songti SC" w:eastAsia="Songti SC"/>
                <w:sz w:val="22"/>
              </w:rPr>
              <w:t>手工川</w:t>
            </w:r>
          </w:p>
        </w:tc>
        <w:tc>
          <w:tcPr>
            <w:tcW w:type="dxa" w:w="2160"/>
          </w:tcPr>
          <w:p>
            <w:r>
              <w:t>职称/职务/职业资格</w:t>
            </w:r>
          </w:p>
        </w:tc>
        <w:tc>
          <w:tcPr>
            <w:tcW w:type="dxa" w:w="2160"/>
          </w:tcPr>
          <w:p>
            <w:r>
              <w:rPr>
                <w:rFonts w:ascii="Songti SC" w:hAnsi="Songti SC" w:eastAsia="Songti SC"/>
                <w:sz w:val="22"/>
              </w:rPr>
              <w:t>创业者</w:t>
            </w:r>
          </w:p>
        </w:tc>
      </w:tr>
      <w:tr>
        <w:tc>
          <w:tcPr>
            <w:tcW w:type="dxa" w:w="2160"/>
          </w:tcPr>
          <w:p>
            <w:r>
              <w:t>主讲人单位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Songti SC" w:hAnsi="Songti SC" w:eastAsia="Songti SC"/>
                <w:sz w:val="22"/>
              </w:rPr>
              <w:t>Lovstudio AI</w:t>
            </w:r>
          </w:p>
        </w:tc>
      </w:tr>
      <w:tr>
        <w:tc>
          <w:tcPr>
            <w:tcW w:type="dxa" w:w="2160"/>
          </w:tcPr>
          <w:p>
            <w:r>
              <w:t>邀请人</w:t>
            </w:r>
          </w:p>
        </w:tc>
        <w:tc>
          <w:tcPr>
            <w:tcW w:type="dxa" w:w="2160"/>
          </w:tcPr>
          <w:p>
            <w:r>
              <w:rPr>
                <w:rFonts w:ascii="Songti SC" w:hAnsi="Songti SC" w:eastAsia="Songti SC"/>
                <w:sz w:val="22"/>
              </w:rPr>
              <w:t>Robin</w:t>
            </w:r>
          </w:p>
        </w:tc>
        <w:tc>
          <w:tcPr>
            <w:tcW w:type="dxa" w:w="2160"/>
          </w:tcPr>
          <w:p>
            <w:r>
              <w:t>讲座费用</w:t>
            </w:r>
          </w:p>
        </w:tc>
        <w:tc>
          <w:tcPr>
            <w:tcW w:type="dxa" w:w="2160"/>
          </w:tcPr>
          <w:p>
            <w:r>
              <w:rPr>
                <w:rFonts w:ascii="Songti SC" w:hAnsi="Songti SC" w:eastAsia="Songti SC"/>
                <w:sz w:val="22"/>
              </w:rPr>
              <w:t>5000/h</w:t>
            </w:r>
          </w:p>
        </w:tc>
      </w:tr>
      <w:tr>
        <w:tc>
          <w:tcPr>
            <w:tcW w:type="dxa" w:w="2160"/>
          </w:tcPr>
          <w:p>
            <w:r>
              <w:t>讲座题目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Songti SC" w:hAnsi="Songti SC" w:eastAsia="Songti SC"/>
                <w:sz w:val="22"/>
              </w:rPr>
              <w:t>《AI Agent时代学习的道与术》</w:t>
            </w:r>
          </w:p>
        </w:tc>
      </w:tr>
      <w:tr>
        <w:tc>
          <w:tcPr>
            <w:tcW w:type="dxa" w:w="2160"/>
          </w:tcPr>
          <w:p>
            <w:r>
              <w:t>讲座时间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讲座地点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讲座听众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主持人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/>
            <w:r>
              <w:rPr>
                <w:rFonts w:ascii="Songti SC" w:hAnsi="Songti SC" w:eastAsia="Songti SC"/>
                <w:sz w:val="22"/>
              </w:rPr>
              <w:t>讲座主要内容（300字以内）：AI Agent正在重塑学习与工作的底层逻辑。本讲座从"龙虾养殖法"方法论出发，分享手工川在2026年组织十余场龙虾聚会中提炼的核心洞察：99%的人都用反了AI——不是你问AI，是AI告诉你该做什么；Context而非Control，放下控制欲才能释放Agent的涌现能力；JIT学习取代厚积薄发，好奇心、想象力与勇气才是新时代最重要的特质。同时结合OPC（One Person Company）实践，展示如何用"1人+AI军团"模式实现一台MacBook等于一栋写字楼的生产力跃迁，并诚实讨论其中的陷阱与风险。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