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before="0" w:after="0"/>
        <w:jc w:val="right"/>
        <w:rPr>
          <w:rFonts w:ascii="Arial" w:hAnsi="Arial" w:cs="Arial"/>
          <w:b/>
          <w:b/>
          <w:color w:val="000000" w:themeColor="text1"/>
          <w:sz w:val="24"/>
          <w:szCs w:val="24"/>
        </w:rPr>
      </w:pPr>
      <w:r>
        <w:rPr>
          <w:rFonts w:cs="Arial" w:ascii="Arial" w:hAnsi="Arial"/>
          <w:b/>
          <w:color w:val="000000" w:themeColor="text1"/>
          <w:sz w:val="24"/>
          <w:szCs w:val="24"/>
        </w:rPr>
      </w:r>
    </w:p>
    <w:p>
      <w:pPr>
        <w:pStyle w:val="Normal"/>
        <w:spacing w:lineRule="atLeast" w:line="100" w:before="0" w:after="0"/>
        <w:jc w:val="right"/>
        <w:rPr>
          <w:rFonts w:ascii="Arial" w:hAnsi="Arial" w:cs="Arial"/>
          <w:color w:val="000000" w:themeColor="text1"/>
          <w:sz w:val="20"/>
          <w:szCs w:val="20"/>
        </w:rPr>
      </w:pPr>
      <w:r>
        <w:rPr>
          <w:rFonts w:cs="Arial" w:ascii="Arial" w:hAnsi="Arial"/>
          <w:b/>
          <w:color w:val="000000" w:themeColor="text1"/>
          <w:sz w:val="24"/>
          <w:szCs w:val="24"/>
        </w:rPr>
        <w:t>RECORD OF GENOMIC ANALYSIS</w:t>
        <w:tab/>
        <w:tab/>
        <w:tab/>
        <w:tab/>
        <w:tab/>
        <w:tab/>
        <w:tab/>
        <w:t xml:space="preserve">                </w:t>
      </w:r>
      <w:r>
        <w:rPr>
          <w:rFonts w:cs="Arial" w:ascii="Arial" w:hAnsi="Arial"/>
          <w:color w:val="000000" w:themeColor="text1"/>
          <w:sz w:val="20"/>
          <w:szCs w:val="20"/>
        </w:rPr>
        <w:t>Research and Development Section</w:t>
      </w:r>
    </w:p>
    <w:p>
      <w:pPr>
        <w:pStyle w:val="Normal"/>
        <w:spacing w:lineRule="atLeast" w:line="100" w:before="0" w:after="0"/>
        <w:jc w:val="right"/>
        <w:rPr>
          <w:rFonts w:ascii="Arial" w:hAnsi="Arial" w:cs="Arial"/>
          <w:color w:val="000000" w:themeColor="text1"/>
          <w:sz w:val="20"/>
          <w:szCs w:val="20"/>
        </w:rPr>
      </w:pPr>
      <w:r>
        <w:rPr>
          <w:rFonts w:cs="Arial" w:ascii="Arial" w:hAnsi="Arial"/>
          <w:color w:val="000000" w:themeColor="text1"/>
          <w:sz w:val="20"/>
          <w:szCs w:val="20"/>
        </w:rPr>
        <w:t>Ottawa Laboratory (Carling), Ontario Laboratory Network</w:t>
      </w:r>
    </w:p>
    <w:p>
      <w:pPr>
        <w:pStyle w:val="Normal"/>
        <w:spacing w:lineRule="atLeast" w:line="100" w:before="0" w:after="0"/>
        <w:jc w:val="right"/>
        <w:rPr>
          <w:rFonts w:ascii="Arial" w:hAnsi="Arial" w:cs="Arial"/>
          <w:color w:val="000000" w:themeColor="text1"/>
          <w:sz w:val="20"/>
          <w:szCs w:val="20"/>
        </w:rPr>
      </w:pPr>
      <w:r>
        <w:rPr>
          <w:rFonts w:cs="Arial" w:ascii="Arial" w:hAnsi="Arial"/>
          <w:color w:val="000000" w:themeColor="text1"/>
          <w:sz w:val="20"/>
          <w:szCs w:val="20"/>
        </w:rPr>
        <w:t>960 Carling Avenue, Bldg. 22, C.E.F.</w:t>
      </w:r>
    </w:p>
    <w:p>
      <w:pPr>
        <w:pStyle w:val="Normal"/>
        <w:spacing w:lineRule="atLeast" w:line="100" w:before="0" w:after="0"/>
        <w:jc w:val="right"/>
        <w:rPr>
          <w:rFonts w:ascii="Arial" w:hAnsi="Arial" w:cs="Arial"/>
          <w:color w:val="000000" w:themeColor="text1"/>
          <w:sz w:val="20"/>
          <w:szCs w:val="20"/>
        </w:rPr>
      </w:pPr>
      <w:r>
        <w:rPr>
          <w:rFonts w:cs="Arial" w:ascii="Arial" w:hAnsi="Arial"/>
          <w:color w:val="000000" w:themeColor="text1"/>
          <w:sz w:val="20"/>
          <w:szCs w:val="20"/>
        </w:rPr>
        <w:t>Ottawa, Ontario K1A 0C6</w:t>
      </w:r>
    </w:p>
    <w:p>
      <w:pPr>
        <w:pStyle w:val="Normal"/>
        <w:spacing w:lineRule="atLeast" w:line="100" w:before="0" w:after="0"/>
        <w:rPr>
          <w:rFonts w:ascii="Arial" w:hAnsi="Arial" w:cs="Arial"/>
          <w:color w:val="000000" w:themeColor="text1"/>
        </w:rPr>
      </w:pPr>
      <w:r>
        <w:rPr>
          <w:rFonts w:cs="Arial" w:ascii="Arial" w:hAnsi="Arial"/>
          <w:color w:val="000000" w:themeColor="text1"/>
        </w:rPr>
      </w:r>
    </w:p>
    <w:tbl>
      <w:tblPr>
        <w:tblStyle w:val="TableGrid"/>
        <w:tblW w:w="13176" w:type="dxa"/>
        <w:jc w:val="left"/>
        <w:tblInd w:w="0" w:type="dxa"/>
        <w:tblCellMar>
          <w:top w:w="0" w:type="dxa"/>
          <w:left w:w="138" w:type="dxa"/>
          <w:bottom w:w="0" w:type="dxa"/>
          <w:right w:w="108" w:type="dxa"/>
        </w:tblCellMar>
        <w:tblLook w:val="04a0" w:noVBand="1" w:noHBand="0" w:lastColumn="0" w:firstColumn="1" w:lastRow="0" w:firstRow="1"/>
      </w:tblPr>
      <w:tblGrid>
        <w:gridCol w:w="1996"/>
        <w:gridCol w:w="661"/>
        <w:gridCol w:w="3260"/>
        <w:gridCol w:w="425"/>
        <w:gridCol w:w="244"/>
        <w:gridCol w:w="2"/>
        <w:gridCol w:w="2682"/>
        <w:gridCol w:w="3906"/>
      </w:tblGrid>
      <w:tr>
        <w:trPr/>
        <w:tc>
          <w:tcPr>
            <w:tcW w:w="2657"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 xml:space="preserve">OLC Reference:  </w:t>
            </w:r>
          </w:p>
        </w:tc>
        <w:tc>
          <w:tcPr>
            <w:tcW w:w="3685" w:type="dxa"/>
            <w:gridSpan w:val="2"/>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 xml:space="preserve">ROGA-YYYY-MM-DD </w:t>
            </w:r>
            <w:r>
              <w:rPr>
                <w:rFonts w:cs="Arial" w:ascii="Arial" w:hAnsi="Arial"/>
                <w:i/>
                <w:color w:val="000000" w:themeColor="text1"/>
              </w:rPr>
              <w:t>Listeria</w:t>
            </w:r>
          </w:p>
        </w:tc>
        <w:tc>
          <w:tcPr>
            <w:tcW w:w="244"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84"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 xml:space="preserve">Sequencing Analyst: </w:t>
            </w:r>
          </w:p>
        </w:tc>
        <w:tc>
          <w:tcPr>
            <w:tcW w:w="3906"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2657"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Date received at OLC:</w:t>
            </w:r>
          </w:p>
        </w:tc>
        <w:tc>
          <w:tcPr>
            <w:tcW w:w="3260"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YYYY-MM-DD</w:t>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82"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Bioinformatics Analyst:</w:t>
            </w:r>
          </w:p>
        </w:tc>
        <w:tc>
          <w:tcPr>
            <w:tcW w:w="3906"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2657"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Date sequenced:</w:t>
            </w:r>
          </w:p>
        </w:tc>
        <w:tc>
          <w:tcPr>
            <w:tcW w:w="3260"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YYYY-MM-DD</w:t>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82"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Report author:</w:t>
            </w:r>
          </w:p>
        </w:tc>
        <w:tc>
          <w:tcPr>
            <w:tcW w:w="3906"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1996"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3921"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82"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Verified by:</w:t>
            </w:r>
          </w:p>
        </w:tc>
        <w:tc>
          <w:tcPr>
            <w:tcW w:w="3906"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1996"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3921"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b/>
                <w:b/>
                <w:color w:val="000000" w:themeColor="text1"/>
              </w:rPr>
            </w:pPr>
            <w:r>
              <w:rPr>
                <w:rFonts w:cs="Arial" w:ascii="Arial" w:hAnsi="Arial"/>
                <w:b/>
                <w:color w:val="000000" w:themeColor="text1"/>
              </w:rPr>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82"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Location of main file:</w:t>
            </w:r>
          </w:p>
        </w:tc>
        <w:tc>
          <w:tcPr>
            <w:tcW w:w="3906"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Room B5</w:t>
            </w:r>
          </w:p>
        </w:tc>
      </w:tr>
    </w:tbl>
    <w:p>
      <w:pPr>
        <w:pStyle w:val="Normal"/>
        <w:spacing w:lineRule="atLeast" w:line="100" w:before="0" w:after="0"/>
        <w:rPr>
          <w:rFonts w:ascii="Arial" w:hAnsi="Arial" w:cs="Arial"/>
          <w:b/>
          <w:b/>
          <w:color w:val="000000" w:themeColor="text1"/>
        </w:rPr>
      </w:pPr>
      <w:r>
        <w:rPr>
          <w:rFonts w:cs="Arial" w:ascii="Arial" w:hAnsi="Arial"/>
          <w:b/>
          <w:color w:val="000000" w:themeColor="text1"/>
        </w:rPr>
      </w:r>
    </w:p>
    <w:tbl>
      <w:tblPr>
        <w:tblStyle w:val="TableGrid"/>
        <w:tblW w:w="13176" w:type="dxa"/>
        <w:jc w:val="left"/>
        <w:tblInd w:w="-31" w:type="dxa"/>
        <w:tblCellMar>
          <w:top w:w="0" w:type="dxa"/>
          <w:left w:w="-22" w:type="dxa"/>
          <w:bottom w:w="0" w:type="dxa"/>
          <w:right w:w="108" w:type="dxa"/>
        </w:tblCellMar>
        <w:tblLook w:val="04a0" w:noVBand="1" w:noHBand="0" w:lastColumn="0" w:firstColumn="1" w:lastRow="0" w:firstRow="1"/>
      </w:tblPr>
      <w:tblGrid>
        <w:gridCol w:w="13176"/>
      </w:tblGrid>
      <w:tr>
        <w:trPr/>
        <w:tc>
          <w:tcPr>
            <w:tcW w:w="13176" w:type="dxa"/>
            <w:tcBorders>
              <w:top w:val="double" w:sz="6" w:space="0" w:color="00000A"/>
              <w:left w:val="double" w:sz="6" w:space="0" w:color="00000A"/>
              <w:bottom w:val="double" w:sz="6" w:space="0" w:color="00000A"/>
              <w:right w:val="double" w:sz="6" w:space="0" w:color="00000A"/>
              <w:insideH w:val="double" w:sz="6" w:space="0" w:color="00000A"/>
              <w:insideV w:val="double" w:sz="6" w:space="0" w:color="00000A"/>
            </w:tcBorders>
            <w:shd w:fill="auto" w:val="clear"/>
            <w:tcMar>
              <w:left w:w="-22" w:type="dxa"/>
            </w:tcMar>
          </w:tcPr>
          <w:p>
            <w:pPr>
              <w:pStyle w:val="Normal"/>
              <w:spacing w:lineRule="atLeast" w:line="100" w:before="0" w:after="0"/>
              <w:rPr>
                <w:rFonts w:ascii="Arial" w:hAnsi="Arial" w:cs="Arial"/>
                <w:b/>
                <w:b/>
                <w:color w:val="000000" w:themeColor="text1"/>
                <w:sz w:val="24"/>
                <w:szCs w:val="24"/>
              </w:rPr>
            </w:pPr>
            <w:r>
              <w:rPr>
                <w:rFonts w:cs="Arial" w:ascii="Arial" w:hAnsi="Arial"/>
                <w:b/>
                <w:color w:val="000000" w:themeColor="text1"/>
                <w:sz w:val="24"/>
                <w:szCs w:val="24"/>
              </w:rPr>
              <w:t xml:space="preserve">Identification Summary: </w:t>
            </w:r>
          </w:p>
          <w:p>
            <w:pPr>
              <w:pStyle w:val="Normal"/>
              <w:spacing w:lineRule="atLeast" w:line="100" w:before="0" w:after="0"/>
              <w:rPr>
                <w:rFonts w:ascii="Arial" w:hAnsi="Arial" w:cs="Arial"/>
                <w:b/>
                <w:b/>
                <w:color w:val="000000" w:themeColor="text1"/>
              </w:rPr>
            </w:pPr>
            <w:r>
              <w:rPr>
                <w:rFonts w:cs="Arial" w:ascii="Arial" w:hAnsi="Arial"/>
                <w:b/>
                <w:color w:val="000000" w:themeColor="text1"/>
              </w:rPr>
            </w:r>
          </w:p>
          <w:p>
            <w:pPr>
              <w:pStyle w:val="Normal"/>
              <w:spacing w:lineRule="atLeast" w:line="100" w:before="0" w:after="0"/>
              <w:rPr>
                <w:rFonts w:ascii="Arial" w:hAnsi="Arial" w:cs="Arial"/>
                <w:b/>
                <w:b/>
                <w:color w:val="000000" w:themeColor="text1"/>
              </w:rPr>
            </w:pPr>
            <w:r>
              <w:rPr>
                <w:rFonts w:cs="Arial" w:ascii="Arial" w:hAnsi="Arial"/>
                <w:color w:val="000000" w:themeColor="text1"/>
              </w:rPr>
              <w:t xml:space="preserve">2 strains (see Table 1) were submitted for whole-genome sequencing and confirmed to be </w:t>
            </w:r>
            <w:r>
              <w:rPr>
                <w:rFonts w:cs="Arial" w:ascii="Arial" w:hAnsi="Arial"/>
                <w:i/>
                <w:color w:val="000000" w:themeColor="text1"/>
              </w:rPr>
              <w:t>Listeria monocytogenes</w:t>
            </w:r>
            <w:r>
              <w:rPr>
                <w:rFonts w:cs="Arial" w:ascii="Arial" w:hAnsi="Arial"/>
                <w:color w:val="000000" w:themeColor="text1"/>
              </w:rPr>
              <w:t xml:space="preserve"> based on detection of probe sequences (e-probes) indicating the presence of IGS, </w:t>
            </w:r>
            <w:r>
              <w:rPr>
                <w:rFonts w:cs="Arial" w:ascii="Arial" w:hAnsi="Arial"/>
                <w:i/>
                <w:color w:val="000000" w:themeColor="text1"/>
              </w:rPr>
              <w:t>hlyA</w:t>
            </w:r>
            <w:r>
              <w:rPr>
                <w:rFonts w:cs="Arial" w:ascii="Arial" w:hAnsi="Arial"/>
                <w:color w:val="000000" w:themeColor="text1"/>
              </w:rPr>
              <w:t xml:space="preserve">, and/or </w:t>
            </w:r>
            <w:r>
              <w:rPr>
                <w:rFonts w:cs="Arial" w:ascii="Arial" w:hAnsi="Arial"/>
                <w:i/>
                <w:color w:val="000000" w:themeColor="text1"/>
              </w:rPr>
              <w:t>inlJ</w:t>
            </w:r>
            <w:r>
              <w:rPr>
                <w:rFonts w:cs="Arial" w:ascii="Arial" w:hAnsi="Arial"/>
                <w:color w:val="000000" w:themeColor="text1"/>
              </w:rPr>
              <w:t xml:space="preserve"> genes.</w:t>
            </w:r>
          </w:p>
          <w:p>
            <w:pPr>
              <w:pStyle w:val="Normal"/>
              <w:spacing w:lineRule="atLeast" w:line="100" w:before="0" w:after="0"/>
              <w:rPr>
                <w:rFonts w:ascii="Arial" w:hAnsi="Arial" w:cs="Arial"/>
                <w:color w:val="000000" w:themeColor="text1"/>
              </w:rPr>
            </w:pPr>
            <w:r>
              <w:rPr>
                <w:rFonts w:cs="Arial" w:ascii="Arial" w:hAnsi="Arial"/>
                <w:color w:val="000000" w:themeColor="text1"/>
              </w:rPr>
            </w:r>
          </w:p>
          <w:p>
            <w:pPr>
              <w:pStyle w:val="Normal"/>
              <w:spacing w:lineRule="atLeast" w:line="100" w:before="0" w:after="0"/>
              <w:rPr>
                <w:rFonts w:ascii="Arial" w:hAnsi="Arial" w:cs="Arial"/>
                <w:b/>
                <w:b/>
                <w:color w:val="000000" w:themeColor="text1"/>
                <w:sz w:val="24"/>
                <w:szCs w:val="24"/>
              </w:rPr>
            </w:pPr>
            <w:r>
              <w:rPr>
                <w:rFonts w:cs="Arial" w:ascii="Arial" w:hAnsi="Arial"/>
                <w:b/>
                <w:color w:val="000000" w:themeColor="text1"/>
                <w:sz w:val="24"/>
                <w:szCs w:val="24"/>
              </w:rPr>
              <w:t>Quality Control Analysis:</w:t>
            </w:r>
          </w:p>
          <w:p>
            <w:pPr>
              <w:pStyle w:val="Normal"/>
              <w:spacing w:lineRule="atLeast" w:line="100" w:before="0" w:after="0"/>
              <w:rPr>
                <w:rFonts w:ascii="Arial" w:hAnsi="Arial" w:cs="Arial"/>
                <w:b/>
                <w:b/>
                <w:color w:val="000000" w:themeColor="text1"/>
                <w:sz w:val="24"/>
                <w:szCs w:val="24"/>
              </w:rPr>
            </w:pPr>
            <w:r>
              <w:rPr>
                <w:rFonts w:cs="Arial" w:ascii="Arial" w:hAnsi="Arial"/>
                <w:b/>
                <w:color w:val="000000" w:themeColor="text1"/>
                <w:sz w:val="24"/>
                <w:szCs w:val="24"/>
              </w:rPr>
            </w:r>
          </w:p>
          <w:p>
            <w:pPr>
              <w:pStyle w:val="ListParagraph"/>
              <w:numPr>
                <w:ilvl w:val="0"/>
                <w:numId w:val="1"/>
              </w:numPr>
              <w:spacing w:lineRule="atLeast" w:line="100" w:before="0" w:after="0"/>
              <w:rPr>
                <w:rFonts w:ascii="Arial" w:hAnsi="Arial" w:cs="Arial"/>
                <w:color w:val="000000" w:themeColor="text1"/>
                <w:u w:val="single"/>
              </w:rPr>
            </w:pPr>
            <w:r>
              <w:rPr>
                <w:rFonts w:cs="Arial" w:ascii="Arial" w:hAnsi="Arial"/>
                <w:color w:val="000000" w:themeColor="text1"/>
                <w:u w:val="single"/>
              </w:rPr>
              <w:t>Multilocus sequence typing (MLST):</w:t>
            </w:r>
          </w:p>
          <w:p>
            <w:pPr>
              <w:pStyle w:val="Normal"/>
              <w:numPr>
                <w:ilvl w:val="1"/>
                <w:numId w:val="1"/>
              </w:numPr>
              <w:spacing w:lineRule="atLeast" w:line="100" w:before="0" w:after="0"/>
              <w:rPr>
                <w:rFonts w:ascii="Arial" w:hAnsi="Arial" w:cs="Arial"/>
                <w:color w:val="000000" w:themeColor="text1"/>
              </w:rPr>
            </w:pPr>
            <w:r>
              <w:rPr>
                <w:rFonts w:cs="Arial" w:ascii="Arial" w:hAnsi="Arial"/>
                <w:color w:val="000000" w:themeColor="text1"/>
              </w:rPr>
              <w:t>Isolate BUR-FI-2017-MI-00016-5 was sequence type (ST)-101.  The most recent isolates matching this genotype were isolated from RTE Fish-Eel in March 2017 (See RDIMS#9262619).</w:t>
            </w:r>
          </w:p>
          <w:p>
            <w:pPr>
              <w:pStyle w:val="Normal"/>
              <w:numPr>
                <w:ilvl w:val="1"/>
                <w:numId w:val="1"/>
              </w:numPr>
              <w:spacing w:lineRule="atLeast" w:line="100" w:before="0" w:after="0"/>
              <w:rPr>
                <w:rFonts w:ascii="Arial" w:hAnsi="Arial" w:cs="Arial"/>
                <w:color w:val="000000" w:themeColor="text1"/>
              </w:rPr>
            </w:pPr>
            <w:r>
              <w:rPr>
                <w:rFonts w:cs="Arial" w:ascii="Arial" w:hAnsi="Arial"/>
                <w:color w:val="000000" w:themeColor="text1"/>
              </w:rPr>
              <w:t>Isolate BUR-FI-2017-MI-00032-5 was sequence type (ST)-199.  The most recent isolates matching this genotype were isolated from RTE Fish-Eel on 2017-03-17.</w:t>
            </w:r>
          </w:p>
          <w:p>
            <w:pPr>
              <w:pStyle w:val="ListParagraph"/>
              <w:numPr>
                <w:ilvl w:val="0"/>
                <w:numId w:val="1"/>
              </w:numPr>
              <w:spacing w:lineRule="auto" w:line="276" w:before="0" w:after="0"/>
              <w:rPr>
                <w:rFonts w:ascii="Arial" w:hAnsi="Arial" w:cs="Arial"/>
                <w:color w:val="000000" w:themeColor="text1"/>
              </w:rPr>
            </w:pPr>
            <w:r>
              <w:rPr>
                <w:rFonts w:cs="Arial" w:ascii="Arial" w:hAnsi="Arial"/>
                <w:color w:val="000000" w:themeColor="text1"/>
              </w:rPr>
              <w:t>To determine degree of relatedness to previous strains isolated at the CFIA with the same sequence type, strains were further analyzed to identify single nucleotide variants (SNVs). This approach compares the entire genome sequence (approximately 3 million bases) to identify the number of nucleotides that are different in at least one strain in the set of strains compared. SNVs were identified using the NML SNVphyl pipeline (v1.0), using 2016-SEQ-1310 as a reference genome. Biorequest # 8732.</w:t>
            </w:r>
          </w:p>
          <w:p>
            <w:pPr>
              <w:pStyle w:val="Normal"/>
              <w:numPr>
                <w:ilvl w:val="1"/>
                <w:numId w:val="1"/>
              </w:numPr>
              <w:spacing w:lineRule="atLeast" w:line="100" w:before="0" w:after="0"/>
              <w:rPr>
                <w:rFonts w:ascii="Arial" w:hAnsi="Arial" w:cs="Arial"/>
                <w:b/>
                <w:b/>
                <w:color w:val="000000" w:themeColor="text1"/>
              </w:rPr>
            </w:pPr>
            <w:r>
              <w:rPr>
                <w:rFonts w:cs="Arial" w:ascii="Arial" w:hAnsi="Arial"/>
                <w:color w:val="000000" w:themeColor="text1"/>
              </w:rPr>
              <w:t xml:space="preserve">Maximum-likelihood phylogeny based on 141 high quality core genome SNV positions identified amongst 3 genomes over 96.08% of the reference genome is shown in </w:t>
            </w:r>
            <w:r>
              <w:rPr>
                <w:rFonts w:cs="Arial" w:ascii="Arial" w:hAnsi="Arial"/>
                <w:b/>
                <w:color w:val="000000" w:themeColor="text1"/>
              </w:rPr>
              <w:t>Figure 1</w:t>
            </w:r>
            <w:r>
              <w:rPr>
                <w:rFonts w:cs="Arial" w:ascii="Arial" w:hAnsi="Arial"/>
                <w:color w:val="000000" w:themeColor="text1"/>
              </w:rPr>
              <w:t xml:space="preserve">. </w:t>
            </w:r>
          </w:p>
          <w:p>
            <w:pPr>
              <w:pStyle w:val="Normal"/>
              <w:numPr>
                <w:ilvl w:val="1"/>
                <w:numId w:val="1"/>
              </w:numPr>
              <w:spacing w:lineRule="atLeast" w:line="100" w:before="0" w:after="0"/>
              <w:rPr>
                <w:rFonts w:ascii="Arial" w:hAnsi="Arial" w:cs="Arial"/>
                <w:color w:val="000000" w:themeColor="text1"/>
              </w:rPr>
            </w:pPr>
            <w:r>
              <w:rPr>
                <w:rFonts w:cs="Arial" w:ascii="Arial" w:hAnsi="Arial"/>
                <w:color w:val="000000" w:themeColor="text1"/>
              </w:rPr>
              <w:t>All of the new isolates have between 27 and 127 SNVs compared to historical isolates with the same genotype (</w:t>
            </w:r>
            <w:r>
              <w:rPr>
                <w:rFonts w:cs="Arial" w:ascii="Arial" w:hAnsi="Arial"/>
                <w:b/>
                <w:color w:val="000000" w:themeColor="text1"/>
              </w:rPr>
              <w:t>Figure 1, red boxes</w:t>
            </w:r>
            <w:r>
              <w:rPr>
                <w:rFonts w:cs="Arial" w:ascii="Arial" w:hAnsi="Arial"/>
                <w:color w:val="000000" w:themeColor="text1"/>
              </w:rPr>
              <w:t>)</w:t>
            </w:r>
          </w:p>
          <w:p>
            <w:pPr>
              <w:pStyle w:val="Normal"/>
              <w:spacing w:lineRule="atLeast" w:line="100" w:before="0" w:after="0"/>
              <w:rPr>
                <w:rFonts w:ascii="Arial" w:hAnsi="Arial" w:cs="Arial"/>
                <w:b/>
                <w:b/>
                <w:color w:val="000000" w:themeColor="text1"/>
              </w:rPr>
            </w:pPr>
            <w:r>
              <w:rPr>
                <w:rFonts w:cs="Arial" w:ascii="Arial" w:hAnsi="Arial"/>
                <w:b/>
                <w:color w:val="000000" w:themeColor="text1"/>
              </w:rPr>
            </w:r>
          </w:p>
          <w:p>
            <w:pPr>
              <w:pStyle w:val="Normal"/>
              <w:spacing w:lineRule="atLeast" w:line="100" w:before="0" w:after="0"/>
              <w:rPr>
                <w:rFonts w:ascii="Arial" w:hAnsi="Arial" w:cs="Arial"/>
                <w:color w:val="000000" w:themeColor="text1"/>
                <w:u w:val="single"/>
              </w:rPr>
            </w:pPr>
            <w:r>
              <w:rPr>
                <w:rFonts w:cs="Arial" w:ascii="Arial" w:hAnsi="Arial"/>
                <w:color w:val="000000" w:themeColor="text1"/>
                <w:u w:val="single"/>
              </w:rPr>
              <w:t>Multilocus sequence typing (MLST):</w:t>
            </w:r>
          </w:p>
          <w:p>
            <w:pPr>
              <w:pStyle w:val="Normal"/>
              <w:numPr>
                <w:ilvl w:val="0"/>
                <w:numId w:val="1"/>
              </w:numPr>
              <w:spacing w:lineRule="atLeast" w:line="100" w:before="0" w:after="0"/>
              <w:rPr>
                <w:rFonts w:ascii="Arial" w:hAnsi="Arial" w:cs="Arial"/>
                <w:color w:val="000000" w:themeColor="text1"/>
              </w:rPr>
            </w:pPr>
            <w:r>
              <w:rPr>
                <w:rFonts w:cs="Arial" w:ascii="Arial" w:hAnsi="Arial"/>
                <w:color w:val="000000" w:themeColor="text1"/>
              </w:rPr>
              <w:t>Isolate BUR-FI-2017-MI-00032-5  was sequence type (ST)-199.  Isolates with this genotype are commonly recovered from CFIA’s food testing program (2009 to present).</w:t>
            </w:r>
          </w:p>
          <w:p>
            <w:pPr>
              <w:pStyle w:val="Normal"/>
              <w:spacing w:lineRule="atLeast" w:line="100" w:before="0" w:after="0"/>
              <w:rPr>
                <w:rFonts w:ascii="Arial" w:hAnsi="Arial" w:cs="Arial"/>
                <w:b/>
                <w:b/>
                <w:color w:val="000000" w:themeColor="text1"/>
                <w:sz w:val="24"/>
                <w:szCs w:val="24"/>
              </w:rPr>
            </w:pPr>
            <w:r>
              <w:rPr>
                <w:rFonts w:cs="Arial" w:ascii="Arial" w:hAnsi="Arial"/>
                <w:b/>
                <w:color w:val="000000" w:themeColor="text1"/>
                <w:sz w:val="24"/>
                <w:szCs w:val="24"/>
              </w:rPr>
              <w:t>Quality Control Analysis:</w:t>
            </w:r>
          </w:p>
          <w:p>
            <w:pPr>
              <w:pStyle w:val="ListParagraph"/>
              <w:numPr>
                <w:ilvl w:val="0"/>
                <w:numId w:val="1"/>
              </w:numPr>
              <w:spacing w:lineRule="auto" w:line="276" w:before="0" w:after="0"/>
              <w:rPr>
                <w:rFonts w:ascii="Arial" w:hAnsi="Arial" w:cs="Arial"/>
                <w:color w:val="000000" w:themeColor="text1"/>
              </w:rPr>
            </w:pPr>
            <w:r>
              <w:rPr>
                <w:rFonts w:cs="Arial" w:ascii="Arial" w:hAnsi="Arial"/>
                <w:color w:val="000000" w:themeColor="text1"/>
              </w:rPr>
              <w:t>To determine degree of relatedness to previous strains isolated at the CFIA with the same sequence type, strains were further analyzed to identify single nucleotide variants (SNVs). This approach compares the entire genome sequence (approximately 3 million bases) to identify the number of nucleotides that are different in at least one strain in the set of strains compared. SNVs were identified using the NML SNVphyl pipeline (v1.0), using 2016-SEQ-0413 as a reference genome. Biorequest # 8731.</w:t>
            </w:r>
          </w:p>
          <w:p>
            <w:pPr>
              <w:pStyle w:val="Normal"/>
              <w:numPr>
                <w:ilvl w:val="1"/>
                <w:numId w:val="1"/>
              </w:numPr>
              <w:spacing w:lineRule="atLeast" w:line="100" w:before="0" w:after="0"/>
              <w:rPr>
                <w:rFonts w:ascii="Arial" w:hAnsi="Arial" w:cs="Arial"/>
                <w:b/>
                <w:b/>
                <w:color w:val="000000" w:themeColor="text1"/>
              </w:rPr>
            </w:pPr>
            <w:r>
              <w:rPr>
                <w:rFonts w:cs="Arial" w:ascii="Arial" w:hAnsi="Arial"/>
                <w:color w:val="000000" w:themeColor="text1"/>
              </w:rPr>
              <w:t xml:space="preserve">Maximum-likelihood phylogeny based on 491 high quality core genome SNV positions identified amongst 35 genomes over 92.43% of the reference genome is shown in </w:t>
            </w:r>
            <w:r>
              <w:rPr>
                <w:rFonts w:cs="Arial" w:ascii="Arial" w:hAnsi="Arial"/>
                <w:b/>
                <w:color w:val="000000" w:themeColor="text1"/>
              </w:rPr>
              <w:t>Figure 2</w:t>
            </w:r>
            <w:r>
              <w:rPr>
                <w:rFonts w:cs="Arial" w:ascii="Arial" w:hAnsi="Arial"/>
                <w:color w:val="000000" w:themeColor="text1"/>
              </w:rPr>
              <w:t xml:space="preserve">. </w:t>
            </w:r>
          </w:p>
          <w:p>
            <w:pPr>
              <w:pStyle w:val="Normal"/>
              <w:numPr>
                <w:ilvl w:val="1"/>
                <w:numId w:val="1"/>
              </w:numPr>
              <w:spacing w:lineRule="atLeast" w:line="100" w:before="0" w:after="0"/>
              <w:rPr>
                <w:rFonts w:ascii="Arial" w:hAnsi="Arial" w:cs="Arial"/>
                <w:color w:val="000000" w:themeColor="text1"/>
              </w:rPr>
            </w:pPr>
            <w:r>
              <w:rPr>
                <w:rFonts w:cs="Arial" w:ascii="Arial" w:hAnsi="Arial"/>
                <w:color w:val="000000" w:themeColor="text1"/>
              </w:rPr>
              <w:t>All of the new isolates have between 52 and 162 SNVs compared to historical isolates with the same genotype (</w:t>
            </w:r>
            <w:r>
              <w:rPr>
                <w:rFonts w:cs="Arial" w:ascii="Arial" w:hAnsi="Arial"/>
                <w:b/>
                <w:color w:val="000000" w:themeColor="text1"/>
              </w:rPr>
              <w:t>Figure 2, red boxes</w:t>
            </w:r>
            <w:r>
              <w:rPr>
                <w:rFonts w:cs="Arial" w:ascii="Arial" w:hAnsi="Arial"/>
                <w:color w:val="000000" w:themeColor="text1"/>
              </w:rPr>
              <w:t>)</w:t>
            </w:r>
          </w:p>
          <w:p>
            <w:pPr>
              <w:pStyle w:val="Normal"/>
              <w:spacing w:before="0" w:after="0"/>
              <w:rPr>
                <w:rFonts w:ascii="Arial" w:hAnsi="Arial" w:cs="Arial"/>
                <w:color w:val="000000" w:themeColor="text1"/>
              </w:rPr>
            </w:pPr>
            <w:r>
              <w:rPr>
                <w:rFonts w:cs="Arial" w:ascii="Arial" w:hAnsi="Arial"/>
                <w:color w:val="000000" w:themeColor="text1"/>
              </w:rPr>
            </w:r>
          </w:p>
          <w:p>
            <w:pPr>
              <w:pStyle w:val="ListParagraph"/>
              <w:numPr>
                <w:ilvl w:val="0"/>
                <w:numId w:val="1"/>
              </w:numPr>
              <w:spacing w:before="0" w:after="0"/>
              <w:rPr>
                <w:rFonts w:ascii="Arial" w:hAnsi="Arial" w:cs="Arial"/>
                <w:b/>
                <w:b/>
                <w:color w:val="000000" w:themeColor="text1"/>
              </w:rPr>
            </w:pPr>
            <w:r>
              <w:rPr>
                <w:rFonts w:cs="Arial" w:ascii="Arial" w:hAnsi="Arial"/>
                <w:color w:val="000000" w:themeColor="text1"/>
              </w:rPr>
              <w:t xml:space="preserve">These isolates do not match CFIA </w:t>
            </w:r>
            <w:r>
              <w:rPr>
                <w:rFonts w:cs="Arial" w:ascii="Arial" w:hAnsi="Arial"/>
                <w:i/>
                <w:color w:val="000000" w:themeColor="text1"/>
              </w:rPr>
              <w:t>Listeria monocytogenes</w:t>
            </w:r>
            <w:r>
              <w:rPr>
                <w:rFonts w:cs="Arial" w:ascii="Arial" w:hAnsi="Arial"/>
                <w:color w:val="000000" w:themeColor="text1"/>
              </w:rPr>
              <w:t xml:space="preserve"> control strains (MLST:  ST-122 and ST-85)</w:t>
            </w:r>
          </w:p>
          <w:p>
            <w:pPr>
              <w:pStyle w:val="ListParagraph"/>
              <w:spacing w:before="0" w:after="0"/>
              <w:ind w:left="0" w:hanging="0"/>
              <w:rPr>
                <w:rFonts w:ascii="Arial" w:hAnsi="Arial" w:cs="Arial"/>
                <w:color w:val="000000" w:themeColor="text1"/>
              </w:rPr>
            </w:pPr>
            <w:r>
              <w:rPr>
                <w:rFonts w:cs="Arial" w:ascii="Arial" w:hAnsi="Arial"/>
                <w:color w:val="000000" w:themeColor="text1"/>
              </w:rPr>
            </w:r>
          </w:p>
        </w:tc>
      </w:tr>
    </w:tbl>
    <w:p>
      <w:pPr>
        <w:pStyle w:val="Normal"/>
        <w:suppressAutoHyphens w:val="false"/>
        <w:rPr>
          <w:rFonts w:ascii="Arial" w:hAnsi="Arial" w:cs="Arial"/>
          <w:b/>
          <w:b/>
          <w:color w:val="000000" w:themeColor="text1"/>
          <w:sz w:val="24"/>
          <w:szCs w:val="24"/>
        </w:rPr>
      </w:pPr>
      <w:r>
        <w:rPr>
          <w:rFonts w:cs="Arial" w:ascii="Arial" w:hAnsi="Arial"/>
          <w:b/>
          <w:color w:val="000000" w:themeColor="text1"/>
          <w:sz w:val="24"/>
          <w:szCs w:val="24"/>
        </w:rPr>
      </w:r>
    </w:p>
    <w:p>
      <w:pPr>
        <w:pStyle w:val="Normal"/>
        <w:suppressAutoHyphens w:val="false"/>
        <w:rPr>
          <w:rFonts w:ascii="Arial" w:hAnsi="Arial" w:cs="Arial"/>
          <w:b/>
          <w:b/>
          <w:color w:val="000000" w:themeColor="text1"/>
          <w:sz w:val="24"/>
          <w:szCs w:val="24"/>
        </w:rPr>
      </w:pPr>
      <w:r>
        <w:rPr>
          <w:rFonts w:cs="Arial" w:ascii="Arial" w:hAnsi="Arial"/>
          <w:b/>
          <w:color w:val="000000" w:themeColor="text1"/>
          <w:sz w:val="24"/>
          <w:szCs w:val="24"/>
        </w:rPr>
        <w:t>Table 1. GeneSeekr Analysis.</w:t>
      </w:r>
    </w:p>
    <w:p>
      <w:pPr>
        <w:pStyle w:val="Normal"/>
        <w:suppressAutoHyphens w:val="false"/>
        <w:rPr>
          <w:rFonts w:ascii="Arial" w:hAnsi="Arial" w:cs="Arial"/>
          <w:color w:val="000000" w:themeColor="text1"/>
          <w:sz w:val="24"/>
          <w:szCs w:val="24"/>
        </w:rPr>
      </w:pPr>
      <w:r>
        <w:rPr>
          <w:rFonts w:cs="Arial" w:ascii="Arial" w:hAnsi="Arial"/>
          <w:color w:val="000000" w:themeColor="text1"/>
          <w:sz w:val="24"/>
          <w:szCs w:val="24"/>
        </w:rPr>
        <w:t>(Information submitted by OLF PFGE unit is shaded in grey)</w:t>
      </w:r>
    </w:p>
    <w:tbl>
      <w:tblPr>
        <w:tblW w:w="5000" w:type="pct"/>
        <w:jc w:val="center"/>
        <w:tblInd w:w="0" w:type="dxa"/>
        <w:tblBorders>
          <w:top w:val="double" w:sz="6" w:space="0" w:color="00000A"/>
          <w:left w:val="double" w:sz="6" w:space="0" w:color="00000A"/>
          <w:bottom w:val="single" w:sz="4" w:space="0" w:color="00000A"/>
          <w:right w:val="single" w:sz="4" w:space="0" w:color="00000A"/>
          <w:insideH w:val="single" w:sz="4" w:space="0" w:color="00000A"/>
          <w:insideV w:val="single" w:sz="4" w:space="0" w:color="00000A"/>
        </w:tblBorders>
        <w:tblCellMar>
          <w:top w:w="0" w:type="dxa"/>
          <w:left w:w="-22" w:type="dxa"/>
          <w:bottom w:w="0" w:type="dxa"/>
          <w:right w:w="108" w:type="dxa"/>
        </w:tblCellMar>
        <w:tblLook w:val="0000" w:noVBand="0" w:noHBand="0" w:lastColumn="0" w:firstColumn="0" w:lastRow="0" w:firstRow="0"/>
      </w:tblPr>
      <w:tblGrid>
        <w:gridCol w:w="2454"/>
        <w:gridCol w:w="1231"/>
        <w:gridCol w:w="1094"/>
        <w:gridCol w:w="1085"/>
        <w:gridCol w:w="1095"/>
        <w:gridCol w:w="3"/>
        <w:gridCol w:w="553"/>
        <w:gridCol w:w="535"/>
        <w:gridCol w:w="583"/>
        <w:gridCol w:w="8"/>
        <w:gridCol w:w="678"/>
        <w:gridCol w:w="498"/>
        <w:gridCol w:w="539"/>
        <w:gridCol w:w="558"/>
        <w:gridCol w:w="559"/>
        <w:gridCol w:w="498"/>
        <w:gridCol w:w="497"/>
        <w:gridCol w:w="489"/>
      </w:tblGrid>
      <w:tr>
        <w:trPr>
          <w:trHeight w:val="732" w:hRule="atLeast"/>
        </w:trPr>
        <w:tc>
          <w:tcPr>
            <w:tcW w:w="2454" w:type="dxa"/>
            <w:tcBorders>
              <w:top w:val="double" w:sz="6" w:space="0" w:color="00000A"/>
              <w:left w:val="double" w:sz="6" w:space="0" w:color="00000A"/>
              <w:bottom w:val="single" w:sz="4" w:space="0" w:color="00000A"/>
              <w:right w:val="single" w:sz="4" w:space="0" w:color="00000A"/>
              <w:insideH w:val="single" w:sz="4" w:space="0" w:color="00000A"/>
              <w:insideV w:val="single" w:sz="4" w:space="0" w:color="00000A"/>
            </w:tcBorders>
            <w:shd w:color="auto" w:fill="FFFFFF" w:val="clear"/>
            <w:tcMar>
              <w:left w:w="-22" w:type="dxa"/>
            </w:tcMar>
            <w:vAlign w:val="center"/>
          </w:tcPr>
          <w:p>
            <w:pPr>
              <w:pStyle w:val="Normal"/>
              <w:spacing w:lineRule="auto" w:line="240" w:before="0" w:after="0"/>
              <w:jc w:val="center"/>
              <w:rPr>
                <w:rFonts w:ascii="Arial Narrow" w:hAnsi="Arial Narrow" w:eastAsia="Times New Roman" w:cs="Arial"/>
                <w:b/>
                <w:b/>
                <w:bCs/>
                <w:color w:val="000000" w:themeColor="text1"/>
                <w:sz w:val="24"/>
                <w:szCs w:val="20"/>
              </w:rPr>
            </w:pPr>
            <w:r>
              <w:rPr>
                <w:rFonts w:eastAsia="Times New Roman" w:cs="Arial" w:ascii="Arial Narrow" w:hAnsi="Arial Narrow"/>
                <w:b/>
                <w:bCs/>
                <w:color w:val="000000" w:themeColor="text1"/>
                <w:sz w:val="24"/>
                <w:szCs w:val="20"/>
              </w:rPr>
            </w:r>
          </w:p>
        </w:tc>
        <w:tc>
          <w:tcPr>
            <w:tcW w:w="4508" w:type="dxa"/>
            <w:gridSpan w:val="5"/>
            <w:tcBorders>
              <w:top w:val="doub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D9D9D9" w:themeFill="background1" w:themeFillShade="d9" w:val="clear"/>
            <w:tcMar>
              <w:left w:w="-5" w:type="dxa"/>
              <w:right w:w="10" w:type="dxa"/>
            </w:tcMar>
            <w:vAlign w:val="center"/>
          </w:tcPr>
          <w:p>
            <w:pPr>
              <w:pStyle w:val="Normal"/>
              <w:spacing w:lineRule="auto" w:line="240" w:before="0" w:after="0"/>
              <w:jc w:val="center"/>
              <w:rPr>
                <w:rFonts w:ascii="Arial Narrow" w:hAnsi="Arial Narrow" w:eastAsia="Times New Roman" w:cs="Arial"/>
                <w:b/>
                <w:b/>
                <w:bCs/>
                <w:color w:val="000000" w:themeColor="text1"/>
                <w:sz w:val="24"/>
                <w:szCs w:val="20"/>
              </w:rPr>
            </w:pPr>
            <w:r>
              <w:rPr>
                <w:rFonts w:eastAsia="Times New Roman" w:cs="Arial" w:ascii="Arial Narrow" w:hAnsi="Arial Narrow"/>
                <w:b/>
                <w:bCs/>
                <w:color w:val="000000" w:themeColor="text1"/>
                <w:sz w:val="24"/>
                <w:szCs w:val="20"/>
              </w:rPr>
              <w:t>PFGE</w:t>
            </w:r>
          </w:p>
        </w:tc>
        <w:tc>
          <w:tcPr>
            <w:tcW w:w="1679" w:type="dxa"/>
            <w:gridSpan w:val="4"/>
            <w:tcBorders>
              <w:top w:val="double" w:sz="6"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right w:w="10" w:type="dxa"/>
            </w:tcMar>
            <w:vAlign w:val="center"/>
          </w:tcPr>
          <w:p>
            <w:pPr>
              <w:pStyle w:val="Normal"/>
              <w:spacing w:lineRule="auto" w:line="240" w:before="0" w:after="0"/>
              <w:jc w:val="center"/>
              <w:rPr>
                <w:rFonts w:ascii="Arial Narrow" w:hAnsi="Arial Narrow" w:eastAsia="Times New Roman" w:cs="Arial"/>
                <w:b/>
                <w:b/>
                <w:bCs/>
                <w:i/>
                <w:i/>
                <w:color w:val="000000" w:themeColor="text1"/>
                <w:sz w:val="24"/>
                <w:szCs w:val="20"/>
              </w:rPr>
            </w:pPr>
            <w:r>
              <w:rPr>
                <w:rFonts w:eastAsia="Times New Roman" w:cs="Arial" w:ascii="Arial Narrow" w:hAnsi="Arial Narrow"/>
                <w:b/>
                <w:bCs/>
                <w:i/>
                <w:color w:val="000000" w:themeColor="text1"/>
                <w:sz w:val="24"/>
                <w:szCs w:val="20"/>
              </w:rPr>
              <w:t xml:space="preserve">Listeria monocytogenes </w:t>
            </w:r>
            <w:r>
              <w:rPr>
                <w:rFonts w:eastAsia="Times New Roman" w:cs="Arial" w:ascii="Arial Narrow" w:hAnsi="Arial Narrow"/>
                <w:b/>
                <w:bCs/>
                <w:color w:val="000000" w:themeColor="text1"/>
                <w:sz w:val="24"/>
                <w:szCs w:val="20"/>
              </w:rPr>
              <w:t>markers</w:t>
            </w:r>
            <w:r>
              <w:rPr>
                <w:rFonts w:eastAsia="Times New Roman" w:cs="Arial" w:ascii="Arial Narrow" w:hAnsi="Arial Narrow"/>
                <w:bCs/>
                <w:i/>
                <w:color w:val="000000" w:themeColor="text1"/>
                <w:sz w:val="24"/>
                <w:szCs w:val="20"/>
                <w:vertAlign w:val="superscript"/>
              </w:rPr>
              <w:t>a</w:t>
            </w:r>
          </w:p>
        </w:tc>
        <w:tc>
          <w:tcPr>
            <w:tcW w:w="4316" w:type="dxa"/>
            <w:gridSpan w:val="8"/>
            <w:tcBorders>
              <w:top w:val="double" w:sz="6" w:space="0" w:color="00000A"/>
              <w:left w:val="single" w:sz="4" w:space="0" w:color="00000A"/>
              <w:bottom w:val="single" w:sz="4" w:space="0" w:color="00000A"/>
              <w:right w:val="double" w:sz="6" w:space="0" w:color="00000A"/>
              <w:insideH w:val="single" w:sz="4" w:space="0" w:color="00000A"/>
              <w:insideV w:val="double" w:sz="6" w:space="0" w:color="00000A"/>
            </w:tcBorders>
            <w:shd w:color="auto" w:fill="auto" w:val="clear"/>
            <w:tcMar>
              <w:left w:w="73" w:type="dxa"/>
            </w:tcMar>
            <w:vAlign w:val="center"/>
          </w:tcPr>
          <w:p>
            <w:pPr>
              <w:pStyle w:val="Normal"/>
              <w:spacing w:lineRule="auto" w:line="240" w:before="0" w:after="0"/>
              <w:jc w:val="center"/>
              <w:rPr>
                <w:rFonts w:ascii="Arial Narrow" w:hAnsi="Arial Narrow" w:eastAsia="Times New Roman" w:cs="Arial"/>
                <w:b/>
                <w:b/>
                <w:bCs/>
                <w:color w:val="000000" w:themeColor="text1"/>
                <w:sz w:val="24"/>
                <w:szCs w:val="20"/>
              </w:rPr>
            </w:pPr>
            <w:r>
              <w:rPr>
                <w:rFonts w:eastAsia="Times New Roman" w:cs="Arial" w:ascii="Arial Narrow" w:hAnsi="Arial Narrow"/>
                <w:b/>
                <w:bCs/>
                <w:color w:val="000000" w:themeColor="text1"/>
                <w:sz w:val="24"/>
                <w:szCs w:val="20"/>
              </w:rPr>
              <w:t>MLST</w:t>
            </w:r>
            <w:r>
              <w:rPr>
                <w:rFonts w:eastAsia="Times New Roman" w:cs="Arial" w:ascii="Arial Narrow" w:hAnsi="Arial Narrow"/>
                <w:bCs/>
                <w:i/>
                <w:color w:val="000000" w:themeColor="text1"/>
                <w:sz w:val="24"/>
                <w:szCs w:val="20"/>
                <w:vertAlign w:val="superscript"/>
              </w:rPr>
              <w:t>b</w:t>
            </w:r>
          </w:p>
        </w:tc>
      </w:tr>
      <w:tr>
        <w:trPr>
          <w:trHeight w:val="1327" w:hRule="exact"/>
          <w:cantSplit w:val="true"/>
        </w:trPr>
        <w:tc>
          <w:tcPr>
            <w:tcW w:w="2454"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color="auto" w:fill="FFFFFF" w:val="clear"/>
            <w:tcMar>
              <w:left w:w="-22" w:type="dxa"/>
            </w:tcMar>
            <w:textDirection w:val="btLr"/>
            <w:vAlign w:val="center"/>
          </w:tcPr>
          <w:p>
            <w:pPr>
              <w:pStyle w:val="Normal"/>
              <w:spacing w:lineRule="auto" w:line="240" w:before="0" w:after="0"/>
              <w:jc w:val="center"/>
              <w:rPr>
                <w:rFonts w:ascii="Arial Narrow" w:hAnsi="Arial Narrow" w:cs="Arial"/>
                <w:b/>
                <w:b/>
                <w:color w:val="000000" w:themeColor="text1"/>
                <w:sz w:val="24"/>
                <w:szCs w:val="20"/>
              </w:rPr>
            </w:pPr>
            <w:r>
              <w:rPr>
                <w:rFonts w:eastAsia="Times New Roman" w:cs="Arial" w:ascii="Arial Narrow" w:hAnsi="Arial Narrow"/>
                <w:b/>
                <w:bCs/>
                <w:color w:val="000000" w:themeColor="text1"/>
                <w:sz w:val="24"/>
                <w:szCs w:val="20"/>
              </w:rPr>
              <w:t>Strain</w:t>
            </w:r>
          </w:p>
        </w:tc>
        <w:tc>
          <w:tcPr>
            <w:tcW w:w="1231"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D9D9D9" w:themeFill="background1" w:themeFillShade="d9" w:val="clear"/>
            <w:tcMar>
              <w:left w:w="-5" w:type="dxa"/>
              <w:right w:w="10" w:type="dxa"/>
            </w:tcMar>
            <w:textDirection w:val="btLr"/>
            <w:vAlign w:val="center"/>
          </w:tcPr>
          <w:p>
            <w:pPr>
              <w:pStyle w:val="Normal"/>
              <w:spacing w:lineRule="auto" w:line="240" w:before="0" w:after="0"/>
              <w:jc w:val="center"/>
              <w:rPr>
                <w:rFonts w:ascii="Arial Narrow" w:hAnsi="Arial Narrow" w:eastAsia="Times New Roman" w:cs="Arial"/>
                <w:b/>
                <w:b/>
                <w:bCs/>
                <w:color w:val="000000" w:themeColor="text1"/>
                <w:sz w:val="24"/>
                <w:szCs w:val="20"/>
              </w:rPr>
            </w:pPr>
            <w:r>
              <w:rPr>
                <w:rFonts w:eastAsia="Times New Roman" w:cs="Arial" w:ascii="Arial Narrow" w:hAnsi="Arial Narrow"/>
                <w:b/>
                <w:bCs/>
                <w:color w:val="000000" w:themeColor="text1"/>
                <w:sz w:val="24"/>
                <w:szCs w:val="20"/>
              </w:rPr>
              <w:t>Genus/ Species</w:t>
            </w:r>
          </w:p>
        </w:tc>
        <w:tc>
          <w:tcPr>
            <w:tcW w:w="109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D9D9D9" w:themeFill="background1" w:themeFillShade="d9" w:val="clear"/>
            <w:tcMar>
              <w:left w:w="-7" w:type="dxa"/>
              <w:right w:w="10" w:type="dxa"/>
            </w:tcMar>
            <w:textDirection w:val="btLr"/>
            <w:vAlign w:val="center"/>
          </w:tcPr>
          <w:p>
            <w:pPr>
              <w:pStyle w:val="Normal"/>
              <w:spacing w:lineRule="auto" w:line="240" w:before="0" w:after="0"/>
              <w:jc w:val="center"/>
              <w:rPr>
                <w:rFonts w:ascii="Arial Narrow" w:hAnsi="Arial Narrow" w:eastAsia="Times New Roman" w:cs="Arial"/>
                <w:b/>
                <w:b/>
                <w:bCs/>
                <w:color w:val="000000" w:themeColor="text1"/>
                <w:sz w:val="24"/>
                <w:szCs w:val="20"/>
              </w:rPr>
            </w:pPr>
            <w:r>
              <w:rPr>
                <w:rFonts w:eastAsia="Times New Roman" w:cs="Arial" w:ascii="Arial Narrow" w:hAnsi="Arial Narrow"/>
                <w:b/>
                <w:bCs/>
                <w:color w:val="000000" w:themeColor="text1"/>
                <w:sz w:val="24"/>
                <w:szCs w:val="20"/>
              </w:rPr>
              <w:t>Source</w:t>
            </w:r>
          </w:p>
        </w:tc>
        <w:tc>
          <w:tcPr>
            <w:tcW w:w="10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D9D9D9" w:themeFill="background1" w:themeFillShade="d9" w:val="clear"/>
            <w:tcMar>
              <w:left w:w="-7" w:type="dxa"/>
              <w:right w:w="10" w:type="dxa"/>
            </w:tcMar>
            <w:textDirection w:val="btLr"/>
            <w:vAlign w:val="center"/>
          </w:tcPr>
          <w:p>
            <w:pPr>
              <w:pStyle w:val="Normal"/>
              <w:spacing w:lineRule="auto" w:line="240" w:before="0" w:after="0"/>
              <w:jc w:val="center"/>
              <w:rPr>
                <w:rFonts w:ascii="Arial Narrow" w:hAnsi="Arial Narrow" w:eastAsia="Times New Roman" w:cs="Arial"/>
                <w:b/>
                <w:b/>
                <w:bCs/>
                <w:color w:val="000000" w:themeColor="text1"/>
                <w:sz w:val="24"/>
                <w:szCs w:val="20"/>
              </w:rPr>
            </w:pPr>
            <w:r>
              <w:rPr>
                <w:rFonts w:eastAsia="Times New Roman" w:cs="Arial" w:ascii="Arial Narrow" w:hAnsi="Arial Narrow"/>
                <w:b/>
                <w:bCs/>
                <w:color w:val="000000" w:themeColor="text1"/>
                <w:sz w:val="24"/>
                <w:szCs w:val="20"/>
              </w:rPr>
              <w:t>1'Enzyme</w:t>
            </w:r>
          </w:p>
        </w:tc>
        <w:tc>
          <w:tcPr>
            <w:tcW w:w="1095"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color="auto" w:fill="D9D9D9" w:themeFill="background1" w:themeFillShade="d9" w:val="clear"/>
            <w:tcMar>
              <w:left w:w="-7" w:type="dxa"/>
              <w:right w:w="10" w:type="dxa"/>
            </w:tcMar>
            <w:textDirection w:val="btLr"/>
            <w:vAlign w:val="center"/>
          </w:tcPr>
          <w:p>
            <w:pPr>
              <w:pStyle w:val="Normal"/>
              <w:spacing w:lineRule="auto" w:line="240" w:before="0" w:after="0"/>
              <w:jc w:val="center"/>
              <w:rPr>
                <w:rFonts w:ascii="Arial Narrow" w:hAnsi="Arial Narrow" w:eastAsia="Times New Roman" w:cs="Arial"/>
                <w:b/>
                <w:b/>
                <w:bCs/>
                <w:color w:val="000000" w:themeColor="text1"/>
                <w:sz w:val="24"/>
                <w:szCs w:val="20"/>
              </w:rPr>
            </w:pPr>
            <w:r>
              <w:rPr>
                <w:rFonts w:eastAsia="Times New Roman" w:cs="Arial" w:ascii="Arial Narrow" w:hAnsi="Arial Narrow"/>
                <w:b/>
                <w:bCs/>
                <w:color w:val="000000" w:themeColor="text1"/>
                <w:sz w:val="24"/>
                <w:szCs w:val="20"/>
              </w:rPr>
              <w:t>2'Enzyme</w:t>
            </w:r>
          </w:p>
        </w:tc>
        <w:tc>
          <w:tcPr>
            <w:tcW w:w="5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 w:type="dxa"/>
              <w:right w:w="10" w:type="dxa"/>
            </w:tcMar>
            <w:textDirection w:val="btLr"/>
            <w:vAlign w:val="center"/>
          </w:tcPr>
          <w:p>
            <w:pPr>
              <w:pStyle w:val="Normal"/>
              <w:spacing w:lineRule="auto" w:line="240" w:before="0" w:after="0"/>
              <w:jc w:val="center"/>
              <w:rPr>
                <w:rFonts w:ascii="Arial Narrow" w:hAnsi="Arial Narrow" w:eastAsia="Times New Roman" w:cs="Arial"/>
                <w:b/>
                <w:b/>
                <w:bCs/>
                <w:color w:val="000000" w:themeColor="text1"/>
                <w:sz w:val="24"/>
                <w:szCs w:val="20"/>
              </w:rPr>
            </w:pPr>
            <w:r>
              <w:rPr>
                <w:rFonts w:eastAsia="Times New Roman" w:cs="Arial" w:ascii="Arial Narrow" w:hAnsi="Arial Narrow"/>
                <w:b/>
                <w:bCs/>
                <w:color w:val="000000" w:themeColor="text1"/>
                <w:sz w:val="24"/>
                <w:szCs w:val="20"/>
              </w:rPr>
              <w:t>IGS</w:t>
            </w:r>
          </w:p>
        </w:tc>
        <w:tc>
          <w:tcPr>
            <w:tcW w:w="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extDirection w:val="btLr"/>
            <w:vAlign w:val="center"/>
          </w:tcPr>
          <w:p>
            <w:pPr>
              <w:pStyle w:val="Normal"/>
              <w:spacing w:lineRule="auto" w:line="240" w:before="0" w:after="0"/>
              <w:jc w:val="center"/>
              <w:rPr/>
            </w:pPr>
            <w:r>
              <w:rPr>
                <w:rFonts w:eastAsia="Times New Roman" w:cs="Arial" w:ascii="Arial Narrow" w:hAnsi="Arial Narrow"/>
                <w:b/>
                <w:bCs/>
                <w:color w:val="000000" w:themeColor="text1"/>
                <w:sz w:val="24"/>
                <w:szCs w:val="20"/>
              </w:rPr>
              <w:t>hylA</w:t>
            </w:r>
          </w:p>
        </w:tc>
        <w:tc>
          <w:tcPr>
            <w:tcW w:w="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3" w:type="dxa"/>
            </w:tcMar>
            <w:textDirection w:val="btLr"/>
            <w:vAlign w:val="center"/>
          </w:tcPr>
          <w:p>
            <w:pPr>
              <w:pStyle w:val="Normal"/>
              <w:spacing w:lineRule="auto" w:line="240" w:before="0" w:after="0"/>
              <w:jc w:val="center"/>
              <w:rPr>
                <w:rFonts w:ascii="Arial Narrow" w:hAnsi="Arial Narrow" w:cs="Arial"/>
                <w:b/>
                <w:b/>
                <w:i/>
                <w:i/>
                <w:color w:val="000000" w:themeColor="text1"/>
                <w:sz w:val="24"/>
                <w:szCs w:val="20"/>
              </w:rPr>
            </w:pPr>
            <w:r>
              <w:rPr>
                <w:rFonts w:eastAsia="Times New Roman" w:cs="Arial" w:ascii="Arial Narrow" w:hAnsi="Arial Narrow"/>
                <w:b/>
                <w:bCs/>
                <w:i/>
                <w:color w:val="000000" w:themeColor="text1"/>
                <w:sz w:val="24"/>
                <w:szCs w:val="20"/>
              </w:rPr>
              <w:t>inlJ</w:t>
            </w:r>
          </w:p>
        </w:tc>
        <w:tc>
          <w:tcPr>
            <w:tcW w:w="6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extDirection w:val="btLr"/>
            <w:vAlign w:val="center"/>
          </w:tcPr>
          <w:p>
            <w:pPr>
              <w:pStyle w:val="Normal"/>
              <w:spacing w:lineRule="auto" w:line="240" w:before="0" w:after="0"/>
              <w:jc w:val="center"/>
              <w:rPr>
                <w:rFonts w:ascii="Arial Narrow" w:hAnsi="Arial Narrow" w:cs="Arial"/>
                <w:b/>
                <w:b/>
                <w:color w:val="000000" w:themeColor="text1"/>
                <w:sz w:val="24"/>
                <w:szCs w:val="20"/>
              </w:rPr>
            </w:pPr>
            <w:r>
              <w:rPr>
                <w:rFonts w:cs="Arial" w:ascii="Arial Narrow" w:hAnsi="Arial Narrow"/>
                <w:b/>
                <w:color w:val="000000" w:themeColor="text1"/>
                <w:sz w:val="24"/>
                <w:szCs w:val="20"/>
              </w:rPr>
              <w:t>ST</w:t>
            </w:r>
          </w:p>
        </w:tc>
        <w:tc>
          <w:tcPr>
            <w:tcW w:w="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extDirection w:val="btLr"/>
            <w:vAlign w:val="center"/>
          </w:tcPr>
          <w:p>
            <w:pPr>
              <w:pStyle w:val="Normal"/>
              <w:spacing w:lineRule="auto" w:line="240" w:before="0" w:after="0"/>
              <w:jc w:val="center"/>
              <w:rPr>
                <w:rFonts w:ascii="Arial Narrow" w:hAnsi="Arial Narrow" w:cs="Arial"/>
                <w:b/>
                <w:b/>
                <w:color w:val="000000" w:themeColor="text1"/>
                <w:sz w:val="24"/>
                <w:szCs w:val="20"/>
              </w:rPr>
            </w:pPr>
            <w:r>
              <w:rPr>
                <w:rFonts w:cs="Arial" w:ascii="Arial Narrow" w:hAnsi="Arial Narrow"/>
                <w:b/>
                <w:color w:val="000000" w:themeColor="text1"/>
                <w:sz w:val="24"/>
                <w:szCs w:val="20"/>
              </w:rPr>
              <w:t>abcZ</w:t>
            </w:r>
          </w:p>
        </w:tc>
        <w:tc>
          <w:tcPr>
            <w:tcW w:w="5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extDirection w:val="btLr"/>
            <w:vAlign w:val="center"/>
          </w:tcPr>
          <w:p>
            <w:pPr>
              <w:pStyle w:val="Normal"/>
              <w:spacing w:lineRule="auto" w:line="240" w:before="0" w:after="0"/>
              <w:jc w:val="center"/>
              <w:rPr>
                <w:rFonts w:ascii="Arial Narrow" w:hAnsi="Arial Narrow" w:cs="Arial"/>
                <w:b/>
                <w:b/>
                <w:color w:val="000000" w:themeColor="text1"/>
                <w:sz w:val="24"/>
                <w:szCs w:val="20"/>
              </w:rPr>
            </w:pPr>
            <w:r>
              <w:rPr>
                <w:rFonts w:cs="Arial" w:ascii="Arial Narrow" w:hAnsi="Arial Narrow"/>
                <w:b/>
                <w:color w:val="000000" w:themeColor="text1"/>
                <w:sz w:val="24"/>
                <w:szCs w:val="20"/>
              </w:rPr>
              <w:t>bglA</w:t>
            </w:r>
          </w:p>
        </w:tc>
        <w:tc>
          <w:tcPr>
            <w:tcW w:w="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extDirection w:val="btLr"/>
            <w:vAlign w:val="center"/>
          </w:tcPr>
          <w:p>
            <w:pPr>
              <w:pStyle w:val="Normal"/>
              <w:spacing w:lineRule="auto" w:line="240" w:before="0" w:after="0"/>
              <w:jc w:val="center"/>
              <w:rPr>
                <w:rFonts w:ascii="Arial Narrow" w:hAnsi="Arial Narrow" w:cs="Arial"/>
                <w:b/>
                <w:b/>
                <w:color w:val="000000" w:themeColor="text1"/>
                <w:sz w:val="24"/>
                <w:szCs w:val="20"/>
              </w:rPr>
            </w:pPr>
            <w:r>
              <w:rPr>
                <w:rFonts w:cs="Arial" w:ascii="Arial Narrow" w:hAnsi="Arial Narrow"/>
                <w:b/>
                <w:color w:val="000000" w:themeColor="text1"/>
                <w:sz w:val="24"/>
                <w:szCs w:val="20"/>
              </w:rPr>
              <w:t>Cat</w:t>
            </w:r>
          </w:p>
        </w:tc>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extDirection w:val="btLr"/>
            <w:vAlign w:val="center"/>
          </w:tcPr>
          <w:p>
            <w:pPr>
              <w:pStyle w:val="Normal"/>
              <w:spacing w:lineRule="auto" w:line="240" w:before="0" w:after="0"/>
              <w:jc w:val="center"/>
              <w:rPr>
                <w:rFonts w:ascii="Arial Narrow" w:hAnsi="Arial Narrow" w:cs="Arial"/>
                <w:b/>
                <w:b/>
                <w:color w:val="000000" w:themeColor="text1"/>
                <w:sz w:val="24"/>
                <w:szCs w:val="20"/>
              </w:rPr>
            </w:pPr>
            <w:r>
              <w:rPr>
                <w:rFonts w:cs="Arial" w:ascii="Arial Narrow" w:hAnsi="Arial Narrow"/>
                <w:b/>
                <w:color w:val="000000" w:themeColor="text1"/>
                <w:sz w:val="24"/>
                <w:szCs w:val="20"/>
              </w:rPr>
              <w:t>dapE</w:t>
            </w:r>
          </w:p>
        </w:tc>
        <w:tc>
          <w:tcPr>
            <w:tcW w:w="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extDirection w:val="btLr"/>
            <w:vAlign w:val="center"/>
          </w:tcPr>
          <w:p>
            <w:pPr>
              <w:pStyle w:val="Normal"/>
              <w:spacing w:lineRule="auto" w:line="240" w:before="0" w:after="0"/>
              <w:jc w:val="center"/>
              <w:rPr>
                <w:rFonts w:ascii="Arial Narrow" w:hAnsi="Arial Narrow" w:cs="Arial"/>
                <w:b/>
                <w:b/>
                <w:color w:val="000000" w:themeColor="text1"/>
                <w:sz w:val="24"/>
                <w:szCs w:val="20"/>
              </w:rPr>
            </w:pPr>
            <w:r>
              <w:rPr>
                <w:rFonts w:cs="Arial" w:ascii="Arial Narrow" w:hAnsi="Arial Narrow"/>
                <w:b/>
                <w:color w:val="000000" w:themeColor="text1"/>
                <w:sz w:val="24"/>
                <w:szCs w:val="20"/>
              </w:rPr>
              <w:t>dat</w:t>
            </w:r>
          </w:p>
        </w:tc>
        <w:tc>
          <w:tcPr>
            <w:tcW w:w="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extDirection w:val="btLr"/>
            <w:vAlign w:val="center"/>
          </w:tcPr>
          <w:p>
            <w:pPr>
              <w:pStyle w:val="Normal"/>
              <w:spacing w:lineRule="auto" w:line="240" w:before="0" w:after="0"/>
              <w:jc w:val="center"/>
              <w:rPr>
                <w:rFonts w:ascii="Arial Narrow" w:hAnsi="Arial Narrow" w:cs="Arial"/>
                <w:b/>
                <w:b/>
                <w:color w:val="000000" w:themeColor="text1"/>
                <w:sz w:val="24"/>
                <w:szCs w:val="20"/>
              </w:rPr>
            </w:pPr>
            <w:r>
              <w:rPr>
                <w:rFonts w:cs="Arial" w:ascii="Arial Narrow" w:hAnsi="Arial Narrow"/>
                <w:b/>
                <w:color w:val="000000" w:themeColor="text1"/>
                <w:sz w:val="24"/>
                <w:szCs w:val="20"/>
              </w:rPr>
              <w:t>ldh</w:t>
            </w:r>
          </w:p>
        </w:tc>
        <w:tc>
          <w:tcPr>
            <w:tcW w:w="489"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color="auto" w:fill="auto" w:val="clear"/>
            <w:tcMar>
              <w:left w:w="73" w:type="dxa"/>
            </w:tcMar>
            <w:textDirection w:val="btLr"/>
            <w:vAlign w:val="center"/>
          </w:tcPr>
          <w:p>
            <w:pPr>
              <w:pStyle w:val="Normal"/>
              <w:spacing w:lineRule="auto" w:line="240" w:before="0" w:after="0"/>
              <w:jc w:val="center"/>
              <w:rPr>
                <w:rFonts w:ascii="Arial Narrow" w:hAnsi="Arial Narrow" w:cs="Arial"/>
                <w:b/>
                <w:b/>
                <w:color w:val="000000" w:themeColor="text1"/>
                <w:sz w:val="24"/>
                <w:szCs w:val="20"/>
              </w:rPr>
            </w:pPr>
            <w:r>
              <w:rPr>
                <w:rFonts w:cs="Arial" w:ascii="Arial Narrow" w:hAnsi="Arial Narrow"/>
                <w:b/>
                <w:color w:val="000000" w:themeColor="text1"/>
                <w:sz w:val="24"/>
                <w:szCs w:val="20"/>
              </w:rPr>
              <w:t>lhkA</w:t>
            </w:r>
          </w:p>
        </w:tc>
      </w:tr>
    </w:tbl>
    <w:p>
      <w:pPr>
        <w:pStyle w:val="Normal"/>
        <w:spacing w:lineRule="auto" w:line="240" w:before="0" w:after="0"/>
        <w:rPr>
          <w:rFonts w:ascii="Arial" w:hAnsi="Arial" w:eastAsia="Times New Roman" w:cs="Arial"/>
          <w:bCs/>
          <w:color w:val="000000" w:themeColor="text1"/>
          <w:sz w:val="20"/>
          <w:szCs w:val="20"/>
        </w:rPr>
      </w:pPr>
      <w:r>
        <w:rPr>
          <w:rFonts w:eastAsia="Times New Roman" w:cs="Arial" w:ascii="Arial" w:hAnsi="Arial"/>
          <w:bCs/>
          <w:color w:val="000000" w:themeColor="text1"/>
          <w:sz w:val="20"/>
          <w:szCs w:val="20"/>
        </w:rPr>
        <w:t xml:space="preserve">● </w:t>
      </w:r>
      <w:r>
        <w:rPr>
          <w:rFonts w:eastAsia="Times New Roman" w:cs="Arial" w:ascii="Arial" w:hAnsi="Arial"/>
          <w:bCs/>
          <w:color w:val="000000" w:themeColor="text1"/>
          <w:sz w:val="20"/>
          <w:szCs w:val="20"/>
        </w:rPr>
        <w:t>Indicates that marker is present</w:t>
      </w:r>
    </w:p>
    <w:p>
      <w:pPr>
        <w:pStyle w:val="Normal"/>
        <w:spacing w:lineRule="auto" w:line="240" w:before="0" w:after="0"/>
        <w:rPr/>
      </w:pPr>
      <w:r>
        <w:rPr>
          <w:rFonts w:eastAsia="Times New Roman" w:cs="Arial" w:ascii="Arial" w:hAnsi="Arial"/>
          <w:bCs/>
          <w:i/>
          <w:color w:val="000000" w:themeColor="text1"/>
          <w:sz w:val="20"/>
          <w:szCs w:val="20"/>
          <w:vertAlign w:val="superscript"/>
        </w:rPr>
        <w:t>a</w:t>
      </w:r>
      <w:r>
        <w:rPr>
          <w:rFonts w:eastAsia="Times New Roman" w:cs="Arial" w:ascii="Arial" w:hAnsi="Arial"/>
          <w:bCs/>
          <w:i/>
          <w:color w:val="000000" w:themeColor="text1"/>
          <w:sz w:val="20"/>
          <w:szCs w:val="20"/>
        </w:rPr>
        <w:t>Listeria</w:t>
      </w:r>
      <w:r>
        <w:rPr>
          <w:rFonts w:eastAsia="Times New Roman" w:cs="Arial" w:ascii="Arial" w:hAnsi="Arial"/>
          <w:bCs/>
          <w:color w:val="000000" w:themeColor="text1"/>
          <w:sz w:val="20"/>
          <w:szCs w:val="20"/>
        </w:rPr>
        <w:t xml:space="preserve"> markers are IGS (intergenic region of the 16S-23S rRNA operon) which is indicative of the genus </w:t>
      </w:r>
      <w:r>
        <w:rPr>
          <w:rFonts w:eastAsia="Times New Roman" w:cs="Arial" w:ascii="Arial" w:hAnsi="Arial"/>
          <w:bCs/>
          <w:i/>
          <w:color w:val="000000" w:themeColor="text1"/>
          <w:sz w:val="20"/>
          <w:szCs w:val="20"/>
        </w:rPr>
        <w:t>Listeria</w:t>
      </w:r>
      <w:r>
        <w:rPr>
          <w:rFonts w:eastAsia="Times New Roman" w:cs="Arial" w:ascii="Arial" w:hAnsi="Arial"/>
          <w:bCs/>
          <w:color w:val="000000" w:themeColor="text1"/>
          <w:sz w:val="20"/>
          <w:szCs w:val="20"/>
        </w:rPr>
        <w:t xml:space="preserve">, and </w:t>
      </w:r>
      <w:r>
        <w:rPr>
          <w:rFonts w:eastAsia="Times New Roman" w:cs="Arial" w:ascii="Arial" w:hAnsi="Arial"/>
          <w:bCs/>
          <w:i/>
          <w:color w:val="000000" w:themeColor="text1"/>
          <w:sz w:val="20"/>
          <w:szCs w:val="20"/>
        </w:rPr>
        <w:t xml:space="preserve">hlyA </w:t>
      </w:r>
      <w:r>
        <w:rPr>
          <w:rFonts w:eastAsia="Times New Roman" w:cs="Arial" w:ascii="Arial" w:hAnsi="Arial"/>
          <w:bCs/>
          <w:color w:val="000000" w:themeColor="text1"/>
          <w:sz w:val="20"/>
          <w:szCs w:val="20"/>
        </w:rPr>
        <w:t xml:space="preserve">(hemolysin) and </w:t>
      </w:r>
      <w:r>
        <w:rPr>
          <w:rFonts w:eastAsia="Times New Roman" w:cs="Arial" w:ascii="Arial" w:hAnsi="Arial"/>
          <w:bCs/>
          <w:i/>
          <w:color w:val="000000" w:themeColor="text1"/>
          <w:sz w:val="20"/>
          <w:szCs w:val="20"/>
        </w:rPr>
        <w:t>inlJ</w:t>
      </w:r>
      <w:r>
        <w:rPr>
          <w:rFonts w:eastAsia="Times New Roman" w:cs="Arial" w:ascii="Arial" w:hAnsi="Arial"/>
          <w:bCs/>
          <w:color w:val="000000" w:themeColor="text1"/>
          <w:sz w:val="20"/>
          <w:szCs w:val="20"/>
        </w:rPr>
        <w:t xml:space="preserve"> (internalin) which are markers of</w:t>
      </w:r>
      <w:r>
        <w:rPr>
          <w:rFonts w:eastAsia="Times New Roman" w:cs="Arial" w:ascii="Arial" w:hAnsi="Arial"/>
          <w:bCs/>
          <w:i/>
          <w:color w:val="000000" w:themeColor="text1"/>
          <w:sz w:val="20"/>
          <w:szCs w:val="20"/>
        </w:rPr>
        <w:t xml:space="preserve"> L. monocytogenes</w:t>
      </w:r>
      <w:r>
        <w:fldChar w:fldCharType="begin"/>
      </w:r>
      <w:r>
        <w:instrText>ADDIN EN.CITE &lt;EndNote&gt;&lt;Cite&gt;&lt;Author&gt;Xue&lt;/Author&gt;&lt;Year&gt;2010&lt;/Year&gt;&lt;RecNum&gt;31394&lt;/RecNum&gt;&lt;DisplayText&gt;[1]&lt;/DisplayText&gt;&lt;record&gt;&lt;rec-number&gt;31394&lt;/rec-number&gt;&lt;foreign-keys&gt;&lt;key app="EN" db-id="9trswrvf2ef9aaex0aq5rfst5tz2zwffsvp5"&gt;31394&lt;/key&gt;&lt;/foreign-keys&gt;&lt;ref-type name="Journal Article"&gt;17&lt;/ref-type&gt;&lt;contributors&gt;&lt;authors&gt;&lt;author&gt;Xue, J. Z.&lt;/author&gt;&lt;author&gt;Blais, B.W.&lt;/author&gt;&lt;author&gt;Pagotto, F.&lt;/author&gt;&lt;/authors&gt;&lt;/contributors&gt;&lt;titles&gt;&lt;title&gt;&lt;style face="normal" font="default" size="100%"&gt;Cloth-based hybridization array system for the identification of foodborne &lt;/style&gt;&lt;style face="italic" font="default" size="100%"&gt;Listeria &lt;/style&gt;&lt;style face="normal" font="default" size="100%"&gt;and confirmation of &lt;/style&gt;&lt;style face="italic" font="default" size="100%"&gt;Listeria monocytogenes. &lt;/style&gt;&lt;/title&gt;&lt;secondary-title&gt;Internet Journal of Food Safety&lt;/secondary-title&gt;&lt;/titles&gt;&lt;periodical&gt;&lt;full-title&gt;Internet Journal of Food Safety&lt;/full-title&gt;&lt;/periodical&gt;&lt;pages&gt;87-94&lt;/pages&gt;&lt;volume&gt;12&lt;/volume&gt;&lt;dates&gt;&lt;year&gt;2010&lt;/year&gt;&lt;/dates&gt;&lt;urls&gt;&lt;related-urls&gt;&lt;url&gt;http://www.internetjfs.org/articles/ijfsv12-13.pdf&lt;/url&gt;&lt;/related-urls&gt;&lt;/urls&gt;&lt;/record&gt;&lt;/Cite&gt;&lt;/EndNote&gt;</w:instrText>
      </w:r>
      <w:r>
        <w:fldChar w:fldCharType="separate"/>
      </w:r>
      <w:bookmarkStart w:id="0" w:name="__Fieldmark__190_364899937"/>
      <w:r>
        <w:rPr>
          <w:rFonts w:eastAsia="Times New Roman" w:cs="Arial" w:ascii="Arial" w:hAnsi="Arial"/>
          <w:bCs/>
          <w:i/>
          <w:color w:val="000000" w:themeColor="text1"/>
          <w:sz w:val="20"/>
          <w:szCs w:val="20"/>
        </w:rPr>
        <w:t>[</w:t>
      </w:r>
      <w:bookmarkStart w:id="1" w:name="__Fieldmark__190_237188042"/>
      <w:r>
        <w:rPr>
          <w:rFonts w:eastAsia="Times New Roman" w:cs="Arial" w:ascii="Arial" w:hAnsi="Arial"/>
          <w:bCs/>
          <w:i/>
          <w:color w:val="000000" w:themeColor="text1"/>
          <w:sz w:val="20"/>
          <w:szCs w:val="20"/>
        </w:rPr>
        <w:t>1</w:t>
      </w:r>
      <w:bookmarkStart w:id="2" w:name="__Fieldmark__190_1762719847"/>
      <w:r>
        <w:rPr>
          <w:rFonts w:eastAsia="Times New Roman" w:cs="Arial" w:ascii="Arial" w:hAnsi="Arial"/>
          <w:bCs/>
          <w:i/>
          <w:color w:val="000000" w:themeColor="text1"/>
          <w:sz w:val="20"/>
          <w:szCs w:val="20"/>
        </w:rPr>
        <w:t>]</w:t>
      </w:r>
      <w:bookmarkStart w:id="3" w:name="__Fieldmark__192_1357803669"/>
      <w:r>
        <w:rPr>
          <w:rFonts w:eastAsia="Times New Roman" w:cs="Arial" w:ascii="Arial" w:hAnsi="Arial"/>
          <w:bCs/>
          <w:i/>
          <w:color w:val="000000" w:themeColor="text1"/>
          <w:sz w:val="20"/>
          <w:szCs w:val="20"/>
        </w:rPr>
      </w:r>
      <w:r>
        <w:fldChar w:fldCharType="end"/>
      </w:r>
      <w:hyperlink w:anchor="_ENREF_1">
        <w:bookmarkStart w:id="4" w:name="__Fieldmark__227_1557798437"/>
        <w:bookmarkStart w:id="5" w:name="__Fieldmark__367_1764235618"/>
        <w:bookmarkStart w:id="6" w:name="__Fieldmark__196_1526183107"/>
        <w:bookmarkEnd w:id="0"/>
        <w:bookmarkEnd w:id="1"/>
        <w:bookmarkEnd w:id="2"/>
        <w:bookmarkEnd w:id="3"/>
        <w:bookmarkEnd w:id="4"/>
        <w:bookmarkEnd w:id="5"/>
        <w:bookmarkEnd w:id="6"/>
        <w:r>
          <w:rPr>
            <w:rStyle w:val="InternetLink"/>
            <w:rFonts w:eastAsia="Times New Roman" w:cs="Arial" w:ascii="Arial" w:hAnsi="Arial"/>
            <w:bCs/>
            <w:i/>
            <w:color w:val="000000" w:themeColor="text1"/>
            <w:sz w:val="20"/>
            <w:szCs w:val="20"/>
          </w:rPr>
          <w:t>.</w:t>
        </w:r>
      </w:hyperlink>
    </w:p>
    <w:p>
      <w:pPr>
        <w:pStyle w:val="Normal"/>
        <w:spacing w:lineRule="auto" w:line="240" w:before="0" w:after="0"/>
        <w:rPr/>
      </w:pPr>
      <w:r>
        <w:rPr>
          <w:rFonts w:eastAsia="Times New Roman" w:cs="Arial" w:ascii="Arial" w:hAnsi="Arial"/>
          <w:bCs/>
          <w:i/>
          <w:color w:val="000000" w:themeColor="text1"/>
          <w:sz w:val="20"/>
          <w:szCs w:val="20"/>
          <w:vertAlign w:val="superscript"/>
        </w:rPr>
        <w:t>b</w:t>
      </w:r>
      <w:r>
        <w:rPr>
          <w:rFonts w:eastAsia="Times New Roman" w:cs="Arial" w:ascii="Arial" w:hAnsi="Arial"/>
          <w:bCs/>
          <w:color w:val="000000" w:themeColor="text1"/>
          <w:sz w:val="20"/>
          <w:szCs w:val="20"/>
        </w:rPr>
        <w:t>Multi locus sequence type (MLST) is based on exact sequence matches to alleles within the international 7 gene scheme maintained at http://www.pasteur.fr/mlst</w:t>
      </w:r>
      <w:r>
        <w:fldChar w:fldCharType="begin"/>
      </w:r>
      <w:r>
        <w:instrText>ADDIN EN.CITE &lt;EndNote&gt;&lt;Cite&gt;&lt;Author&gt;Ragon&lt;/Author&gt;&lt;Year&gt;2008&lt;/Year&gt;&lt;RecNum&gt;31393&lt;/RecNum&gt;&lt;DisplayText&gt;[2]&lt;/DisplayText&gt;&lt;record&gt;&lt;rec-number&gt;31393&lt;/rec-number&gt;&lt;foreign-keys&gt;&lt;key app="EN" db-id="9trswrvf2ef9aaex0aq5rfst5tz2zwffsvp5"&gt;31393&lt;/key&gt;&lt;/foreign-keys&gt;&lt;ref-type name="Journal Article"&gt;17&lt;/ref-type&gt;&lt;contributors&gt;&lt;authors&gt;&lt;author&gt;Ragon, M.&lt;/author&gt;&lt;author&gt;Wirth, T.&lt;/author&gt;&lt;author&gt;Hollandt, F.&lt;/author&gt;&lt;author&gt;Lavenir, R.&lt;/author&gt;&lt;author&gt;Lecuit, M.&lt;/author&gt;&lt;author&gt;Le Monnier, A.&lt;/author&gt;&lt;author&gt;Brisse, S.&lt;/author&gt;&lt;/authors&gt;&lt;/contributors&gt;&lt;auth-address&gt;Institut Pasteur, Laboratoire des Listeria, Paris, France.&lt;/auth-address&gt;&lt;titles&gt;&lt;title&gt;&lt;style face="normal" font="default" size="100%"&gt;A new perspective on &lt;/style&gt;&lt;style face="italic" font="default" size="100%"&gt;Listeria monocytogenes&lt;/style&gt;&lt;style face="normal" font="default" size="100%"&gt; evolution&lt;/style&gt;&lt;/title&gt;&lt;secondary-title&gt;PLoS Pathog&lt;/secondary-title&gt;&lt;alt-title&gt;PLoS pathogens&lt;/alt-title&gt;&lt;/titles&gt;&lt;periodical&gt;&lt;full-title&gt;PLoS Pathog&lt;/full-title&gt;&lt;abbr-1&gt;PLoS pathogens&lt;/abbr-1&gt;&lt;/periodical&gt;&lt;alt-periodical&gt;&lt;full-title&gt;PLoS Pathog&lt;/full-title&gt;&lt;abbr-1&gt;PLoS pathogens&lt;/abbr-1&gt;&lt;/alt-periodical&gt;&lt;pages&gt;e1000146&lt;/pages&gt;&lt;volume&gt;4&lt;/volume&gt;&lt;number&gt;9&lt;/number&gt;&lt;keywords&gt;&lt;keyword&gt;*Biological Evolution&lt;/keyword&gt;&lt;keyword&gt;Evolution, Molecular&lt;/keyword&gt;&lt;keyword&gt;Genes, Bacterial&lt;/keyword&gt;&lt;keyword&gt;Genetic Variation&lt;/keyword&gt;&lt;keyword&gt;Genome, Bacterial&lt;/keyword&gt;&lt;keyword&gt;Listeria monocytogenes/*genetics&lt;/keyword&gt;&lt;keyword&gt;Phylogeny&lt;/keyword&gt;&lt;keyword&gt;Polymorphism, Single Nucleotide&lt;/keyword&gt;&lt;keyword&gt;Recombination, Genetic&lt;/keyword&gt;&lt;keyword&gt;Sequence Analysis, DNA&lt;/keyword&gt;&lt;/keywords&gt;&lt;dates&gt;&lt;year&gt;2008&lt;/year&gt;&lt;/dates&gt;&lt;isbn&gt;1553-7374 (Electronic)&amp;#xD;1553-7366 (Linking)&lt;/isbn&gt;&lt;accession-num&gt;18773117&lt;/accession-num&gt;&lt;urls&gt;&lt;related-urls&gt;&lt;url&gt;http://www.ncbi.nlm.nih.gov/pubmed/18773117&lt;/url&gt;&lt;/related-urls&gt;&lt;/urls&gt;&lt;custom2&gt;2518857&lt;/custom2&gt;&lt;electronic-resource-num&gt;10.1371/journal.ppat.1000146&lt;/electronic-resource-num&gt;&lt;/record&gt;&lt;/Cite&gt;&lt;/EndNote&gt;</w:instrText>
      </w:r>
      <w:r>
        <w:fldChar w:fldCharType="separate"/>
      </w:r>
      <w:bookmarkStart w:id="7" w:name="__Fieldmark__218_364899937"/>
      <w:r>
        <w:rPr>
          <w:rFonts w:eastAsia="Times New Roman" w:cs="Arial" w:ascii="Arial" w:hAnsi="Arial"/>
          <w:bCs/>
          <w:color w:val="000000" w:themeColor="text1"/>
          <w:sz w:val="20"/>
          <w:szCs w:val="20"/>
        </w:rPr>
        <w:t>[</w:t>
      </w:r>
      <w:bookmarkStart w:id="8" w:name="__Fieldmark__215_237188042"/>
      <w:r>
        <w:rPr>
          <w:rFonts w:eastAsia="Times New Roman" w:cs="Arial" w:ascii="Arial" w:hAnsi="Arial"/>
          <w:bCs/>
          <w:color w:val="000000" w:themeColor="text1"/>
          <w:sz w:val="20"/>
          <w:szCs w:val="20"/>
        </w:rPr>
        <w:t>2</w:t>
      </w:r>
      <w:bookmarkStart w:id="9" w:name="__Fieldmark__212_1762719847"/>
      <w:r>
        <w:rPr>
          <w:rFonts w:eastAsia="Times New Roman" w:cs="Arial" w:ascii="Arial" w:hAnsi="Arial"/>
          <w:bCs/>
          <w:color w:val="000000" w:themeColor="text1"/>
          <w:sz w:val="20"/>
          <w:szCs w:val="20"/>
        </w:rPr>
        <w:t>]</w:t>
      </w:r>
      <w:bookmarkStart w:id="10" w:name="__Fieldmark__211_1357803669"/>
      <w:r>
        <w:rPr>
          <w:rFonts w:eastAsia="Times New Roman" w:cs="Arial" w:ascii="Arial" w:hAnsi="Arial"/>
          <w:bCs/>
          <w:color w:val="000000" w:themeColor="text1"/>
          <w:sz w:val="20"/>
          <w:szCs w:val="20"/>
        </w:rPr>
      </w:r>
      <w:r>
        <w:fldChar w:fldCharType="end"/>
      </w:r>
      <w:hyperlink w:anchor="_ENREF_2">
        <w:bookmarkStart w:id="11" w:name="__Fieldmark__238_1557798437"/>
        <w:bookmarkStart w:id="12" w:name="__Fieldmark__381_1764235618"/>
        <w:bookmarkStart w:id="13" w:name="__Fieldmark__211_1526183107"/>
        <w:bookmarkEnd w:id="7"/>
        <w:bookmarkEnd w:id="8"/>
        <w:bookmarkEnd w:id="9"/>
        <w:bookmarkEnd w:id="10"/>
        <w:bookmarkEnd w:id="11"/>
        <w:bookmarkEnd w:id="12"/>
        <w:bookmarkEnd w:id="13"/>
        <w:r>
          <w:rPr>
            <w:rStyle w:val="InternetLink"/>
            <w:rFonts w:eastAsia="Times New Roman" w:cs="Arial" w:ascii="Arial" w:hAnsi="Arial"/>
            <w:bCs/>
            <w:color w:val="000000" w:themeColor="text1"/>
            <w:sz w:val="20"/>
            <w:szCs w:val="20"/>
          </w:rPr>
          <w:t xml:space="preserve">. Strains with the same sequence type (ST) have exact matches at all 7 alleles. </w:t>
        </w:r>
      </w:hyperlink>
    </w:p>
    <w:p>
      <w:pPr>
        <w:pStyle w:val="Normal"/>
        <w:spacing w:lineRule="atLeast" w:line="100" w:before="0" w:after="0"/>
        <w:rPr>
          <w:rFonts w:ascii="Arial" w:hAnsi="Arial" w:eastAsia="Times New Roman" w:cs="Arial"/>
          <w:bCs/>
          <w:color w:val="000000" w:themeColor="text1"/>
          <w:sz w:val="20"/>
          <w:szCs w:val="20"/>
        </w:rPr>
      </w:pPr>
      <w:r>
        <w:rPr>
          <w:rFonts w:eastAsia="Times New Roman" w:cs="Arial" w:ascii="Arial" w:hAnsi="Arial"/>
          <w:bCs/>
          <w:color w:val="000000" w:themeColor="text1"/>
          <w:sz w:val="20"/>
          <w:szCs w:val="20"/>
        </w:rPr>
      </w:r>
    </w:p>
    <w:p>
      <w:pPr>
        <w:pStyle w:val="Normal"/>
        <w:suppressAutoHyphens w:val="false"/>
        <w:rPr>
          <w:rFonts w:ascii="Arial" w:hAnsi="Arial" w:cs="Arial"/>
          <w:b/>
          <w:b/>
          <w:color w:val="000000" w:themeColor="text1"/>
          <w:sz w:val="24"/>
          <w:szCs w:val="24"/>
        </w:rPr>
      </w:pPr>
      <w:r>
        <w:rPr>
          <w:rFonts w:cs="Arial" w:ascii="Arial" w:hAnsi="Arial"/>
          <w:b/>
          <w:color w:val="000000" w:themeColor="text1"/>
          <w:sz w:val="24"/>
          <w:szCs w:val="24"/>
        </w:rPr>
      </w:r>
      <w:r>
        <w:br w:type="page"/>
      </w:r>
    </w:p>
    <w:p>
      <w:pPr>
        <w:pStyle w:val="Normal"/>
        <w:suppressAutoHyphens w:val="false"/>
        <w:rPr>
          <w:rFonts w:ascii="Arial" w:hAnsi="Arial" w:cs="Arial"/>
          <w:b/>
          <w:b/>
          <w:color w:val="000000" w:themeColor="text1"/>
          <w:sz w:val="24"/>
          <w:szCs w:val="24"/>
        </w:rPr>
      </w:pPr>
      <w:r>
        <w:rPr>
          <w:rFonts w:cs="Arial" w:ascii="Arial" w:hAnsi="Arial"/>
          <w:b/>
          <w:color w:val="000000" w:themeColor="text1"/>
          <w:sz w:val="24"/>
          <w:szCs w:val="24"/>
        </w:rPr>
      </w:r>
    </w:p>
    <w:p>
      <w:pPr>
        <w:pStyle w:val="Normal"/>
        <w:suppressAutoHyphens w:val="false"/>
        <w:rPr>
          <w:rFonts w:ascii="Arial" w:hAnsi="Arial" w:cs="Arial"/>
          <w:b/>
          <w:b/>
          <w:color w:val="000000" w:themeColor="text1"/>
          <w:sz w:val="24"/>
          <w:szCs w:val="24"/>
        </w:rPr>
      </w:pPr>
      <w:r>
        <w:rPr>
          <w:rFonts w:cs="Arial" w:ascii="Arial" w:hAnsi="Arial"/>
          <w:b/>
          <w:color w:val="000000" w:themeColor="text1"/>
          <w:sz w:val="24"/>
          <w:szCs w:val="24"/>
        </w:rPr>
        <w:t>Table 2:</w:t>
      </w:r>
      <w:r>
        <w:rPr>
          <w:rFonts w:cs="Arial" w:ascii="Arial" w:hAnsi="Arial"/>
          <w:color w:val="000000" w:themeColor="text1"/>
          <w:sz w:val="24"/>
          <w:szCs w:val="24"/>
        </w:rPr>
        <w:t xml:space="preserve"> </w:t>
      </w:r>
      <w:r>
        <w:rPr>
          <w:rFonts w:cs="Arial" w:ascii="Arial" w:hAnsi="Arial"/>
          <w:b/>
          <w:color w:val="000000" w:themeColor="text1"/>
          <w:sz w:val="24"/>
          <w:szCs w:val="24"/>
        </w:rPr>
        <w:t xml:space="preserve">Sequence Data Quality: </w:t>
      </w:r>
    </w:p>
    <w:tbl>
      <w:tblPr>
        <w:tblStyle w:val="TableGrid"/>
        <w:tblW w:w="12552" w:type="dxa"/>
        <w:jc w:val="center"/>
        <w:tblInd w:w="0" w:type="dxa"/>
        <w:tblCellMar>
          <w:top w:w="0" w:type="dxa"/>
          <w:left w:w="78" w:type="dxa"/>
          <w:bottom w:w="0" w:type="dxa"/>
          <w:right w:w="108" w:type="dxa"/>
        </w:tblCellMar>
        <w:tblLook w:val="04a0" w:noVBand="1" w:noHBand="0" w:lastColumn="0" w:firstColumn="1" w:lastRow="0" w:firstRow="1"/>
      </w:tblPr>
      <w:tblGrid>
        <w:gridCol w:w="2269"/>
        <w:gridCol w:w="1731"/>
        <w:gridCol w:w="1315"/>
        <w:gridCol w:w="1307"/>
        <w:gridCol w:w="2031"/>
        <w:gridCol w:w="828"/>
        <w:gridCol w:w="1170"/>
        <w:gridCol w:w="1899"/>
      </w:tblGrid>
      <w:tr>
        <w:trPr/>
        <w:tc>
          <w:tcPr>
            <w:tcW w:w="2269"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color w:val="000000" w:themeColor="text1"/>
              </w:rPr>
            </w:pPr>
            <w:r>
              <w:rPr>
                <w:rFonts w:cs="Arial" w:ascii="Arial" w:hAnsi="Arial"/>
                <w:b/>
                <w:color w:val="000000" w:themeColor="text1"/>
              </w:rPr>
              <w:t>Sample</w:t>
            </w:r>
          </w:p>
        </w:tc>
        <w:tc>
          <w:tcPr>
            <w:tcW w:w="1731"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color w:val="000000" w:themeColor="text1"/>
              </w:rPr>
            </w:pPr>
            <w:r>
              <w:rPr>
                <w:rFonts w:cs="Arial" w:ascii="Arial" w:hAnsi="Arial"/>
                <w:b/>
                <w:color w:val="000000" w:themeColor="text1"/>
              </w:rPr>
              <w:t>SEQ ID</w:t>
            </w:r>
          </w:p>
        </w:tc>
        <w:tc>
          <w:tcPr>
            <w:tcW w:w="1315"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color w:val="000000" w:themeColor="text1"/>
              </w:rPr>
            </w:pPr>
            <w:r>
              <w:rPr>
                <w:rFonts w:cs="Arial" w:ascii="Arial" w:hAnsi="Arial"/>
                <w:b/>
                <w:color w:val="000000" w:themeColor="text1"/>
              </w:rPr>
              <w:t>Total length</w:t>
            </w:r>
            <w:r>
              <w:rPr>
                <w:rFonts w:cs="Arial" w:ascii="Arial" w:hAnsi="Arial"/>
                <w:b/>
                <w:i/>
                <w:color w:val="000000" w:themeColor="text1"/>
                <w:vertAlign w:val="superscript"/>
              </w:rPr>
              <w:t>a</w:t>
            </w:r>
          </w:p>
        </w:tc>
        <w:tc>
          <w:tcPr>
            <w:tcW w:w="1307"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color w:val="000000" w:themeColor="text1"/>
              </w:rPr>
            </w:pPr>
            <w:r>
              <w:rPr>
                <w:rFonts w:cs="Arial" w:ascii="Arial" w:hAnsi="Arial"/>
                <w:b/>
                <w:color w:val="000000" w:themeColor="text1"/>
              </w:rPr>
              <w:t>Coverage</w:t>
            </w:r>
            <w:r>
              <w:rPr>
                <w:rFonts w:cs="Arial" w:ascii="Arial" w:hAnsi="Arial"/>
                <w:b/>
                <w:i/>
                <w:color w:val="000000" w:themeColor="text1"/>
                <w:vertAlign w:val="superscript"/>
              </w:rPr>
              <w:t>b</w:t>
            </w:r>
          </w:p>
        </w:tc>
        <w:tc>
          <w:tcPr>
            <w:tcW w:w="2031"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color w:val="000000" w:themeColor="text1"/>
              </w:rPr>
            </w:pPr>
            <w:r>
              <w:rPr>
                <w:rFonts w:cs="Arial" w:ascii="Arial" w:hAnsi="Arial"/>
                <w:b/>
                <w:color w:val="000000" w:themeColor="text1"/>
              </w:rPr>
              <w:t>% identity GDCS</w:t>
            </w:r>
            <w:r>
              <w:rPr>
                <w:rFonts w:cs="Arial" w:ascii="Arial" w:hAnsi="Arial"/>
                <w:b/>
                <w:i/>
                <w:color w:val="000000" w:themeColor="text1"/>
                <w:vertAlign w:val="superscript"/>
              </w:rPr>
              <w:t>c</w:t>
            </w:r>
          </w:p>
        </w:tc>
        <w:tc>
          <w:tcPr>
            <w:tcW w:w="828"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color w:val="000000" w:themeColor="text1"/>
              </w:rPr>
            </w:pPr>
            <w:r>
              <w:rPr>
                <w:rFonts w:cs="Arial" w:ascii="Arial" w:hAnsi="Arial"/>
                <w:b/>
                <w:color w:val="000000" w:themeColor="text1"/>
              </w:rPr>
              <w:t>rST</w:t>
            </w:r>
            <w:r>
              <w:rPr>
                <w:rFonts w:cs="Arial" w:ascii="Arial" w:hAnsi="Arial"/>
                <w:b/>
                <w:color w:val="000000" w:themeColor="text1"/>
                <w:vertAlign w:val="superscript"/>
              </w:rPr>
              <w:t>d</w:t>
            </w:r>
          </w:p>
        </w:tc>
        <w:tc>
          <w:tcPr>
            <w:tcW w:w="1170"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color w:val="000000" w:themeColor="text1"/>
              </w:rPr>
            </w:pPr>
            <w:r>
              <w:rPr>
                <w:rFonts w:cs="Arial" w:ascii="Arial" w:hAnsi="Arial"/>
                <w:b/>
                <w:color w:val="000000" w:themeColor="text1"/>
              </w:rPr>
              <w:t>Pass/Fail</w:t>
            </w:r>
          </w:p>
        </w:tc>
        <w:tc>
          <w:tcPr>
            <w:tcW w:w="1899" w:type="dxa"/>
            <w:tcBorders/>
            <w:shd w:fill="auto" w:val="clear"/>
            <w:tcMar>
              <w:left w:w="78" w:type="dxa"/>
            </w:tcMar>
          </w:tcPr>
          <w:p>
            <w:pPr>
              <w:pStyle w:val="Normal"/>
              <w:suppressAutoHyphens w:val="false"/>
              <w:spacing w:lineRule="auto" w:line="240" w:before="0" w:after="0"/>
              <w:jc w:val="center"/>
              <w:rPr>
                <w:rFonts w:ascii="Arial" w:hAnsi="Arial" w:cs="Arial"/>
                <w:b/>
                <w:b/>
                <w:color w:val="000000" w:themeColor="text1"/>
              </w:rPr>
            </w:pPr>
            <w:r>
              <w:rPr>
                <w:rFonts w:cs="Arial" w:ascii="Arial" w:hAnsi="Arial"/>
                <w:b/>
                <w:color w:val="000000" w:themeColor="text1"/>
              </w:rPr>
              <w:t>Pipeline version</w:t>
            </w:r>
          </w:p>
        </w:tc>
      </w:tr>
    </w:tbl>
    <w:p>
      <w:pPr>
        <w:pStyle w:val="Normal"/>
        <w:suppressAutoHyphens w:val="false"/>
        <w:spacing w:lineRule="auto" w:line="240" w:before="0" w:after="0"/>
        <w:rPr>
          <w:rFonts w:ascii="Arial" w:hAnsi="Arial" w:cs="Arial"/>
          <w:color w:val="000000" w:themeColor="text1"/>
          <w:sz w:val="20"/>
          <w:szCs w:val="20"/>
        </w:rPr>
      </w:pPr>
      <w:r>
        <w:rPr>
          <w:rFonts w:cs="Arial" w:ascii="Arial" w:hAnsi="Arial"/>
          <w:i/>
          <w:color w:val="000000" w:themeColor="text1"/>
          <w:sz w:val="20"/>
          <w:szCs w:val="20"/>
          <w:vertAlign w:val="superscript"/>
        </w:rPr>
        <w:t>a</w:t>
      </w:r>
      <w:r>
        <w:rPr>
          <w:rFonts w:cs="Arial" w:ascii="Arial" w:hAnsi="Arial"/>
          <w:color w:val="000000" w:themeColor="text1"/>
          <w:sz w:val="20"/>
          <w:szCs w:val="20"/>
        </w:rPr>
        <w:t xml:space="preserve">Size of a </w:t>
      </w:r>
      <w:r>
        <w:rPr>
          <w:rFonts w:cs="Arial" w:ascii="Arial" w:hAnsi="Arial"/>
          <w:i/>
          <w:color w:val="000000" w:themeColor="text1"/>
          <w:sz w:val="20"/>
          <w:szCs w:val="20"/>
        </w:rPr>
        <w:t>Listeria monocytogenes</w:t>
      </w:r>
      <w:r>
        <w:rPr>
          <w:rFonts w:cs="Arial" w:ascii="Arial" w:hAnsi="Arial"/>
          <w:color w:val="000000" w:themeColor="text1"/>
          <w:sz w:val="20"/>
          <w:szCs w:val="20"/>
        </w:rPr>
        <w:t xml:space="preserve"> genome typically ranges between 2.8 and 3.2 Mb. Total length refers to the total number of nucleotides in the assembled sequence data. </w:t>
      </w:r>
    </w:p>
    <w:p>
      <w:pPr>
        <w:pStyle w:val="Normal"/>
        <w:suppressAutoHyphens w:val="false"/>
        <w:spacing w:lineRule="auto" w:line="240" w:before="0" w:after="0"/>
        <w:rPr>
          <w:rFonts w:ascii="Arial" w:hAnsi="Arial" w:cs="Arial"/>
          <w:color w:val="000000" w:themeColor="text1"/>
          <w:sz w:val="20"/>
          <w:szCs w:val="20"/>
        </w:rPr>
      </w:pPr>
      <w:r>
        <w:rPr>
          <w:rFonts w:cs="Arial" w:ascii="Arial" w:hAnsi="Arial"/>
          <w:i/>
          <w:color w:val="000000" w:themeColor="text1"/>
          <w:sz w:val="20"/>
          <w:szCs w:val="20"/>
          <w:vertAlign w:val="superscript"/>
        </w:rPr>
        <w:t>b</w:t>
      </w:r>
      <w:r>
        <w:rPr>
          <w:rFonts w:cs="Arial" w:ascii="Arial" w:hAnsi="Arial"/>
          <w:color w:val="000000" w:themeColor="text1"/>
          <w:sz w:val="20"/>
          <w:szCs w:val="20"/>
        </w:rPr>
        <w:t xml:space="preserve">Coverage refers to sequencing redundancy. A minimum coverage of 20 indicates that, on average, each nucleotide in the genome is represented in 20 sequence reads. </w:t>
      </w:r>
    </w:p>
    <w:p>
      <w:pPr>
        <w:pStyle w:val="Normal"/>
        <w:suppressAutoHyphens w:val="false"/>
        <w:spacing w:lineRule="auto" w:line="240" w:before="0" w:after="0"/>
        <w:rPr>
          <w:rFonts w:ascii="Arial" w:hAnsi="Arial" w:cs="Arial"/>
          <w:color w:val="000000" w:themeColor="text1"/>
          <w:sz w:val="20"/>
          <w:szCs w:val="20"/>
        </w:rPr>
      </w:pPr>
      <w:r>
        <w:rPr>
          <w:rFonts w:cs="Arial" w:ascii="Arial" w:hAnsi="Arial"/>
          <w:i/>
          <w:color w:val="000000" w:themeColor="text1"/>
          <w:sz w:val="20"/>
          <w:szCs w:val="20"/>
          <w:vertAlign w:val="superscript"/>
        </w:rPr>
        <w:t>c</w:t>
      </w:r>
      <w:r>
        <w:rPr>
          <w:rFonts w:cs="Arial" w:ascii="Arial" w:hAnsi="Arial"/>
          <w:color w:val="000000" w:themeColor="text1"/>
          <w:sz w:val="20"/>
          <w:szCs w:val="20"/>
        </w:rPr>
        <w:t>To ensure complete coverage, sequence data is queried for Genomically Dispersed Conserved Sequences (GDCS) which currently include 53 ribosomal proteins distributed throughout the genome and conserved in all bacterial species (total of ~20000 nt sequence data). The % identity GDCS refers to the cumulative percentage of identical nucleotides to known alleles of these genes.</w:t>
      </w:r>
    </w:p>
    <w:p>
      <w:pPr>
        <w:pStyle w:val="Normal"/>
        <w:suppressAutoHyphens w:val="false"/>
        <w:spacing w:lineRule="auto" w:line="240" w:before="0" w:after="0"/>
        <w:rPr>
          <w:rFonts w:ascii="Arial" w:hAnsi="Arial" w:cs="Arial"/>
          <w:color w:val="000000" w:themeColor="text1"/>
          <w:sz w:val="20"/>
          <w:szCs w:val="20"/>
        </w:rPr>
      </w:pPr>
      <w:r>
        <w:rPr>
          <w:rFonts w:cs="Arial" w:ascii="Arial" w:hAnsi="Arial"/>
          <w:i/>
          <w:color w:val="000000" w:themeColor="text1"/>
          <w:sz w:val="20"/>
          <w:szCs w:val="20"/>
          <w:vertAlign w:val="superscript"/>
        </w:rPr>
        <w:t>d</w:t>
      </w:r>
      <w:r>
        <w:rPr>
          <w:rFonts w:cs="Arial" w:ascii="Arial" w:hAnsi="Arial"/>
          <w:color w:val="000000" w:themeColor="text1"/>
          <w:sz w:val="20"/>
          <w:szCs w:val="20"/>
        </w:rPr>
        <w:t xml:space="preserve">Ribosomal Multilocus sequence type (rST) is based on the 53 gene scheme available at http://pubmlst.org/rmlst/ [3].  Strains with the same sequence type (ST) have exact matches at all 53 alleles. </w:t>
      </w:r>
    </w:p>
    <w:p>
      <w:pPr>
        <w:pStyle w:val="Normal"/>
        <w:suppressAutoHyphens w:val="false"/>
        <w:spacing w:before="0" w:after="0"/>
        <w:rPr>
          <w:rFonts w:ascii="Arial" w:hAnsi="Arial" w:cs="Arial"/>
          <w:b/>
          <w:b/>
          <w:color w:val="000000" w:themeColor="text1"/>
          <w:sz w:val="24"/>
          <w:szCs w:val="24"/>
        </w:rPr>
      </w:pPr>
      <w:r>
        <w:rPr>
          <w:rFonts w:cs="Arial" w:ascii="Arial" w:hAnsi="Arial"/>
          <w:b/>
          <w:color w:val="000000" w:themeColor="text1"/>
          <w:sz w:val="24"/>
          <w:szCs w:val="24"/>
        </w:rPr>
      </w:r>
    </w:p>
    <w:p>
      <w:pPr>
        <w:pStyle w:val="Normal"/>
        <w:suppressAutoHyphens w:val="false"/>
        <w:spacing w:before="0" w:after="0"/>
        <w:rPr/>
      </w:pPr>
      <w:r>
        <w:rPr/>
      </w:r>
    </w:p>
    <w:sectPr>
      <w:headerReference w:type="default" r:id="rId2"/>
      <w:footerReference w:type="default" r:id="rId3"/>
      <w:type w:val="nextPage"/>
      <w:pgSz w:orient="landscape" w:w="15840" w:h="12240"/>
      <w:pgMar w:left="1440" w:right="1440" w:header="0" w:top="851" w:footer="794"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04664064"/>
    </w:sdtPr>
    <w:sdtContent>
      <w:p>
        <w:pPr>
          <w:pStyle w:val="Footer"/>
          <w:pBdr>
            <w:top w:val="single" w:sz="4" w:space="9" w:color="D9D9D9"/>
          </w:pBdr>
          <w:jc w:val="right"/>
          <w:rPr/>
        </w:pPr>
        <w:r>
          <w:rPr/>
          <w:t>ROGA-YYYY-MM-DD, RDIMS# XXXXXX</w:t>
        </w:r>
      </w:p>
      <w:p>
        <w:pPr>
          <w:pStyle w:val="Footer"/>
          <w:pBdr>
            <w:top w:val="single" w:sz="4" w:space="9" w:color="D9D9D9"/>
          </w:pBdr>
          <w:jc w:val="right"/>
          <w:rPr/>
        </w:pPr>
        <w:r>
          <w:rPr/>
          <w:t xml:space="preserve"> </w:t>
        </w:r>
        <w:r>
          <w:rPr/>
          <w:t xml:space="preserve">Page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3</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drawing>
        <wp:inline distT="0" distB="0" distL="0" distR="0">
          <wp:extent cx="3547110" cy="192405"/>
          <wp:effectExtent l="0" t="0" r="0" b="0"/>
          <wp:docPr id="1" name="Picture 7" descr="C:\Users\gauthiermrt\Downloads\sigc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gauthiermrt\Downloads\sigcole.gif"/>
                  <pic:cNvPicPr>
                    <a:picLocks noChangeAspect="1" noChangeArrowheads="1"/>
                  </pic:cNvPicPr>
                </pic:nvPicPr>
                <pic:blipFill>
                  <a:blip r:embed="rId1"/>
                  <a:stretch>
                    <a:fillRect/>
                  </a:stretch>
                </pic:blipFill>
                <pic:spPr bwMode="auto">
                  <a:xfrm>
                    <a:off x="0" y="0"/>
                    <a:ext cx="3547110" cy="1924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CA" w:eastAsia="en-CA"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d51b4"/>
    <w:pPr>
      <w:widowControl/>
      <w:tabs>
        <w:tab w:val="left" w:pos="720" w:leader="none"/>
      </w:tabs>
      <w:suppressAutoHyphens w:val="true"/>
      <w:bidi w:val="0"/>
      <w:spacing w:lineRule="auto" w:line="276" w:before="0" w:after="200"/>
      <w:jc w:val="left"/>
    </w:pPr>
    <w:rPr>
      <w:rFonts w:ascii="Calibri" w:hAnsi="Calibri" w:eastAsia="Droid Sans Fallback" w:cs="" w:asciiTheme="minorHAnsi" w:cstheme="minorBidi" w:hAnsiTheme="minorHAnsi"/>
      <w:color w:val="00000A"/>
      <w:sz w:val="22"/>
      <w:szCs w:val="22"/>
      <w:lang w:val="en-CA" w:eastAsia="en-CA"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60214"/>
    <w:rPr>
      <w:color w:val="0000FF" w:themeColor="hyperlink"/>
      <w:u w:val="single"/>
    </w:rPr>
  </w:style>
  <w:style w:type="character" w:styleId="ListLabel1" w:customStyle="1">
    <w:name w:val="ListLabel 1"/>
    <w:qFormat/>
    <w:rsid w:val="00ed51b4"/>
    <w:rPr>
      <w:rFonts w:cs="Courier New"/>
    </w:rPr>
  </w:style>
  <w:style w:type="character" w:styleId="BalloonTextChar" w:customStyle="1">
    <w:name w:val="Balloon Text Char"/>
    <w:basedOn w:val="DefaultParagraphFont"/>
    <w:qFormat/>
    <w:rsid w:val="00ed51b4"/>
    <w:rPr>
      <w:rFonts w:ascii="Tahoma" w:hAnsi="Tahoma" w:eastAsia="Droid Sans Fallback" w:cs="Tahoma"/>
      <w:sz w:val="16"/>
      <w:szCs w:val="16"/>
    </w:rPr>
  </w:style>
  <w:style w:type="character" w:styleId="ListLabel2" w:customStyle="1">
    <w:name w:val="ListLabel 2"/>
    <w:qFormat/>
    <w:rsid w:val="00ed51b4"/>
    <w:rPr>
      <w:rFonts w:cs="Symbol"/>
    </w:rPr>
  </w:style>
  <w:style w:type="character" w:styleId="ListLabel3" w:customStyle="1">
    <w:name w:val="ListLabel 3"/>
    <w:qFormat/>
    <w:rsid w:val="00ed51b4"/>
    <w:rPr>
      <w:rFonts w:cs="Courier New"/>
    </w:rPr>
  </w:style>
  <w:style w:type="character" w:styleId="ListLabel4" w:customStyle="1">
    <w:name w:val="ListLabel 4"/>
    <w:qFormat/>
    <w:rsid w:val="00ed51b4"/>
    <w:rPr>
      <w:rFonts w:cs="Wingdings"/>
    </w:rPr>
  </w:style>
  <w:style w:type="character" w:styleId="HeaderChar" w:customStyle="1">
    <w:name w:val="Header Char"/>
    <w:basedOn w:val="DefaultParagraphFont"/>
    <w:link w:val="Header"/>
    <w:uiPriority w:val="99"/>
    <w:qFormat/>
    <w:rsid w:val="004760f0"/>
    <w:rPr>
      <w:rFonts w:ascii="Calibri" w:hAnsi="Calibri" w:eastAsia="Droid Sans Fallback"/>
    </w:rPr>
  </w:style>
  <w:style w:type="character" w:styleId="FooterChar" w:customStyle="1">
    <w:name w:val="Footer Char"/>
    <w:basedOn w:val="DefaultParagraphFont"/>
    <w:link w:val="Footer"/>
    <w:uiPriority w:val="99"/>
    <w:qFormat/>
    <w:rsid w:val="004760f0"/>
    <w:rPr>
      <w:rFonts w:ascii="Calibri" w:hAnsi="Calibri" w:eastAsia="Droid Sans Fallback"/>
    </w:rPr>
  </w:style>
  <w:style w:type="character" w:styleId="Annotationreference">
    <w:name w:val="annotation reference"/>
    <w:basedOn w:val="DefaultParagraphFont"/>
    <w:uiPriority w:val="99"/>
    <w:semiHidden/>
    <w:unhideWhenUsed/>
    <w:qFormat/>
    <w:rsid w:val="00670925"/>
    <w:rPr>
      <w:sz w:val="16"/>
      <w:szCs w:val="16"/>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Arial" w:hAnsi="Arial" w:cs="Courier New"/>
      <w:b/>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ascii="Arial" w:hAnsi="Arial" w:cs="Symbol"/>
      <w:b/>
    </w:rPr>
  </w:style>
  <w:style w:type="character" w:styleId="ListLabel39">
    <w:name w:val="ListLabel 39"/>
    <w:qFormat/>
    <w:rPr>
      <w:rFonts w:ascii="Arial" w:hAnsi="Arial" w:cs="Courier New"/>
      <w:b/>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Arial" w:hAnsi="Arial" w:cs="Symbol"/>
      <w:b/>
    </w:rPr>
  </w:style>
  <w:style w:type="character" w:styleId="ListLabel48">
    <w:name w:val="ListLabel 48"/>
    <w:qFormat/>
    <w:rPr>
      <w:rFonts w:ascii="Arial" w:hAnsi="Arial" w:cs="Courier New"/>
      <w:b/>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Arial" w:hAnsi="Arial" w:cs="Symbol"/>
      <w:b/>
    </w:rPr>
  </w:style>
  <w:style w:type="character" w:styleId="ListLabel57">
    <w:name w:val="ListLabel 57"/>
    <w:qFormat/>
    <w:rPr>
      <w:rFonts w:ascii="Arial" w:hAnsi="Arial" w:cs="Courier New"/>
      <w:b/>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Arial" w:hAnsi="Arial" w:cs="Symbol"/>
      <w:b/>
    </w:rPr>
  </w:style>
  <w:style w:type="character" w:styleId="ListLabel66">
    <w:name w:val="ListLabel 66"/>
    <w:qFormat/>
    <w:rPr>
      <w:rFonts w:ascii="Arial" w:hAnsi="Arial" w:cs="Courier New"/>
      <w:b/>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Arial" w:hAnsi="Arial" w:cs="Symbol"/>
      <w:b/>
    </w:rPr>
  </w:style>
  <w:style w:type="character" w:styleId="ListLabel75">
    <w:name w:val="ListLabel 75"/>
    <w:qFormat/>
    <w:rPr>
      <w:rFonts w:ascii="Arial" w:hAnsi="Arial" w:cs="Courier New"/>
      <w:b/>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Arial" w:hAnsi="Arial" w:cs="Symbol"/>
      <w:b/>
    </w:rPr>
  </w:style>
  <w:style w:type="character" w:styleId="ListLabel84">
    <w:name w:val="ListLabel 84"/>
    <w:qFormat/>
    <w:rPr>
      <w:rFonts w:ascii="Arial" w:hAnsi="Arial" w:cs="Courier New"/>
      <w:b/>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paragraph" w:styleId="Heading" w:customStyle="1">
    <w:name w:val="Heading"/>
    <w:basedOn w:val="Normal"/>
    <w:next w:val="TextBody"/>
    <w:qFormat/>
    <w:rsid w:val="00ed51b4"/>
    <w:pPr>
      <w:keepNext/>
      <w:spacing w:before="240" w:after="120"/>
    </w:pPr>
    <w:rPr>
      <w:rFonts w:ascii="Arial" w:hAnsi="Arial" w:cs="Lohit Hindi"/>
      <w:sz w:val="28"/>
      <w:szCs w:val="28"/>
    </w:rPr>
  </w:style>
  <w:style w:type="paragraph" w:styleId="TextBody">
    <w:name w:val="Body Text"/>
    <w:basedOn w:val="Normal"/>
    <w:pPr>
      <w:spacing w:lineRule="auto" w:line="288" w:before="0" w:after="140"/>
    </w:pPr>
    <w:rPr/>
  </w:style>
  <w:style w:type="paragraph" w:styleId="List">
    <w:name w:val="List"/>
    <w:basedOn w:val="TextBody"/>
    <w:rsid w:val="00ed51b4"/>
    <w:pPr>
      <w:widowControl w:val="false"/>
      <w:bidi w:val="0"/>
      <w:jc w:val="left"/>
    </w:pPr>
    <w:rPr>
      <w:rFonts w:ascii="Calibri" w:hAnsi="Calibri" w:eastAsia="" w:cs="Lohit Hindi" w:asciiTheme="minorHAnsi" w:eastAsiaTheme="minorEastAsia" w:hAnsiTheme="minorHAnsi"/>
      <w:color w:val="00000A"/>
      <w:sz w:val="22"/>
      <w:szCs w:val="22"/>
      <w:lang w:val="en-CA" w:eastAsia="en-CA"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ed51b4"/>
    <w:pPr>
      <w:suppressLineNumbers/>
    </w:pPr>
    <w:rPr>
      <w:rFonts w:cs="Lohit Hindi"/>
    </w:rPr>
  </w:style>
  <w:style w:type="paragraph" w:styleId="Textbody1" w:customStyle="1">
    <w:name w:val="Text body"/>
    <w:basedOn w:val="Normal"/>
    <w:qFormat/>
    <w:rsid w:val="00ed51b4"/>
    <w:pPr>
      <w:spacing w:before="0" w:after="120"/>
    </w:pPr>
    <w:rPr/>
  </w:style>
  <w:style w:type="paragraph" w:styleId="Caption1">
    <w:name w:val="caption"/>
    <w:basedOn w:val="Normal"/>
    <w:qFormat/>
    <w:rsid w:val="00ed51b4"/>
    <w:pPr>
      <w:suppressLineNumbers/>
      <w:spacing w:before="120" w:after="120"/>
    </w:pPr>
    <w:rPr>
      <w:rFonts w:cs="Lohit Hindi"/>
      <w:i/>
      <w:iCs/>
      <w:sz w:val="24"/>
      <w:szCs w:val="24"/>
    </w:rPr>
  </w:style>
  <w:style w:type="paragraph" w:styleId="ListParagraph">
    <w:name w:val="List Paragraph"/>
    <w:basedOn w:val="Normal"/>
    <w:qFormat/>
    <w:rsid w:val="00ed51b4"/>
    <w:pPr>
      <w:ind w:left="720" w:hanging="0"/>
    </w:pPr>
    <w:rPr/>
  </w:style>
  <w:style w:type="paragraph" w:styleId="BalloonText">
    <w:name w:val="Balloon Text"/>
    <w:basedOn w:val="Normal"/>
    <w:qFormat/>
    <w:rsid w:val="00ed51b4"/>
    <w:pPr>
      <w:spacing w:lineRule="atLeast" w:line="100" w:before="0" w:after="0"/>
    </w:pPr>
    <w:rPr>
      <w:rFonts w:ascii="Tahoma" w:hAnsi="Tahoma" w:cs="Tahoma"/>
      <w:sz w:val="16"/>
      <w:szCs w:val="16"/>
    </w:rPr>
  </w:style>
  <w:style w:type="paragraph" w:styleId="TableContents" w:customStyle="1">
    <w:name w:val="Table Contents"/>
    <w:basedOn w:val="Normal"/>
    <w:qFormat/>
    <w:rsid w:val="00ed51b4"/>
    <w:pPr>
      <w:suppressLineNumbers/>
    </w:pPr>
    <w:rPr/>
  </w:style>
  <w:style w:type="paragraph" w:styleId="TableHeading" w:customStyle="1">
    <w:name w:val="Table Heading"/>
    <w:basedOn w:val="TableContents"/>
    <w:qFormat/>
    <w:rsid w:val="00ed51b4"/>
    <w:pPr>
      <w:jc w:val="center"/>
    </w:pPr>
    <w:rPr>
      <w:b/>
      <w:bCs/>
    </w:rPr>
  </w:style>
  <w:style w:type="paragraph" w:styleId="Header">
    <w:name w:val="Header"/>
    <w:basedOn w:val="Normal"/>
    <w:link w:val="HeaderChar"/>
    <w:uiPriority w:val="99"/>
    <w:unhideWhenUsed/>
    <w:rsid w:val="004760f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60f0"/>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c43305"/>
    <w:pPr>
      <w:suppressAutoHyphens w:val="false"/>
      <w:spacing w:lineRule="auto" w:line="240" w:beforeAutospacing="1" w:afterAutospacing="1"/>
    </w:pPr>
    <w:rPr>
      <w:rFonts w:ascii="Times New Roman" w:hAnsi="Times New Roman" w:eastAsia="" w:cs="Times New Roman"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d32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Application>LibreOffice/5.1.6.2$Linux_X86_64 LibreOffice_project/10m0$Build-2</Application>
  <Pages>3</Pages>
  <Words>714</Words>
  <Characters>4014</Characters>
  <CharactersWithSpaces>4678</CharactersWithSpaces>
  <Paragraphs>72</Paragraphs>
  <Company>AAFC-AAC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2017-05-31T19:25:00Z</dcterms:created>
  <dc:creator>Cathy</dc:creator>
  <dc:description/>
  <dc:language>en-US</dc:language>
  <cp:lastModifiedBy/>
  <dcterms:modified xsi:type="dcterms:W3CDTF">2017-06-30T14:08:15Z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AAFC-AAC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