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0"/>
        <w:jc w:val="right"/>
        <w:rPr>
          <w:rFonts w:ascii="Arial" w:hAnsi="Arial" w:cs="Arial"/>
          <w:b/>
          <w:b/>
          <w:sz w:val="24"/>
          <w:szCs w:val="24"/>
        </w:rPr>
      </w:pPr>
      <w:r>
        <w:rPr>
          <w:rFonts w:cs="Arial" w:ascii="Arial" w:hAnsi="Arial"/>
          <w:b/>
          <w:sz w:val="24"/>
          <w:szCs w:val="24"/>
        </w:rPr>
      </w:r>
    </w:p>
    <w:p>
      <w:pPr>
        <w:pStyle w:val="Normal"/>
        <w:spacing w:lineRule="atLeast" w:line="100" w:before="0" w:after="0"/>
        <w:jc w:val="right"/>
        <w:rPr>
          <w:rFonts w:ascii="Arial" w:hAnsi="Arial" w:cs="Arial"/>
          <w:sz w:val="20"/>
          <w:szCs w:val="20"/>
        </w:rPr>
      </w:pPr>
      <w:r>
        <w:rPr>
          <w:rFonts w:cs="Arial" w:ascii="Arial" w:hAnsi="Arial"/>
          <w:b/>
          <w:sz w:val="24"/>
          <w:szCs w:val="24"/>
        </w:rPr>
        <w:t>RECORD OF GENOMIC ANALYSIS</w:t>
        <w:tab/>
        <w:tab/>
        <w:tab/>
        <w:tab/>
        <w:tab/>
        <w:tab/>
        <w:tab/>
        <w:t xml:space="preserve">                </w:t>
      </w:r>
      <w:r>
        <w:rPr>
          <w:rFonts w:cs="Arial" w:ascii="Arial" w:hAnsi="Arial"/>
          <w:sz w:val="20"/>
          <w:szCs w:val="20"/>
        </w:rPr>
        <w:t>Research and Development Section</w:t>
      </w:r>
    </w:p>
    <w:p>
      <w:pPr>
        <w:pStyle w:val="Normal"/>
        <w:spacing w:lineRule="atLeast" w:line="100" w:before="0" w:after="0"/>
        <w:jc w:val="right"/>
        <w:rPr>
          <w:rFonts w:ascii="Arial" w:hAnsi="Arial" w:cs="Arial"/>
          <w:sz w:val="20"/>
          <w:szCs w:val="20"/>
        </w:rPr>
      </w:pPr>
      <w:r>
        <w:rPr>
          <w:rFonts w:cs="Arial" w:ascii="Arial" w:hAnsi="Arial"/>
          <w:sz w:val="20"/>
          <w:szCs w:val="20"/>
        </w:rPr>
        <w:t>Ottawa Laboratory (Carling), Ontario Laboratory Network</w:t>
      </w:r>
    </w:p>
    <w:p>
      <w:pPr>
        <w:pStyle w:val="Normal"/>
        <w:spacing w:lineRule="atLeast" w:line="100" w:before="0" w:after="0"/>
        <w:jc w:val="right"/>
        <w:rPr>
          <w:rFonts w:ascii="Arial" w:hAnsi="Arial" w:cs="Arial"/>
          <w:sz w:val="20"/>
          <w:szCs w:val="20"/>
        </w:rPr>
      </w:pPr>
      <w:r>
        <w:rPr>
          <w:rFonts w:cs="Arial" w:ascii="Arial" w:hAnsi="Arial"/>
          <w:sz w:val="20"/>
          <w:szCs w:val="20"/>
        </w:rPr>
        <w:t>960 Carling Avenue, Bldg. 22, C.E.F.</w:t>
      </w:r>
    </w:p>
    <w:p>
      <w:pPr>
        <w:pStyle w:val="Normal"/>
        <w:spacing w:lineRule="atLeast" w:line="100" w:before="0" w:after="0"/>
        <w:jc w:val="right"/>
        <w:rPr>
          <w:rFonts w:ascii="Arial" w:hAnsi="Arial" w:cs="Arial"/>
          <w:sz w:val="20"/>
          <w:szCs w:val="20"/>
        </w:rPr>
      </w:pPr>
      <w:r>
        <w:rPr>
          <w:rFonts w:cs="Arial" w:ascii="Arial" w:hAnsi="Arial"/>
          <w:sz w:val="20"/>
          <w:szCs w:val="20"/>
        </w:rPr>
        <w:t>Ottawa, Ontario K1A 0C6</w:t>
      </w:r>
    </w:p>
    <w:p>
      <w:pPr>
        <w:pStyle w:val="Normal"/>
        <w:spacing w:lineRule="atLeast" w:line="100" w:before="0" w:after="0"/>
        <w:rPr>
          <w:rFonts w:ascii="Arial" w:hAnsi="Arial" w:cs="Arial"/>
          <w:color w:val="000000" w:themeColor="text1"/>
        </w:rPr>
      </w:pPr>
      <w:r>
        <w:rPr>
          <w:rFonts w:cs="Arial" w:ascii="Arial" w:hAnsi="Arial"/>
          <w:color w:val="000000" w:themeColor="text1"/>
        </w:rPr>
      </w:r>
    </w:p>
    <w:tbl>
      <w:tblPr>
        <w:tblStyle w:val="TableGrid"/>
        <w:tblW w:w="13176" w:type="dxa"/>
        <w:jc w:val="left"/>
        <w:tblInd w:w="0" w:type="dxa"/>
        <w:tblCellMar>
          <w:top w:w="0" w:type="dxa"/>
          <w:left w:w="138" w:type="dxa"/>
          <w:bottom w:w="0" w:type="dxa"/>
          <w:right w:w="108" w:type="dxa"/>
        </w:tblCellMar>
        <w:tblLook w:val="04a0" w:noVBand="1" w:noHBand="0" w:lastColumn="0" w:firstColumn="1" w:lastRow="0" w:firstRow="1"/>
      </w:tblPr>
      <w:tblGrid>
        <w:gridCol w:w="1996"/>
        <w:gridCol w:w="661"/>
        <w:gridCol w:w="3260"/>
        <w:gridCol w:w="425"/>
        <w:gridCol w:w="244"/>
        <w:gridCol w:w="2"/>
        <w:gridCol w:w="2677"/>
        <w:gridCol w:w="3911"/>
      </w:tblGrid>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 xml:space="preserve">OLC Reference:  </w:t>
            </w:r>
          </w:p>
        </w:tc>
        <w:tc>
          <w:tcPr>
            <w:tcW w:w="3685" w:type="dxa"/>
            <w:gridSpan w:val="2"/>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 xml:space="preserve">ROGA-YYYY-MM-DD </w:t>
            </w:r>
            <w:r>
              <w:rPr>
                <w:rFonts w:cs="Arial" w:ascii="Arial" w:hAnsi="Arial"/>
                <w:i/>
                <w:color w:val="000000" w:themeColor="text1"/>
              </w:rPr>
              <w:t>Salmonella</w:t>
            </w:r>
          </w:p>
        </w:tc>
        <w:tc>
          <w:tcPr>
            <w:tcW w:w="244"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9"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 xml:space="preserve">Sequencing Analyst: </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Date received at OLC:</w:t>
            </w:r>
          </w:p>
        </w:tc>
        <w:tc>
          <w:tcPr>
            <w:tcW w:w="326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YYYY-MM-DD</w:t>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7"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Bioinformatics Analyst:</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2657"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Date sequenced:</w:t>
            </w:r>
          </w:p>
        </w:tc>
        <w:tc>
          <w:tcPr>
            <w:tcW w:w="3260"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YYYY-MM-DD</w:t>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7"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Report author:</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199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3921"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7" w:type="dxa"/>
            <w:tcBorders>
              <w:top w:val="nil"/>
              <w:left w:val="nil"/>
              <w:bottom w:val="nil"/>
              <w:right w:val="nil"/>
              <w:insideH w:val="nil"/>
              <w:insideV w:val="nil"/>
            </w:tcBorders>
            <w:shd w:fill="auto" w:val="clear"/>
          </w:tcPr>
          <w:p>
            <w:pPr>
              <w:pStyle w:val="Normal"/>
              <w:spacing w:lineRule="atLeast" w:line="100" w:before="0" w:after="0"/>
              <w:rPr/>
            </w:pPr>
            <w:r>
              <w:rPr>
                <w:rFonts w:cs="Arial" w:ascii="Arial" w:hAnsi="Arial"/>
                <w:color w:val="000000" w:themeColor="text1"/>
              </w:rPr>
              <w:t>Verified by:</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r>
      <w:tr>
        <w:trPr/>
        <w:tc>
          <w:tcPr>
            <w:tcW w:w="1996"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3921" w:type="dxa"/>
            <w:gridSpan w:val="2"/>
            <w:tcBorders>
              <w:top w:val="nil"/>
              <w:left w:val="nil"/>
              <w:bottom w:val="nil"/>
              <w:right w:val="nil"/>
              <w:insideH w:val="nil"/>
              <w:insideV w:val="nil"/>
            </w:tcBorders>
            <w:shd w:fill="auto" w:val="clear"/>
          </w:tcPr>
          <w:p>
            <w:pPr>
              <w:pStyle w:val="Normal"/>
              <w:spacing w:lineRule="atLeast" w:line="100" w:before="0" w:after="0"/>
              <w:rPr>
                <w:rFonts w:ascii="Arial" w:hAnsi="Arial" w:cs="Arial"/>
                <w:b/>
                <w:b/>
                <w:color w:val="000000" w:themeColor="text1"/>
              </w:rPr>
            </w:pPr>
            <w:r>
              <w:rPr>
                <w:rFonts w:cs="Arial" w:ascii="Arial" w:hAnsi="Arial"/>
                <w:b/>
                <w:color w:val="000000" w:themeColor="text1"/>
              </w:rPr>
            </w:r>
          </w:p>
        </w:tc>
        <w:tc>
          <w:tcPr>
            <w:tcW w:w="671" w:type="dxa"/>
            <w:gridSpan w:val="3"/>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r>
          </w:p>
        </w:tc>
        <w:tc>
          <w:tcPr>
            <w:tcW w:w="2677"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Location of main file:</w:t>
            </w:r>
          </w:p>
        </w:tc>
        <w:tc>
          <w:tcPr>
            <w:tcW w:w="3911" w:type="dxa"/>
            <w:tcBorders>
              <w:top w:val="nil"/>
              <w:left w:val="nil"/>
              <w:bottom w:val="nil"/>
              <w:right w:val="nil"/>
              <w:insideH w:val="nil"/>
              <w:insideV w:val="nil"/>
            </w:tcBorders>
            <w:shd w:fill="auto" w:val="clear"/>
          </w:tcPr>
          <w:p>
            <w:pPr>
              <w:pStyle w:val="Normal"/>
              <w:spacing w:lineRule="atLeast" w:line="100" w:before="0" w:after="0"/>
              <w:rPr>
                <w:rFonts w:ascii="Arial" w:hAnsi="Arial" w:cs="Arial"/>
                <w:color w:val="000000" w:themeColor="text1"/>
              </w:rPr>
            </w:pPr>
            <w:r>
              <w:rPr>
                <w:rFonts w:cs="Arial" w:ascii="Arial" w:hAnsi="Arial"/>
                <w:color w:val="000000" w:themeColor="text1"/>
              </w:rPr>
              <w:t>Room B5</w:t>
            </w:r>
          </w:p>
        </w:tc>
      </w:tr>
    </w:tbl>
    <w:p>
      <w:pPr>
        <w:pStyle w:val="Normal"/>
        <w:spacing w:lineRule="atLeast" w:line="100" w:before="0" w:after="0"/>
        <w:rPr>
          <w:rFonts w:ascii="Arial" w:hAnsi="Arial" w:cs="Arial"/>
          <w:b/>
          <w:b/>
        </w:rPr>
      </w:pPr>
      <w:r>
        <w:rPr>
          <w:rFonts w:cs="Arial" w:ascii="Arial" w:hAnsi="Arial"/>
          <w:b/>
        </w:rPr>
      </w:r>
    </w:p>
    <w:tbl>
      <w:tblPr>
        <w:tblStyle w:val="TableGrid"/>
        <w:tblW w:w="13176" w:type="dxa"/>
        <w:jc w:val="left"/>
        <w:tblInd w:w="-31" w:type="dxa"/>
        <w:tblCellMar>
          <w:top w:w="0" w:type="dxa"/>
          <w:left w:w="-22" w:type="dxa"/>
          <w:bottom w:w="0" w:type="dxa"/>
          <w:right w:w="108" w:type="dxa"/>
        </w:tblCellMar>
        <w:tblLook w:val="04a0" w:noVBand="1" w:noHBand="0" w:lastColumn="0" w:firstColumn="1" w:lastRow="0" w:firstRow="1"/>
      </w:tblPr>
      <w:tblGrid>
        <w:gridCol w:w="13176"/>
      </w:tblGrid>
      <w:tr>
        <w:trPr/>
        <w:tc>
          <w:tcPr>
            <w:tcW w:w="13176"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auto" w:val="clear"/>
            <w:tcMar>
              <w:left w:w="-22" w:type="dxa"/>
            </w:tcMar>
          </w:tcPr>
          <w:p>
            <w:pPr>
              <w:pStyle w:val="Normal"/>
              <w:spacing w:lineRule="atLeast" w:line="100" w:before="0" w:after="0"/>
              <w:rPr>
                <w:rFonts w:ascii="Arial" w:hAnsi="Arial" w:cs="Arial"/>
                <w:b/>
                <w:b/>
                <w:sz w:val="24"/>
                <w:szCs w:val="24"/>
              </w:rPr>
            </w:pPr>
            <w:r>
              <w:rPr>
                <w:rFonts w:cs="Arial" w:ascii="Arial" w:hAnsi="Arial"/>
                <w:b/>
                <w:sz w:val="24"/>
                <w:szCs w:val="24"/>
              </w:rPr>
              <w:t xml:space="preserve">Identification Summary: </w:t>
            </w:r>
          </w:p>
          <w:p>
            <w:pPr>
              <w:pStyle w:val="Normal"/>
              <w:spacing w:lineRule="atLeast" w:line="100" w:before="0" w:after="0"/>
              <w:rPr>
                <w:rFonts w:ascii="Arial" w:hAnsi="Arial" w:cs="Arial"/>
                <w:b/>
                <w:b/>
                <w:sz w:val="20"/>
                <w:szCs w:val="20"/>
              </w:rPr>
            </w:pPr>
            <w:r>
              <w:rPr>
                <w:rFonts w:cs="Arial" w:ascii="Arial" w:hAnsi="Arial"/>
                <w:b/>
                <w:sz w:val="20"/>
                <w:szCs w:val="20"/>
              </w:rPr>
            </w:r>
          </w:p>
          <w:p>
            <w:pPr>
              <w:pStyle w:val="Normal"/>
              <w:spacing w:lineRule="atLeast" w:line="100" w:before="0" w:after="0"/>
              <w:rPr>
                <w:rFonts w:ascii="Arial" w:hAnsi="Arial" w:cs="Arial"/>
                <w:color w:val="000000" w:themeColor="text1"/>
              </w:rPr>
            </w:pPr>
            <w:r>
              <w:rPr>
                <w:rFonts w:cs="Arial" w:ascii="Arial" w:hAnsi="Arial"/>
                <w:color w:val="000000" w:themeColor="text1"/>
              </w:rPr>
              <w:t xml:space="preserve">Five presumptive </w:t>
            </w:r>
            <w:r>
              <w:rPr>
                <w:rFonts w:cs="Arial" w:ascii="Arial" w:hAnsi="Arial"/>
                <w:i/>
                <w:color w:val="000000" w:themeColor="text1"/>
              </w:rPr>
              <w:t>Salmonella</w:t>
            </w:r>
            <w:r>
              <w:rPr>
                <w:rFonts w:cs="Arial" w:ascii="Arial" w:hAnsi="Arial"/>
                <w:color w:val="000000" w:themeColor="text1"/>
              </w:rPr>
              <w:t xml:space="preserve"> isolates (see Table 1) were submitted for WGS analysis. All were confirmed to be </w:t>
            </w:r>
            <w:r>
              <w:rPr>
                <w:rFonts w:cs="Arial" w:ascii="Arial" w:hAnsi="Arial"/>
                <w:i/>
                <w:color w:val="000000" w:themeColor="text1"/>
              </w:rPr>
              <w:t>Salmonella</w:t>
            </w:r>
            <w:r>
              <w:rPr>
                <w:rFonts w:cs="Arial" w:ascii="Arial" w:hAnsi="Arial"/>
                <w:color w:val="000000" w:themeColor="text1"/>
              </w:rPr>
              <w:t xml:space="preserve"> based on detection of probe sequences (e-probes) indicating the presence of </w:t>
            </w:r>
            <w:r>
              <w:rPr>
                <w:rFonts w:cs="Arial" w:ascii="Arial" w:hAnsi="Arial"/>
                <w:i/>
                <w:color w:val="000000" w:themeColor="text1"/>
              </w:rPr>
              <w:t>invA</w:t>
            </w:r>
            <w:r>
              <w:rPr>
                <w:rFonts w:cs="Arial" w:ascii="Arial" w:hAnsi="Arial"/>
                <w:color w:val="000000" w:themeColor="text1"/>
              </w:rPr>
              <w:t xml:space="preserve"> and </w:t>
            </w:r>
            <w:r>
              <w:rPr>
                <w:rFonts w:cs="Arial" w:ascii="Arial" w:hAnsi="Arial"/>
                <w:i/>
                <w:color w:val="000000" w:themeColor="text1"/>
              </w:rPr>
              <w:t>stn</w:t>
            </w:r>
            <w:r>
              <w:rPr>
                <w:rFonts w:cs="Arial" w:ascii="Arial" w:hAnsi="Arial"/>
                <w:color w:val="000000" w:themeColor="text1"/>
              </w:rPr>
              <w:t xml:space="preserve"> genes.</w:t>
            </w:r>
          </w:p>
          <w:p>
            <w:pPr>
              <w:pStyle w:val="Normal"/>
              <w:spacing w:lineRule="atLeast" w:line="100" w:before="0" w:after="0"/>
              <w:rPr>
                <w:rFonts w:ascii="Arial" w:hAnsi="Arial" w:cs="Arial"/>
              </w:rPr>
            </w:pPr>
            <w:r>
              <w:rPr>
                <w:rFonts w:cs="Arial" w:ascii="Arial" w:hAnsi="Arial"/>
              </w:rPr>
            </w:r>
          </w:p>
          <w:p>
            <w:pPr>
              <w:pStyle w:val="Normal"/>
              <w:spacing w:before="0" w:after="0"/>
              <w:rPr>
                <w:rFonts w:ascii="Arial" w:hAnsi="Arial" w:cs="Arial"/>
                <w:u w:val="single"/>
              </w:rPr>
            </w:pPr>
            <w:r>
              <w:rPr>
                <w:rFonts w:cs="Arial" w:ascii="Arial" w:hAnsi="Arial"/>
                <w:u w:val="single"/>
              </w:rPr>
              <w:t>Multilocus sequence typing (MLST):</w:t>
            </w:r>
          </w:p>
          <w:p>
            <w:pPr>
              <w:pStyle w:val="Normal"/>
              <w:spacing w:before="0" w:after="0"/>
              <w:rPr>
                <w:rFonts w:ascii="Arial" w:hAnsi="Arial" w:cs="Arial"/>
                <w:u w:val="single"/>
              </w:rPr>
            </w:pPr>
            <w:r>
              <w:rPr>
                <w:rFonts w:cs="Arial" w:ascii="Arial" w:hAnsi="Arial"/>
                <w:u w:val="single"/>
              </w:rPr>
            </w:r>
          </w:p>
          <w:p>
            <w:pPr>
              <w:pStyle w:val="ListParagraph"/>
              <w:numPr>
                <w:ilvl w:val="0"/>
                <w:numId w:val="3"/>
              </w:numPr>
              <w:spacing w:before="0" w:after="0"/>
              <w:rPr>
                <w:rFonts w:ascii="Arial" w:hAnsi="Arial" w:cs="Arial"/>
                <w:u w:val="single"/>
              </w:rPr>
            </w:pPr>
            <w:r>
              <w:rPr>
                <w:rFonts w:cs="Arial" w:ascii="Arial" w:hAnsi="Arial"/>
              </w:rPr>
              <w:t>Isolates strain were sequence type (ST)-2574, ST-48, ST-2262 and a novel sequence type.</w:t>
            </w:r>
          </w:p>
          <w:p>
            <w:pPr>
              <w:pStyle w:val="ListParagraph"/>
              <w:numPr>
                <w:ilvl w:val="0"/>
                <w:numId w:val="2"/>
              </w:numPr>
              <w:spacing w:before="0" w:after="0"/>
              <w:rPr>
                <w:rFonts w:ascii="Arial" w:hAnsi="Arial" w:cs="Arial"/>
              </w:rPr>
            </w:pPr>
            <w:r>
              <w:rPr>
                <w:rFonts w:cs="Arial" w:ascii="Arial" w:hAnsi="Arial"/>
              </w:rPr>
              <w:t>Isolates with the genotypes ST-2574 and ST-2262 have not previously been isolated from CFIA’s food testing program (2009-present)</w:t>
            </w:r>
          </w:p>
          <w:p>
            <w:pPr>
              <w:pStyle w:val="ListParagraph"/>
              <w:numPr>
                <w:ilvl w:val="0"/>
                <w:numId w:val="2"/>
              </w:numPr>
              <w:spacing w:before="0" w:after="0"/>
              <w:rPr>
                <w:rFonts w:ascii="Arial" w:hAnsi="Arial" w:cs="Arial"/>
                <w:color w:val="000000" w:themeColor="text1"/>
              </w:rPr>
            </w:pPr>
            <w:r>
              <w:rPr>
                <w:rFonts w:cs="Arial" w:ascii="Arial" w:hAnsi="Arial"/>
                <w:color w:val="000000" w:themeColor="text1"/>
              </w:rPr>
              <w:t xml:space="preserve">The most recent isolate matching genotype ST-48 was GTA-FD-2015-MI-01340 isolated from Mint and received for sequencing on 2015-11-06 (see RDIMS# 7384449). </w:t>
            </w:r>
          </w:p>
          <w:p>
            <w:pPr>
              <w:pStyle w:val="Normal"/>
              <w:spacing w:lineRule="atLeast" w:line="100" w:before="0" w:after="0"/>
              <w:rPr>
                <w:rFonts w:ascii="Arial" w:hAnsi="Arial" w:cs="Arial"/>
              </w:rPr>
            </w:pPr>
            <w:r>
              <w:rPr>
                <w:rFonts w:cs="Arial" w:ascii="Arial" w:hAnsi="Arial"/>
              </w:rPr>
            </w:r>
          </w:p>
          <w:p>
            <w:pPr>
              <w:pStyle w:val="Normal"/>
              <w:spacing w:before="0" w:after="0"/>
              <w:rPr/>
            </w:pPr>
            <w:r>
              <w:rPr>
                <w:rFonts w:cs="Arial" w:ascii="Arial" w:hAnsi="Arial"/>
                <w:i/>
                <w:u w:val="single"/>
              </w:rPr>
              <w:t>Salmonella In Silico</w:t>
            </w:r>
            <w:r>
              <w:rPr>
                <w:rFonts w:cs="Arial" w:ascii="Arial" w:hAnsi="Arial"/>
                <w:u w:val="single"/>
              </w:rPr>
              <w:t xml:space="preserve"> Typing Resource</w:t>
            </w:r>
            <w:r>
              <w:rPr>
                <w:rFonts w:cs="Arial" w:ascii="Arial" w:hAnsi="Arial"/>
              </w:rPr>
              <w:t xml:space="preserve"> (SISTR; </w:t>
            </w:r>
            <w:hyperlink r:id="rId2">
              <w:r>
                <w:rPr>
                  <w:rStyle w:val="InternetLink"/>
                  <w:rFonts w:cs="Arial" w:ascii="Arial" w:hAnsi="Arial"/>
                </w:rPr>
                <w:t>https://lfz.corefacility.ca/sistr-app/</w:t>
              </w:r>
            </w:hyperlink>
            <w:r>
              <w:rPr>
                <w:rFonts w:cs="Arial" w:ascii="Arial" w:hAnsi="Arial"/>
              </w:rPr>
              <w:t xml:space="preserve"> (PHAC)) analysis [1] (</w:t>
            </w:r>
            <w:r>
              <w:rPr>
                <w:rFonts w:cs="Arial" w:ascii="Arial" w:hAnsi="Arial"/>
                <w:color w:val="000000" w:themeColor="text1"/>
              </w:rPr>
              <w:t>Identification matching phenotype is highlighted in bold</w:t>
            </w:r>
            <w:r>
              <w:rPr>
                <w:rFonts w:cs="Arial" w:ascii="Arial" w:hAnsi="Arial"/>
              </w:rPr>
              <w:t>):</w:t>
            </w:r>
          </w:p>
          <w:p>
            <w:pPr>
              <w:pStyle w:val="Normal"/>
              <w:numPr>
                <w:ilvl w:val="0"/>
                <w:numId w:val="2"/>
              </w:numPr>
              <w:spacing w:before="0" w:after="0"/>
              <w:rPr>
                <w:rFonts w:ascii="Arial" w:hAnsi="Arial" w:cs="Arial"/>
                <w:b/>
                <w:b/>
                <w:color w:val="000000" w:themeColor="text1"/>
              </w:rPr>
            </w:pPr>
            <w:r>
              <w:rPr>
                <w:rFonts w:cs="Arial" w:ascii="Arial" w:hAnsi="Arial"/>
                <w:color w:val="000000" w:themeColor="text1"/>
              </w:rPr>
              <w:t xml:space="preserve">Strain  GTA-FD-2016-MI-01462-1 was predicted to be serovar </w:t>
            </w:r>
            <w:r>
              <w:rPr>
                <w:rFonts w:cs="Arial" w:ascii="Arial" w:hAnsi="Arial"/>
                <w:b/>
                <w:color w:val="000000" w:themeColor="text1"/>
              </w:rPr>
              <w:t>Muenster</w:t>
            </w:r>
            <w:r>
              <w:rPr>
                <w:rFonts w:cs="Arial" w:ascii="Arial" w:hAnsi="Arial"/>
                <w:color w:val="000000" w:themeColor="text1"/>
              </w:rPr>
              <w:t xml:space="preserve"> or Vilvoorde </w:t>
            </w:r>
          </w:p>
          <w:p>
            <w:pPr>
              <w:pStyle w:val="Normal"/>
              <w:numPr>
                <w:ilvl w:val="0"/>
                <w:numId w:val="2"/>
              </w:numPr>
              <w:spacing w:before="0" w:after="0"/>
              <w:rPr>
                <w:rFonts w:ascii="Arial" w:hAnsi="Arial" w:cs="Arial"/>
                <w:b/>
                <w:b/>
                <w:color w:val="000000" w:themeColor="text1"/>
              </w:rPr>
            </w:pPr>
            <w:r>
              <w:rPr>
                <w:rFonts w:cs="Arial" w:ascii="Arial" w:hAnsi="Arial"/>
                <w:color w:val="000000" w:themeColor="text1"/>
              </w:rPr>
              <w:t xml:space="preserve">Strain GTA-FD-2016-MI-01462-2  was predicted to be serovar </w:t>
            </w:r>
            <w:r>
              <w:rPr>
                <w:rFonts w:cs="Arial" w:ascii="Arial" w:hAnsi="Arial"/>
                <w:b/>
                <w:color w:val="000000" w:themeColor="text1"/>
              </w:rPr>
              <w:t>Miami</w:t>
            </w:r>
            <w:r>
              <w:rPr>
                <w:rFonts w:cs="Arial" w:ascii="Arial" w:hAnsi="Arial"/>
                <w:color w:val="000000" w:themeColor="text1"/>
              </w:rPr>
              <w:t>, Paratyphi A or Sendai</w:t>
            </w:r>
          </w:p>
          <w:p>
            <w:pPr>
              <w:pStyle w:val="Normal"/>
              <w:numPr>
                <w:ilvl w:val="0"/>
                <w:numId w:val="2"/>
              </w:numPr>
              <w:spacing w:before="0" w:after="0"/>
              <w:rPr>
                <w:rFonts w:ascii="Arial" w:hAnsi="Arial" w:cs="Arial"/>
                <w:b/>
                <w:b/>
                <w:color w:val="000000" w:themeColor="text1"/>
              </w:rPr>
            </w:pPr>
            <w:r>
              <w:rPr>
                <w:rFonts w:cs="Arial" w:ascii="Arial" w:hAnsi="Arial"/>
                <w:color w:val="000000" w:themeColor="text1"/>
              </w:rPr>
              <w:t xml:space="preserve">Strain GTA-FD-2016-MI-01462-3 was predicted to be serovar </w:t>
            </w:r>
            <w:r>
              <w:rPr>
                <w:rFonts w:cs="Arial" w:ascii="Arial" w:hAnsi="Arial"/>
                <w:b/>
                <w:color w:val="000000" w:themeColor="text1"/>
              </w:rPr>
              <w:t>Aberdeen</w:t>
            </w:r>
            <w:r>
              <w:rPr>
                <w:rFonts w:cs="Arial" w:ascii="Arial" w:hAnsi="Arial"/>
                <w:color w:val="000000" w:themeColor="text1"/>
              </w:rPr>
              <w:t xml:space="preserve"> </w:t>
            </w:r>
          </w:p>
          <w:p>
            <w:pPr>
              <w:pStyle w:val="Normal"/>
              <w:numPr>
                <w:ilvl w:val="0"/>
                <w:numId w:val="2"/>
              </w:numPr>
              <w:spacing w:before="0" w:after="0"/>
              <w:rPr>
                <w:rFonts w:ascii="Arial" w:hAnsi="Arial" w:cs="Arial"/>
                <w:b/>
                <w:b/>
                <w:color w:val="000000" w:themeColor="text1"/>
              </w:rPr>
            </w:pPr>
            <w:r>
              <w:rPr>
                <w:rFonts w:cs="Arial" w:ascii="Arial" w:hAnsi="Arial"/>
                <w:color w:val="000000" w:themeColor="text1"/>
              </w:rPr>
              <w:t>Strains GTA-1526-3 MPN and GTA-1526-5 MPN were predicted to be</w:t>
            </w:r>
            <w:r>
              <w:rPr/>
              <w:t xml:space="preserve"> </w:t>
            </w:r>
            <w:r>
              <w:rPr>
                <w:rFonts w:cs="Arial" w:ascii="Arial" w:hAnsi="Arial"/>
                <w:color w:val="000000" w:themeColor="text1"/>
              </w:rPr>
              <w:t xml:space="preserve">IIIa 48:z4,z32:- or </w:t>
            </w:r>
            <w:r>
              <w:rPr>
                <w:rFonts w:cs="Arial" w:ascii="Arial" w:hAnsi="Arial"/>
                <w:b/>
                <w:color w:val="000000" w:themeColor="text1"/>
              </w:rPr>
              <w:t>IV 48:z4,z32:-</w:t>
            </w:r>
            <w:r>
              <w:rPr>
                <w:rFonts w:cs="Arial" w:ascii="Arial" w:hAnsi="Arial"/>
                <w:color w:val="000000" w:themeColor="text1"/>
              </w:rPr>
              <w:t xml:space="preserve"> ; no close matches to these isolates were identified in the SISTR database. </w:t>
            </w:r>
          </w:p>
          <w:p>
            <w:pPr>
              <w:pStyle w:val="Normal"/>
              <w:spacing w:before="0" w:after="0"/>
              <w:ind w:left="720" w:hanging="0"/>
              <w:rPr>
                <w:rFonts w:ascii="Arial" w:hAnsi="Arial" w:cs="Arial"/>
                <w:b/>
                <w:b/>
                <w:color w:val="000000" w:themeColor="text1"/>
              </w:rPr>
            </w:pPr>
            <w:r>
              <w:rPr>
                <w:rFonts w:cs="Arial" w:ascii="Arial" w:hAnsi="Arial"/>
                <w:b/>
                <w:color w:val="000000" w:themeColor="text1"/>
              </w:rPr>
            </w:r>
          </w:p>
          <w:p>
            <w:pPr>
              <w:pStyle w:val="Normal"/>
              <w:spacing w:lineRule="atLeast" w:line="100" w:before="0" w:after="0"/>
              <w:rPr>
                <w:rFonts w:ascii="Arial" w:hAnsi="Arial" w:cs="Arial"/>
                <w:b/>
                <w:b/>
                <w:sz w:val="24"/>
                <w:szCs w:val="24"/>
              </w:rPr>
            </w:pPr>
            <w:r>
              <w:rPr>
                <w:rFonts w:cs="Arial" w:ascii="Arial" w:hAnsi="Arial"/>
                <w:b/>
                <w:sz w:val="24"/>
                <w:szCs w:val="24"/>
              </w:rPr>
              <w:t>Quality Control Analysis:</w:t>
            </w:r>
          </w:p>
          <w:p>
            <w:pPr>
              <w:pStyle w:val="ListParagraph"/>
              <w:spacing w:before="0" w:after="0"/>
              <w:ind w:left="1440" w:hanging="0"/>
              <w:rPr>
                <w:rFonts w:ascii="Arial" w:hAnsi="Arial" w:cs="Arial"/>
                <w:sz w:val="20"/>
                <w:szCs w:val="20"/>
              </w:rPr>
            </w:pPr>
            <w:r>
              <w:rPr>
                <w:rFonts w:cs="Arial" w:ascii="Arial" w:hAnsi="Arial"/>
                <w:sz w:val="20"/>
                <w:szCs w:val="20"/>
              </w:rPr>
            </w:r>
          </w:p>
          <w:p>
            <w:pPr>
              <w:pStyle w:val="ListParagraph"/>
              <w:numPr>
                <w:ilvl w:val="0"/>
                <w:numId w:val="1"/>
              </w:numPr>
              <w:spacing w:before="0" w:after="0"/>
              <w:rPr>
                <w:rFonts w:ascii="Arial" w:hAnsi="Arial" w:cs="Arial"/>
              </w:rPr>
            </w:pPr>
            <w:r>
              <w:rPr>
                <w:rFonts w:cs="Arial" w:ascii="Arial" w:hAnsi="Arial"/>
                <w:szCs w:val="20"/>
              </w:rPr>
              <w:t xml:space="preserve">These isolates do not match the </w:t>
            </w:r>
            <w:r>
              <w:rPr>
                <w:rFonts w:cs="Arial" w:ascii="Arial" w:hAnsi="Arial"/>
                <w:i/>
                <w:szCs w:val="20"/>
              </w:rPr>
              <w:t>Salmonella</w:t>
            </w:r>
            <w:r>
              <w:rPr>
                <w:rFonts w:cs="Arial" w:ascii="Arial" w:hAnsi="Arial"/>
                <w:szCs w:val="20"/>
              </w:rPr>
              <w:t xml:space="preserve"> ser. Mishmarhaemek (ST-2666) control strain used in CFIA food testing laboratories.</w:t>
            </w:r>
          </w:p>
        </w:tc>
      </w:tr>
    </w:tbl>
    <w:p>
      <w:pPr>
        <w:pStyle w:val="Normal"/>
        <w:suppressAutoHyphens w:val="false"/>
        <w:rPr>
          <w:rFonts w:ascii="Arial" w:hAnsi="Arial" w:cs="Arial"/>
          <w:b/>
          <w:b/>
          <w:sz w:val="24"/>
          <w:szCs w:val="24"/>
        </w:rPr>
      </w:pPr>
      <w:r>
        <w:rPr>
          <w:rFonts w:cs="Arial" w:ascii="Arial" w:hAnsi="Arial"/>
          <w:b/>
          <w:sz w:val="24"/>
          <w:szCs w:val="24"/>
        </w:rPr>
      </w:r>
    </w:p>
    <w:p>
      <w:pPr>
        <w:pStyle w:val="Normal"/>
        <w:suppressAutoHyphens w:val="false"/>
        <w:rPr>
          <w:rFonts w:ascii="Arial" w:hAnsi="Arial" w:cs="Arial"/>
          <w:sz w:val="24"/>
          <w:szCs w:val="24"/>
        </w:rPr>
      </w:pPr>
      <w:r>
        <w:rPr>
          <w:rFonts w:cs="Arial" w:ascii="Arial" w:hAnsi="Arial"/>
          <w:b/>
          <w:sz w:val="24"/>
          <w:szCs w:val="24"/>
        </w:rPr>
        <w:t xml:space="preserve">Table 1. GeneSeekr Analysis. </w:t>
      </w:r>
      <w:r>
        <w:rPr>
          <w:rFonts w:cs="Arial" w:ascii="Arial" w:hAnsi="Arial"/>
          <w:sz w:val="24"/>
          <w:szCs w:val="24"/>
        </w:rPr>
        <w:t>Information from PFGE lab is highlighted in grey.</w:t>
      </w:r>
    </w:p>
    <w:tbl>
      <w:tblPr>
        <w:tblStyle w:val="TableGrid"/>
        <w:tblW w:w="13175" w:type="dxa"/>
        <w:jc w:val="left"/>
        <w:tblInd w:w="-30" w:type="dxa"/>
        <w:tblCellMar>
          <w:top w:w="0" w:type="dxa"/>
          <w:left w:w="78" w:type="dxa"/>
          <w:bottom w:w="0" w:type="dxa"/>
          <w:right w:w="108" w:type="dxa"/>
        </w:tblCellMar>
        <w:tblLook w:val="04a0" w:noVBand="1" w:noHBand="0" w:lastColumn="0" w:firstColumn="1" w:lastRow="0" w:firstRow="1"/>
      </w:tblPr>
      <w:tblGrid>
        <w:gridCol w:w="1268"/>
        <w:gridCol w:w="1338"/>
        <w:gridCol w:w="1081"/>
        <w:gridCol w:w="1672"/>
        <w:gridCol w:w="1684"/>
        <w:gridCol w:w="759"/>
        <w:gridCol w:w="759"/>
        <w:gridCol w:w="706"/>
        <w:gridCol w:w="657"/>
        <w:gridCol w:w="501"/>
        <w:gridCol w:w="501"/>
        <w:gridCol w:w="582"/>
        <w:gridCol w:w="584"/>
        <w:gridCol w:w="500"/>
        <w:gridCol w:w="583"/>
      </w:tblGrid>
      <w:tr>
        <w:trPr/>
        <w:tc>
          <w:tcPr>
            <w:tcW w:w="1268"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r>
          </w:p>
        </w:tc>
        <w:tc>
          <w:tcPr>
            <w:tcW w:w="1338" w:type="dxa"/>
            <w:tcBorders/>
            <w:shd w:color="auto" w:fill="D9D9D9" w:themeFill="background1" w:themeFillShade="d9"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r>
          </w:p>
        </w:tc>
        <w:tc>
          <w:tcPr>
            <w:tcW w:w="1081" w:type="dxa"/>
            <w:tcBorders/>
            <w:shd w:color="auto" w:fill="D9D9D9" w:themeFill="background1" w:themeFillShade="d9"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r>
          </w:p>
        </w:tc>
        <w:tc>
          <w:tcPr>
            <w:tcW w:w="3356" w:type="dxa"/>
            <w:gridSpan w:val="2"/>
            <w:tcBorders/>
            <w:shd w:color="auto" w:fill="D9D9D9" w:themeFill="background1" w:themeFillShade="d9"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PFGE</w:t>
            </w:r>
          </w:p>
        </w:tc>
        <w:tc>
          <w:tcPr>
            <w:tcW w:w="1518" w:type="dxa"/>
            <w:gridSpan w:val="2"/>
            <w:tcBorders/>
            <w:shd w:fill="auto"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Salmonella markers</w:t>
            </w:r>
          </w:p>
        </w:tc>
        <w:tc>
          <w:tcPr>
            <w:tcW w:w="4614" w:type="dxa"/>
            <w:gridSpan w:val="8"/>
            <w:tcBorders/>
            <w:shd w:fill="auto"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MLST</w:t>
            </w:r>
          </w:p>
        </w:tc>
      </w:tr>
      <w:tr>
        <w:trPr/>
        <w:tc>
          <w:tcPr>
            <w:tcW w:w="1268"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Strain</w:t>
            </w:r>
          </w:p>
        </w:tc>
        <w:tc>
          <w:tcPr>
            <w:tcW w:w="1338" w:type="dxa"/>
            <w:tcBorders/>
            <w:shd w:color="auto" w:fill="D9D9D9" w:themeFill="background1" w:themeFillShade="d9"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Serotype</w:t>
            </w:r>
          </w:p>
        </w:tc>
        <w:tc>
          <w:tcPr>
            <w:tcW w:w="1081" w:type="dxa"/>
            <w:tcBorders/>
            <w:shd w:color="auto" w:fill="D9D9D9" w:themeFill="background1" w:themeFillShade="d9"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Source</w:t>
            </w:r>
          </w:p>
        </w:tc>
        <w:tc>
          <w:tcPr>
            <w:tcW w:w="1672" w:type="dxa"/>
            <w:tcBorders/>
            <w:shd w:color="auto" w:fill="D9D9D9" w:themeFill="background1" w:themeFillShade="d9"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1’Enzyme</w:t>
            </w:r>
          </w:p>
        </w:tc>
        <w:tc>
          <w:tcPr>
            <w:tcW w:w="1684" w:type="dxa"/>
            <w:tcBorders/>
            <w:shd w:color="auto" w:fill="D9D9D9" w:themeFill="background1" w:themeFillShade="d9" w:val="clear"/>
            <w:tcMar>
              <w:left w:w="78" w:type="dxa"/>
            </w:tcMar>
            <w:vAlign w:val="center"/>
          </w:tcPr>
          <w:p>
            <w:pPr>
              <w:pStyle w:val="Normal"/>
              <w:suppressAutoHyphens w:val="false"/>
              <w:spacing w:lineRule="auto" w:line="240" w:before="0" w:after="0"/>
              <w:jc w:val="center"/>
              <w:rPr>
                <w:rFonts w:ascii="Arial" w:hAnsi="Arial" w:cs="Arial"/>
                <w:b/>
                <w:b/>
                <w:sz w:val="24"/>
                <w:szCs w:val="24"/>
              </w:rPr>
            </w:pPr>
            <w:r>
              <w:rPr>
                <w:rFonts w:cs="Arial" w:ascii="Arial" w:hAnsi="Arial"/>
                <w:b/>
                <w:sz w:val="24"/>
                <w:szCs w:val="24"/>
              </w:rPr>
              <w:t>2’Enzyme</w:t>
            </w:r>
          </w:p>
        </w:tc>
        <w:tc>
          <w:tcPr>
            <w:tcW w:w="759"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eastAsia="Times New Roman" w:cs="Arial" w:ascii="Arial" w:hAnsi="Arial"/>
                <w:b/>
                <w:bCs/>
                <w:color w:val="000000"/>
                <w:sz w:val="24"/>
                <w:szCs w:val="24"/>
                <w:eastAsianLayout w:vert="true"/>
              </w:rPr>
              <w:t>invA</w:t>
            </w:r>
          </w:p>
        </w:tc>
        <w:tc>
          <w:tcPr>
            <w:tcW w:w="759"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eastAsia="Times New Roman" w:cs="Arial" w:ascii="Arial" w:hAnsi="Arial"/>
                <w:b/>
                <w:bCs/>
                <w:i/>
                <w:color w:val="000000"/>
                <w:sz w:val="24"/>
                <w:szCs w:val="24"/>
                <w:eastAsianLayout w:vert="true"/>
              </w:rPr>
              <w:t>stn</w:t>
            </w:r>
          </w:p>
        </w:tc>
        <w:tc>
          <w:tcPr>
            <w:tcW w:w="706"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cs="Arial" w:ascii="Arial" w:hAnsi="Arial"/>
                <w:b/>
                <w:sz w:val="24"/>
                <w:szCs w:val="24"/>
                <w:eastAsianLayout w:vert="true"/>
              </w:rPr>
              <w:t>ST</w:t>
            </w:r>
          </w:p>
        </w:tc>
        <w:tc>
          <w:tcPr>
            <w:tcW w:w="657"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cs="Arial" w:ascii="Arial" w:hAnsi="Arial"/>
                <w:b/>
                <w:sz w:val="24"/>
                <w:szCs w:val="24"/>
                <w:eastAsianLayout w:vert="true"/>
              </w:rPr>
              <w:t>aroC</w:t>
            </w:r>
          </w:p>
        </w:tc>
        <w:tc>
          <w:tcPr>
            <w:tcW w:w="501"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cs="Arial" w:ascii="Arial" w:hAnsi="Arial"/>
                <w:b/>
                <w:sz w:val="24"/>
                <w:szCs w:val="24"/>
                <w:eastAsianLayout w:vert="true"/>
              </w:rPr>
              <w:t>dnaN</w:t>
            </w:r>
          </w:p>
        </w:tc>
        <w:tc>
          <w:tcPr>
            <w:tcW w:w="501"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cs="Arial" w:ascii="Arial" w:hAnsi="Arial"/>
                <w:b/>
                <w:sz w:val="24"/>
                <w:szCs w:val="24"/>
                <w:eastAsianLayout w:vert="true"/>
              </w:rPr>
              <w:t>hemD</w:t>
            </w:r>
          </w:p>
        </w:tc>
        <w:tc>
          <w:tcPr>
            <w:tcW w:w="582"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cs="Arial" w:ascii="Arial" w:hAnsi="Arial"/>
                <w:b/>
                <w:sz w:val="24"/>
                <w:szCs w:val="24"/>
                <w:eastAsianLayout w:vert="true"/>
              </w:rPr>
              <w:t>hisD</w:t>
            </w:r>
          </w:p>
        </w:tc>
        <w:tc>
          <w:tcPr>
            <w:tcW w:w="584"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cs="Arial" w:ascii="Arial" w:hAnsi="Arial"/>
                <w:b/>
                <w:sz w:val="24"/>
                <w:szCs w:val="24"/>
                <w:eastAsianLayout w:vert="true"/>
              </w:rPr>
              <w:t>purE</w:t>
            </w:r>
          </w:p>
        </w:tc>
        <w:tc>
          <w:tcPr>
            <w:tcW w:w="500"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cs="Arial" w:ascii="Arial" w:hAnsi="Arial"/>
                <w:b/>
                <w:sz w:val="24"/>
                <w:szCs w:val="24"/>
                <w:eastAsianLayout w:vert="true"/>
              </w:rPr>
              <w:t>sucA</w:t>
            </w:r>
          </w:p>
        </w:tc>
        <w:tc>
          <w:tcPr>
            <w:tcW w:w="583" w:type="dxa"/>
            <w:tcBorders/>
            <w:shd w:fill="auto" w:val="clear"/>
            <w:tcMar>
              <w:left w:w="78" w:type="dxa"/>
            </w:tcMar>
            <w:vAlign w:val="center"/>
          </w:tcPr>
          <w:p>
            <w:pPr>
              <w:pStyle w:val="Normal"/>
              <w:spacing w:lineRule="auto" w:line="240" w:before="0" w:after="0"/>
              <w:jc w:val="center"/>
              <w:rPr>
                <w:rFonts w:ascii="Arial" w:hAnsi="Arial" w:cs="Arial"/>
                <w:sz w:val="24"/>
                <w:szCs w:val="24"/>
              </w:rPr>
            </w:pPr>
            <w:r>
              <w:rPr>
                <w:rFonts w:cs="Arial" w:ascii="Arial" w:hAnsi="Arial"/>
                <w:b/>
                <w:sz w:val="24"/>
                <w:szCs w:val="24"/>
                <w:eastAsianLayout w:vert="true"/>
              </w:rPr>
              <w:t>thrA</w:t>
            </w:r>
          </w:p>
        </w:tc>
      </w:tr>
    </w:tbl>
    <w:p>
      <w:pPr>
        <w:pStyle w:val="Normal"/>
        <w:spacing w:lineRule="atLeast" w:line="100" w:before="0" w:after="0"/>
        <w:rPr>
          <w:rFonts w:ascii="Arial" w:hAnsi="Arial" w:cs="Arial"/>
          <w:sz w:val="20"/>
          <w:szCs w:val="20"/>
        </w:rPr>
      </w:pPr>
      <w:r>
        <w:rPr>
          <w:rFonts w:eastAsia="Times New Roman" w:cs="Arial" w:ascii="Arial" w:hAnsi="Arial"/>
          <w:bCs/>
          <w:color w:val="000000"/>
          <w:sz w:val="20"/>
          <w:szCs w:val="20"/>
        </w:rPr>
        <w:t xml:space="preserve">● </w:t>
      </w:r>
      <w:r>
        <w:rPr>
          <w:rFonts w:eastAsia="Times New Roman" w:cs="Arial" w:ascii="Arial" w:hAnsi="Arial"/>
          <w:bCs/>
          <w:color w:val="000000"/>
          <w:sz w:val="20"/>
          <w:szCs w:val="20"/>
        </w:rPr>
        <w:t>Indicates that marker is present; ND indicates marker not detected</w:t>
      </w:r>
    </w:p>
    <w:p>
      <w:pPr>
        <w:pStyle w:val="Normal"/>
        <w:spacing w:lineRule="atLeast" w:line="100" w:before="0" w:after="0"/>
        <w:rPr>
          <w:rFonts w:ascii="Arial" w:hAnsi="Arial" w:cs="Arial"/>
          <w:sz w:val="20"/>
          <w:szCs w:val="20"/>
        </w:rPr>
      </w:pPr>
      <w:r>
        <w:rPr>
          <w:rFonts w:eastAsia="Times New Roman" w:cs="Arial" w:ascii="Arial" w:hAnsi="Arial"/>
          <w:bCs/>
          <w:i/>
          <w:color w:val="000000"/>
          <w:sz w:val="20"/>
          <w:szCs w:val="20"/>
          <w:vertAlign w:val="superscript"/>
        </w:rPr>
        <w:t>a</w:t>
      </w:r>
      <w:r>
        <w:rPr>
          <w:rFonts w:eastAsia="Times New Roman" w:cs="Arial" w:ascii="Arial" w:hAnsi="Arial"/>
          <w:bCs/>
          <w:color w:val="000000"/>
          <w:sz w:val="20"/>
          <w:szCs w:val="20"/>
        </w:rPr>
        <w:t xml:space="preserve">Markers of the </w:t>
      </w:r>
      <w:r>
        <w:rPr>
          <w:rFonts w:eastAsia="Times New Roman" w:cs="Arial" w:ascii="Arial" w:hAnsi="Arial"/>
          <w:bCs/>
          <w:i/>
          <w:color w:val="000000"/>
          <w:sz w:val="20"/>
          <w:szCs w:val="20"/>
        </w:rPr>
        <w:t>Salmonella</w:t>
      </w:r>
      <w:r>
        <w:rPr>
          <w:rFonts w:eastAsia="Times New Roman" w:cs="Arial" w:ascii="Arial" w:hAnsi="Arial"/>
          <w:bCs/>
          <w:color w:val="000000"/>
          <w:sz w:val="20"/>
          <w:szCs w:val="20"/>
        </w:rPr>
        <w:t xml:space="preserve"> genus that are also required for virulence: </w:t>
      </w:r>
      <w:r>
        <w:rPr>
          <w:rFonts w:eastAsia="Times New Roman" w:cs="Arial" w:ascii="Arial" w:hAnsi="Arial"/>
          <w:bCs/>
          <w:i/>
          <w:color w:val="000000"/>
          <w:sz w:val="20"/>
          <w:szCs w:val="20"/>
        </w:rPr>
        <w:t>invA</w:t>
      </w:r>
      <w:r>
        <w:rPr>
          <w:rFonts w:eastAsia="Times New Roman" w:cs="Arial" w:ascii="Arial" w:hAnsi="Arial"/>
          <w:bCs/>
          <w:color w:val="000000"/>
          <w:sz w:val="20"/>
          <w:szCs w:val="20"/>
        </w:rPr>
        <w:t xml:space="preserve"> (invasion) and </w:t>
      </w:r>
      <w:r>
        <w:rPr>
          <w:rFonts w:eastAsia="Times New Roman" w:cs="Arial" w:ascii="Arial" w:hAnsi="Arial"/>
          <w:bCs/>
          <w:i/>
          <w:color w:val="000000"/>
          <w:sz w:val="20"/>
          <w:szCs w:val="20"/>
        </w:rPr>
        <w:t xml:space="preserve">stn </w:t>
      </w:r>
      <w:r>
        <w:rPr>
          <w:rFonts w:eastAsia="Times New Roman" w:cs="Arial" w:ascii="Arial" w:hAnsi="Arial"/>
          <w:bCs/>
          <w:color w:val="000000"/>
          <w:sz w:val="20"/>
          <w:szCs w:val="20"/>
        </w:rPr>
        <w:t xml:space="preserve">(enterotoxin).  Refer to </w:t>
      </w:r>
      <w:r>
        <w:rPr>
          <w:rFonts w:eastAsia="Times New Roman" w:cs="Arial" w:ascii="Arial" w:hAnsi="Arial"/>
          <w:bCs/>
          <w:i/>
          <w:color w:val="000000"/>
          <w:sz w:val="20"/>
          <w:szCs w:val="20"/>
        </w:rPr>
        <w:t xml:space="preserve">Salmonella </w:t>
      </w:r>
      <w:r>
        <w:rPr>
          <w:rFonts w:eastAsia="Times New Roman" w:cs="Arial" w:ascii="Arial" w:hAnsi="Arial"/>
          <w:bCs/>
          <w:color w:val="000000"/>
          <w:sz w:val="20"/>
          <w:szCs w:val="20"/>
        </w:rPr>
        <w:t>CHAS.</w:t>
      </w:r>
    </w:p>
    <w:p>
      <w:pPr>
        <w:pStyle w:val="Normal"/>
        <w:spacing w:lineRule="atLeast" w:line="100" w:before="0" w:after="0"/>
        <w:rPr/>
      </w:pPr>
      <w:r>
        <w:rPr>
          <w:rFonts w:cs="Arial" w:ascii="Arial" w:hAnsi="Arial"/>
          <w:i/>
          <w:sz w:val="20"/>
          <w:szCs w:val="20"/>
          <w:vertAlign w:val="superscript"/>
        </w:rPr>
        <w:t>b</w:t>
      </w:r>
      <w:r>
        <w:rPr>
          <w:rFonts w:eastAsia="Times New Roman" w:cs="Arial" w:ascii="Arial" w:hAnsi="Arial"/>
          <w:bCs/>
          <w:color w:val="000000"/>
          <w:sz w:val="20"/>
          <w:szCs w:val="20"/>
        </w:rPr>
        <w:t>Multilocus sequence type (MLST) is based on the 7 gene scheme available at http://mlst.warwick.ac.uk/mlst/dbs/Senterica[</w:t>
      </w:r>
      <w:hyperlink w:anchor="_ENREF_2">
        <w:r>
          <w:rPr>
            <w:rStyle w:val="InternetLink"/>
            <w:rFonts w:eastAsia="Times New Roman" w:cs="Arial" w:ascii="Arial" w:hAnsi="Arial"/>
            <w:bCs/>
            <w:color w:val="000000"/>
            <w:sz w:val="20"/>
            <w:szCs w:val="20"/>
          </w:rPr>
          <w:t>2</w:t>
        </w:r>
      </w:hyperlink>
      <w:r>
        <w:rPr>
          <w:rFonts w:eastAsia="Times New Roman" w:cs="Arial" w:ascii="Arial" w:hAnsi="Arial"/>
          <w:bCs/>
          <w:color w:val="000000"/>
          <w:sz w:val="20"/>
          <w:szCs w:val="20"/>
        </w:rPr>
        <w:t xml:space="preserve">]. Strains with the same sequence type (ST) have exact matches at all 7 alleles. </w:t>
      </w:r>
    </w:p>
    <w:p>
      <w:pPr>
        <w:pStyle w:val="Normal"/>
        <w:spacing w:lineRule="atLeast" w:line="100" w:before="0" w:after="0"/>
        <w:rPr>
          <w:rFonts w:ascii="Arial" w:hAnsi="Arial" w:cs="Arial"/>
          <w:sz w:val="20"/>
          <w:szCs w:val="24"/>
        </w:rPr>
      </w:pPr>
      <w:r>
        <w:rPr>
          <w:rFonts w:cs="Arial" w:ascii="Arial" w:hAnsi="Arial"/>
          <w:sz w:val="20"/>
          <w:szCs w:val="24"/>
        </w:rPr>
      </w:r>
    </w:p>
    <w:p>
      <w:pPr>
        <w:pStyle w:val="Normal"/>
        <w:suppressAutoHyphens w:val="false"/>
        <w:spacing w:lineRule="auto" w:line="240" w:before="0" w:after="0"/>
        <w:rPr>
          <w:rFonts w:ascii="Arial" w:hAnsi="Arial" w:cs="Arial"/>
          <w:sz w:val="20"/>
          <w:szCs w:val="24"/>
        </w:rPr>
      </w:pPr>
      <w:r>
        <w:rPr>
          <w:rFonts w:cs="Arial" w:ascii="Arial" w:hAnsi="Arial"/>
          <w:sz w:val="20"/>
          <w:szCs w:val="24"/>
        </w:rPr>
      </w:r>
    </w:p>
    <w:p>
      <w:pPr>
        <w:pStyle w:val="Normal"/>
        <w:suppressAutoHyphens w:val="false"/>
        <w:rPr>
          <w:rFonts w:ascii="Arial" w:hAnsi="Arial" w:cs="Arial"/>
          <w:b/>
          <w:b/>
          <w:sz w:val="24"/>
          <w:szCs w:val="24"/>
        </w:rPr>
      </w:pPr>
      <w:r>
        <w:rPr>
          <w:rFonts w:cs="Arial" w:ascii="Arial" w:hAnsi="Arial"/>
          <w:b/>
          <w:sz w:val="24"/>
          <w:szCs w:val="24"/>
        </w:rPr>
        <w:t>Table 2:</w:t>
      </w:r>
      <w:r>
        <w:rPr>
          <w:rFonts w:cs="Arial" w:ascii="Arial" w:hAnsi="Arial"/>
          <w:sz w:val="24"/>
          <w:szCs w:val="24"/>
        </w:rPr>
        <w:t xml:space="preserve"> </w:t>
      </w:r>
      <w:r>
        <w:rPr>
          <w:rFonts w:cs="Arial" w:ascii="Arial" w:hAnsi="Arial"/>
          <w:b/>
          <w:sz w:val="24"/>
          <w:szCs w:val="24"/>
        </w:rPr>
        <w:t xml:space="preserve">Sequence Data Quality: </w:t>
      </w:r>
    </w:p>
    <w:tbl>
      <w:tblPr>
        <w:tblStyle w:val="TableGrid"/>
        <w:tblW w:w="13661" w:type="dxa"/>
        <w:jc w:val="center"/>
        <w:tblInd w:w="0" w:type="dxa"/>
        <w:tblCellMar>
          <w:top w:w="0" w:type="dxa"/>
          <w:left w:w="78" w:type="dxa"/>
          <w:bottom w:w="0" w:type="dxa"/>
          <w:right w:w="108" w:type="dxa"/>
        </w:tblCellMar>
        <w:tblLook w:val="04a0" w:noVBand="1" w:noHBand="0" w:lastColumn="0" w:firstColumn="1" w:lastRow="0" w:firstRow="1"/>
      </w:tblPr>
      <w:tblGrid>
        <w:gridCol w:w="2942"/>
        <w:gridCol w:w="1940"/>
        <w:gridCol w:w="1541"/>
        <w:gridCol w:w="1305"/>
        <w:gridCol w:w="2030"/>
        <w:gridCol w:w="827"/>
        <w:gridCol w:w="1171"/>
        <w:gridCol w:w="1903"/>
      </w:tblGrid>
      <w:tr>
        <w:trPr/>
        <w:tc>
          <w:tcPr>
            <w:tcW w:w="2942"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Sample</w:t>
            </w:r>
          </w:p>
        </w:tc>
        <w:tc>
          <w:tcPr>
            <w:tcW w:w="1940"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SEQ ID</w:t>
            </w:r>
          </w:p>
        </w:tc>
        <w:tc>
          <w:tcPr>
            <w:tcW w:w="1541"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Total length</w:t>
            </w:r>
            <w:r>
              <w:rPr>
                <w:rFonts w:cs="Arial" w:ascii="Arial" w:hAnsi="Arial"/>
                <w:b/>
                <w:i/>
                <w:vertAlign w:val="superscript"/>
              </w:rPr>
              <w:t>a</w:t>
            </w:r>
          </w:p>
        </w:tc>
        <w:tc>
          <w:tcPr>
            <w:tcW w:w="1305"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Coverage</w:t>
            </w:r>
            <w:r>
              <w:rPr>
                <w:rFonts w:cs="Arial" w:ascii="Arial" w:hAnsi="Arial"/>
                <w:b/>
                <w:i/>
                <w:vertAlign w:val="superscript"/>
              </w:rPr>
              <w:t>b</w:t>
            </w:r>
          </w:p>
        </w:tc>
        <w:tc>
          <w:tcPr>
            <w:tcW w:w="2030"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 identity GDCS</w:t>
            </w:r>
            <w:r>
              <w:rPr>
                <w:rFonts w:cs="Arial" w:ascii="Arial" w:hAnsi="Arial"/>
                <w:b/>
                <w:i/>
                <w:vertAlign w:val="superscript"/>
              </w:rPr>
              <w:t>c</w:t>
            </w:r>
          </w:p>
        </w:tc>
        <w:tc>
          <w:tcPr>
            <w:tcW w:w="827"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rST</w:t>
            </w:r>
            <w:r>
              <w:rPr>
                <w:rFonts w:cs="Arial" w:ascii="Arial" w:hAnsi="Arial"/>
                <w:b/>
                <w:vertAlign w:val="superscript"/>
              </w:rPr>
              <w:t>d</w:t>
            </w:r>
          </w:p>
        </w:tc>
        <w:tc>
          <w:tcPr>
            <w:tcW w:w="1171"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Pass/Fail</w:t>
            </w:r>
          </w:p>
        </w:tc>
        <w:tc>
          <w:tcPr>
            <w:tcW w:w="1903" w:type="dxa"/>
            <w:tcBorders/>
            <w:shd w:fill="auto" w:val="clear"/>
            <w:tcMar>
              <w:left w:w="78" w:type="dxa"/>
            </w:tcMar>
            <w:vAlign w:val="center"/>
          </w:tcPr>
          <w:p>
            <w:pPr>
              <w:pStyle w:val="Normal"/>
              <w:suppressAutoHyphens w:val="false"/>
              <w:spacing w:lineRule="auto" w:line="240" w:before="0" w:after="0"/>
              <w:jc w:val="center"/>
              <w:rPr>
                <w:rFonts w:ascii="Arial" w:hAnsi="Arial" w:cs="Arial"/>
                <w:b/>
                <w:b/>
              </w:rPr>
            </w:pPr>
            <w:r>
              <w:rPr>
                <w:rFonts w:cs="Arial" w:ascii="Arial" w:hAnsi="Arial"/>
                <w:b/>
              </w:rPr>
              <w:t>Pipeline version</w:t>
            </w:r>
          </w:p>
        </w:tc>
      </w:tr>
    </w:tbl>
    <w:p>
      <w:pPr>
        <w:pStyle w:val="Normal"/>
        <w:suppressAutoHyphens w:val="false"/>
        <w:spacing w:lineRule="auto" w:line="240" w:before="0" w:after="0"/>
        <w:rPr>
          <w:rFonts w:ascii="Arial" w:hAnsi="Arial" w:cs="Arial"/>
          <w:sz w:val="20"/>
          <w:szCs w:val="20"/>
        </w:rPr>
      </w:pPr>
      <w:r>
        <w:rPr>
          <w:rFonts w:cs="Arial" w:ascii="Arial" w:hAnsi="Arial"/>
          <w:i/>
          <w:sz w:val="20"/>
          <w:szCs w:val="20"/>
          <w:vertAlign w:val="superscript"/>
        </w:rPr>
        <w:t>a</w:t>
      </w:r>
      <w:r>
        <w:rPr>
          <w:rFonts w:cs="Arial" w:ascii="Arial" w:hAnsi="Arial"/>
          <w:sz w:val="20"/>
          <w:szCs w:val="20"/>
        </w:rPr>
        <w:t xml:space="preserve">Size of a </w:t>
      </w:r>
      <w:r>
        <w:rPr>
          <w:rFonts w:cs="Arial" w:ascii="Arial" w:hAnsi="Arial"/>
          <w:i/>
          <w:sz w:val="20"/>
          <w:szCs w:val="20"/>
        </w:rPr>
        <w:t>Salmonella</w:t>
      </w:r>
      <w:r>
        <w:rPr>
          <w:rFonts w:cs="Arial" w:ascii="Arial" w:hAnsi="Arial"/>
          <w:sz w:val="20"/>
          <w:szCs w:val="20"/>
        </w:rPr>
        <w:t xml:space="preserve"> genome typically ranges between 4.5 and 4.9 Mb. Total length refers to the total number of nucleotides in the assembled sequence data. </w:t>
      </w:r>
    </w:p>
    <w:p>
      <w:pPr>
        <w:pStyle w:val="Normal"/>
        <w:suppressAutoHyphens w:val="false"/>
        <w:spacing w:lineRule="auto" w:line="240" w:before="0" w:after="0"/>
        <w:rPr>
          <w:rFonts w:ascii="Arial" w:hAnsi="Arial" w:cs="Arial"/>
          <w:sz w:val="20"/>
          <w:szCs w:val="20"/>
        </w:rPr>
      </w:pPr>
      <w:r>
        <w:rPr>
          <w:rFonts w:cs="Arial" w:ascii="Arial" w:hAnsi="Arial"/>
          <w:i/>
          <w:sz w:val="20"/>
          <w:szCs w:val="20"/>
          <w:vertAlign w:val="superscript"/>
        </w:rPr>
        <w:t>b</w:t>
      </w:r>
      <w:r>
        <w:rPr>
          <w:rFonts w:cs="Arial" w:ascii="Arial" w:hAnsi="Arial"/>
          <w:sz w:val="20"/>
          <w:szCs w:val="20"/>
        </w:rPr>
        <w:t xml:space="preserve">Coverage refers to sequencing redundancy. A minimum coverage of 20 indicates that, on average, each nucleotide in the genome has been covered by 20 sequence reads. </w:t>
      </w:r>
    </w:p>
    <w:p>
      <w:pPr>
        <w:pStyle w:val="Normal"/>
        <w:suppressAutoHyphens w:val="false"/>
        <w:spacing w:lineRule="auto" w:line="240" w:before="0" w:after="0"/>
        <w:rPr>
          <w:rFonts w:ascii="Arial" w:hAnsi="Arial" w:cs="Arial"/>
          <w:sz w:val="20"/>
          <w:szCs w:val="20"/>
        </w:rPr>
      </w:pPr>
      <w:r>
        <w:rPr>
          <w:rFonts w:cs="Arial" w:ascii="Arial" w:hAnsi="Arial"/>
          <w:sz w:val="20"/>
          <w:szCs w:val="20"/>
          <w:vertAlign w:val="superscript"/>
        </w:rPr>
        <w:t>c</w:t>
      </w:r>
      <w:r>
        <w:rPr>
          <w:rFonts w:cs="Arial" w:ascii="Arial" w:hAnsi="Arial"/>
          <w:sz w:val="20"/>
          <w:szCs w:val="20"/>
        </w:rPr>
        <w:t>To ensure complete coverage, sequence data is queried for Genomically Dispersed Conserved Sequences (GDCS) which currently include 53 ribosomal proteins distributed throughout the genome and conserved in all bacterial species (total of ~20000 nt sequence data). The % identity GDCS refers to the cumulative percentage of identical nucleotides to known alleles of these genes[3]</w:t>
      </w:r>
    </w:p>
    <w:p>
      <w:pPr>
        <w:pStyle w:val="Normal"/>
        <w:suppressAutoHyphens w:val="false"/>
        <w:spacing w:lineRule="auto" w:line="240" w:before="0" w:after="0"/>
        <w:rPr>
          <w:rFonts w:ascii="Arial" w:hAnsi="Arial" w:cs="Arial"/>
          <w:sz w:val="20"/>
          <w:szCs w:val="20"/>
        </w:rPr>
      </w:pPr>
      <w:r>
        <w:rPr>
          <w:rFonts w:cs="Arial" w:ascii="Arial" w:hAnsi="Arial"/>
          <w:sz w:val="20"/>
          <w:szCs w:val="20"/>
          <w:vertAlign w:val="superscript"/>
        </w:rPr>
        <w:t>d</w:t>
      </w:r>
      <w:r>
        <w:rPr>
          <w:rFonts w:cs="Arial" w:ascii="Arial" w:hAnsi="Arial"/>
          <w:sz w:val="20"/>
          <w:szCs w:val="20"/>
        </w:rPr>
        <w:t xml:space="preserve">Ribosomal Multilocus sequence type (rST) is based on the 53 gene scheme available at http://pubmlst.org/rmlst/ [3].  Strains with the same sequence type (ST) have exact matches at all 53 alleles. </w:t>
      </w:r>
    </w:p>
    <w:p>
      <w:pPr>
        <w:pStyle w:val="Normal"/>
        <w:suppressAutoHyphens w:val="false"/>
        <w:spacing w:before="0" w:after="0"/>
        <w:rPr>
          <w:rFonts w:ascii="Arial" w:hAnsi="Arial" w:cs="Arial"/>
          <w:b/>
          <w:b/>
        </w:rPr>
      </w:pPr>
      <w:r>
        <w:rPr>
          <w:rFonts w:cs="Arial" w:ascii="Arial" w:hAnsi="Arial"/>
          <w:b/>
        </w:rPr>
      </w:r>
    </w:p>
    <w:p>
      <w:pPr>
        <w:pStyle w:val="Normal"/>
        <w:suppressAutoHyphens w:val="false"/>
        <w:spacing w:before="0" w:after="0"/>
        <w:rPr/>
      </w:pPr>
      <w:r>
        <w:rPr/>
      </w:r>
    </w:p>
    <w:sectPr>
      <w:headerReference w:type="default" r:id="rId3"/>
      <w:footerReference w:type="default" r:id="rId4"/>
      <w:type w:val="nextPage"/>
      <w:pgSz w:orient="landscape" w:w="15840" w:h="12240"/>
      <w:pgMar w:left="1440" w:right="1440" w:header="0" w:top="851" w:footer="794"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0064662"/>
    </w:sdtPr>
    <w:sdtContent>
      <w:p>
        <w:pPr>
          <w:pStyle w:val="Footer"/>
          <w:pBdr>
            <w:top w:val="single" w:sz="4" w:space="9" w:color="D9D9D9"/>
          </w:pBdr>
          <w:jc w:val="right"/>
          <w:rPr/>
        </w:pPr>
        <w:r>
          <w:rPr/>
          <w:t>ROGA-YYYY-MM-DD, RDIMS# XXXXXXX</w:t>
        </w:r>
      </w:p>
      <w:p>
        <w:pPr>
          <w:pStyle w:val="Footer"/>
          <w:pBdr>
            <w:top w:val="single" w:sz="4" w:space="9" w:color="D9D9D9"/>
          </w:pBdr>
          <w:jc w:val="right"/>
          <w:rPr/>
        </w:pPr>
        <w:r>
          <w:rPr/>
          <w:t xml:space="preserve"> </w:t>
        </w: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drawing>
        <wp:inline distT="0" distB="0" distL="0" distR="0">
          <wp:extent cx="3547110" cy="192405"/>
          <wp:effectExtent l="0" t="0" r="0" b="0"/>
          <wp:docPr id="1" name="Picture 7" descr="C:\Users\gauthiermrt\Downloads\sigc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gauthiermrt\Downloads\sigcole.gif"/>
                  <pic:cNvPicPr>
                    <a:picLocks noChangeAspect="1" noChangeArrowheads="1"/>
                  </pic:cNvPicPr>
                </pic:nvPicPr>
                <pic:blipFill>
                  <a:blip r:embed="rId1"/>
                  <a:stretch>
                    <a:fillRect/>
                  </a:stretch>
                </pic:blipFill>
                <pic:spPr bwMode="auto">
                  <a:xfrm>
                    <a:off x="0" y="0"/>
                    <a:ext cx="3547110" cy="1924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CA" w:eastAsia="en-C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51b4"/>
    <w:pPr>
      <w:widowControl/>
      <w:tabs>
        <w:tab w:val="left" w:pos="720" w:leader="none"/>
      </w:tabs>
      <w:suppressAutoHyphens w:val="true"/>
      <w:bidi w:val="0"/>
      <w:spacing w:lineRule="auto" w:line="276" w:before="0" w:after="200"/>
      <w:jc w:val="left"/>
    </w:pPr>
    <w:rPr>
      <w:rFonts w:ascii="Calibri" w:hAnsi="Calibri" w:eastAsia="Droid Sans Fallback" w:cs="" w:asciiTheme="minorHAnsi" w:cstheme="minorBidi" w:hAnsiTheme="minorHAnsi"/>
      <w:color w:val="00000A"/>
      <w:sz w:val="22"/>
      <w:szCs w:val="22"/>
      <w:lang w:val="en-CA" w:eastAsia="en-CA"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60214"/>
    <w:rPr>
      <w:color w:val="0000FF" w:themeColor="hyperlink"/>
      <w:u w:val="single"/>
    </w:rPr>
  </w:style>
  <w:style w:type="character" w:styleId="ListLabel1" w:customStyle="1">
    <w:name w:val="ListLabel 1"/>
    <w:qFormat/>
    <w:rsid w:val="00ed51b4"/>
    <w:rPr>
      <w:rFonts w:cs="Courier New"/>
    </w:rPr>
  </w:style>
  <w:style w:type="character" w:styleId="BalloonTextChar" w:customStyle="1">
    <w:name w:val="Balloon Text Char"/>
    <w:basedOn w:val="DefaultParagraphFont"/>
    <w:qFormat/>
    <w:rsid w:val="00ed51b4"/>
    <w:rPr>
      <w:rFonts w:ascii="Tahoma" w:hAnsi="Tahoma" w:eastAsia="Droid Sans Fallback" w:cs="Tahoma"/>
      <w:sz w:val="16"/>
      <w:szCs w:val="16"/>
    </w:rPr>
  </w:style>
  <w:style w:type="character" w:styleId="ListLabel2" w:customStyle="1">
    <w:name w:val="ListLabel 2"/>
    <w:qFormat/>
    <w:rsid w:val="00ed51b4"/>
    <w:rPr>
      <w:rFonts w:cs="Symbol"/>
    </w:rPr>
  </w:style>
  <w:style w:type="character" w:styleId="ListLabel3" w:customStyle="1">
    <w:name w:val="ListLabel 3"/>
    <w:qFormat/>
    <w:rsid w:val="00ed51b4"/>
    <w:rPr>
      <w:rFonts w:cs="Courier New"/>
    </w:rPr>
  </w:style>
  <w:style w:type="character" w:styleId="ListLabel4" w:customStyle="1">
    <w:name w:val="ListLabel 4"/>
    <w:qFormat/>
    <w:rsid w:val="00ed51b4"/>
    <w:rPr>
      <w:rFonts w:cs="Wingdings"/>
    </w:rPr>
  </w:style>
  <w:style w:type="character" w:styleId="HeaderChar" w:customStyle="1">
    <w:name w:val="Header Char"/>
    <w:basedOn w:val="DefaultParagraphFont"/>
    <w:link w:val="Header"/>
    <w:uiPriority w:val="99"/>
    <w:qFormat/>
    <w:rsid w:val="004760f0"/>
    <w:rPr>
      <w:rFonts w:ascii="Calibri" w:hAnsi="Calibri" w:eastAsia="Droid Sans Fallback"/>
    </w:rPr>
  </w:style>
  <w:style w:type="character" w:styleId="FooterChar" w:customStyle="1">
    <w:name w:val="Footer Char"/>
    <w:basedOn w:val="DefaultParagraphFont"/>
    <w:link w:val="Footer"/>
    <w:uiPriority w:val="99"/>
    <w:qFormat/>
    <w:rsid w:val="004760f0"/>
    <w:rPr>
      <w:rFonts w:ascii="Calibri" w:hAnsi="Calibri" w:eastAsia="Droid Sans Fallback"/>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Arial" w:hAnsi="Arial"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Symbol"/>
      <w:b/>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w:hAnsi="Arial"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Arial" w:hAnsi="Arial"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Arial" w:hAnsi="Arial" w:cs="Symbol"/>
      <w:b/>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Arial" w:hAnsi="Arial"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Arial" w:hAnsi="Arial"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cs="Symbol"/>
      <w:b/>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Arial" w:hAnsi="Arial"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Arial" w:hAnsi="Arial"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Arial" w:hAnsi="Arial" w:cs="Symbol"/>
      <w:b/>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Arial" w:hAnsi="Arial"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Arial" w:hAnsi="Arial"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Arial" w:hAnsi="Arial" w:cs="Symbol"/>
      <w:b/>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Arial" w:hAnsi="Arial"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Arial" w:hAnsi="Arial"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Arial" w:hAnsi="Arial" w:cs="Symbol"/>
      <w:b/>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Arial" w:hAnsi="Arial"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paragraph" w:styleId="Heading" w:customStyle="1">
    <w:name w:val="Heading"/>
    <w:basedOn w:val="Normal"/>
    <w:next w:val="TextBody"/>
    <w:qFormat/>
    <w:rsid w:val="00ed51b4"/>
    <w:pPr>
      <w:keepNext/>
      <w:spacing w:before="240" w:after="120"/>
    </w:pPr>
    <w:rPr>
      <w:rFonts w:ascii="Arial" w:hAnsi="Arial" w:cs="Lohit Hindi"/>
      <w:sz w:val="28"/>
      <w:szCs w:val="28"/>
    </w:rPr>
  </w:style>
  <w:style w:type="paragraph" w:styleId="TextBody">
    <w:name w:val="Body Text"/>
    <w:basedOn w:val="Normal"/>
    <w:pPr>
      <w:spacing w:lineRule="auto" w:line="288" w:before="0" w:after="140"/>
    </w:pPr>
    <w:rPr/>
  </w:style>
  <w:style w:type="paragraph" w:styleId="List">
    <w:name w:val="List"/>
    <w:basedOn w:val="TextBody"/>
    <w:rsid w:val="00ed51b4"/>
    <w:pPr>
      <w:widowControl w:val="false"/>
      <w:bidi w:val="0"/>
      <w:jc w:val="left"/>
    </w:pPr>
    <w:rPr>
      <w:rFonts w:ascii="Calibri" w:hAnsi="Calibri" w:eastAsia="" w:cs="Lohit Hindi" w:asciiTheme="minorHAnsi" w:eastAsiaTheme="minorEastAsia" w:hAnsiTheme="minorHAnsi"/>
      <w:color w:val="00000A"/>
      <w:sz w:val="22"/>
      <w:szCs w:val="22"/>
      <w:lang w:val="en-CA" w:eastAsia="en-CA"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d51b4"/>
    <w:pPr>
      <w:suppressLineNumbers/>
    </w:pPr>
    <w:rPr>
      <w:rFonts w:cs="Lohit Hindi"/>
    </w:rPr>
  </w:style>
  <w:style w:type="paragraph" w:styleId="Textbody1" w:customStyle="1">
    <w:name w:val="Text body"/>
    <w:basedOn w:val="Normal"/>
    <w:qFormat/>
    <w:rsid w:val="00ed51b4"/>
    <w:pPr>
      <w:spacing w:before="0" w:after="120"/>
    </w:pPr>
    <w:rPr/>
  </w:style>
  <w:style w:type="paragraph" w:styleId="Caption1">
    <w:name w:val="caption"/>
    <w:basedOn w:val="Normal"/>
    <w:qFormat/>
    <w:rsid w:val="00ed51b4"/>
    <w:pPr>
      <w:suppressLineNumbers/>
      <w:spacing w:before="120" w:after="120"/>
    </w:pPr>
    <w:rPr>
      <w:rFonts w:cs="Lohit Hindi"/>
      <w:i/>
      <w:iCs/>
      <w:sz w:val="24"/>
      <w:szCs w:val="24"/>
    </w:rPr>
  </w:style>
  <w:style w:type="paragraph" w:styleId="ListParagraph">
    <w:name w:val="List Paragraph"/>
    <w:basedOn w:val="Normal"/>
    <w:qFormat/>
    <w:rsid w:val="00ed51b4"/>
    <w:pPr>
      <w:ind w:left="720" w:hanging="0"/>
    </w:pPr>
    <w:rPr/>
  </w:style>
  <w:style w:type="paragraph" w:styleId="BalloonText">
    <w:name w:val="Balloon Text"/>
    <w:basedOn w:val="Normal"/>
    <w:qFormat/>
    <w:rsid w:val="00ed51b4"/>
    <w:pPr>
      <w:spacing w:lineRule="atLeast" w:line="100" w:before="0" w:after="0"/>
    </w:pPr>
    <w:rPr>
      <w:rFonts w:ascii="Tahoma" w:hAnsi="Tahoma" w:cs="Tahoma"/>
      <w:sz w:val="16"/>
      <w:szCs w:val="16"/>
    </w:rPr>
  </w:style>
  <w:style w:type="paragraph" w:styleId="TableContents" w:customStyle="1">
    <w:name w:val="Table Contents"/>
    <w:basedOn w:val="Normal"/>
    <w:qFormat/>
    <w:rsid w:val="00ed51b4"/>
    <w:pPr>
      <w:suppressLineNumbers/>
    </w:pPr>
    <w:rPr/>
  </w:style>
  <w:style w:type="paragraph" w:styleId="TableHeading" w:customStyle="1">
    <w:name w:val="Table Heading"/>
    <w:basedOn w:val="TableContents"/>
    <w:qFormat/>
    <w:rsid w:val="00ed51b4"/>
    <w:pPr>
      <w:jc w:val="center"/>
    </w:pPr>
    <w:rPr>
      <w:b/>
      <w:bCs/>
    </w:rPr>
  </w:style>
  <w:style w:type="paragraph" w:styleId="Header">
    <w:name w:val="Header"/>
    <w:basedOn w:val="Normal"/>
    <w:link w:val="HeaderChar"/>
    <w:uiPriority w:val="99"/>
    <w:unhideWhenUsed/>
    <w:rsid w:val="004760f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60f0"/>
    <w:pPr>
      <w:tabs>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c43305"/>
    <w:pPr>
      <w:suppressAutoHyphens w:val="false"/>
      <w:spacing w:lineRule="auto" w:line="240" w:beforeAutospacing="1" w:afterAutospacing="1"/>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d32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fz.corefacility.ca/sistr-ap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Application>LibreOffice/5.1.6.2$Linux_X86_64 LibreOffice_project/10m0$Build-2</Application>
  <Pages>2</Pages>
  <Words>496</Words>
  <Characters>2941</Characters>
  <CharactersWithSpaces>3403</CharactersWithSpaces>
  <Paragraphs>67</Paragraphs>
  <Company>AAFC-AAC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2016-11-14T17:41:00Z</dcterms:created>
  <dc:creator>Cathy</dc:creator>
  <dc:description/>
  <dc:language>en-US</dc:language>
  <cp:lastModifiedBy/>
  <cp:lastPrinted>2016-12-20T15:40:00Z</cp:lastPrinted>
  <dcterms:modified xsi:type="dcterms:W3CDTF">2017-06-30T14:27:23Z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AAFC-AAC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