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E3D" w:rsidRDefault="002564D1" w:rsidP="002564D1">
      <w:pPr>
        <w:pStyle w:val="Heading1"/>
      </w:pPr>
      <w:r>
        <w:t>Allen Lab Fall 2015 rotation pro</w:t>
      </w:r>
      <w:r w:rsidR="00311350">
        <w:t>ject proposal (background</w:t>
      </w:r>
      <w:r>
        <w:t>)</w:t>
      </w:r>
    </w:p>
    <w:p w:rsidR="008E0360" w:rsidRDefault="002564D1" w:rsidP="002564D1">
      <w:r>
        <w:t xml:space="preserve">Tiffany Lowe discovered that the RSp1579 transcriptional regulation contributes to virulence of </w:t>
      </w:r>
      <w:r>
        <w:rPr>
          <w:i/>
        </w:rPr>
        <w:t>Ralstonia solanacearum</w:t>
      </w:r>
      <w:r w:rsidR="008E0360">
        <w:t>:</w:t>
      </w:r>
    </w:p>
    <w:p w:rsidR="002564D1" w:rsidRDefault="002564D1" w:rsidP="002564D1">
      <w:r>
        <w:rPr>
          <w:noProof/>
        </w:rPr>
        <w:drawing>
          <wp:inline distT="0" distB="0" distL="0" distR="0" wp14:anchorId="76B81C4A" wp14:editId="10223BF8">
            <wp:extent cx="2419934" cy="25962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Sp1579 DPC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3" t="52223" r="6459" b="2778"/>
                    <a:stretch/>
                  </pic:blipFill>
                  <pic:spPr bwMode="auto">
                    <a:xfrm>
                      <a:off x="0" y="0"/>
                      <a:ext cx="2427643" cy="2604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5B019B" wp14:editId="47596443">
            <wp:extent cx="2247162" cy="2559682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Sp1579 DPC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3" t="3056" r="8559" b="49167"/>
                    <a:stretch/>
                  </pic:blipFill>
                  <pic:spPr bwMode="auto">
                    <a:xfrm>
                      <a:off x="0" y="0"/>
                      <a:ext cx="2257359" cy="2571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4D1" w:rsidRDefault="002564D1" w:rsidP="00840603">
      <w:pPr>
        <w:spacing w:line="240" w:lineRule="auto"/>
        <w:ind w:left="720"/>
        <w:rPr>
          <w:sz w:val="20"/>
        </w:rPr>
      </w:pPr>
      <w:r w:rsidRPr="008E0360">
        <w:rPr>
          <w:b/>
          <w:sz w:val="20"/>
        </w:rPr>
        <w:t>Figure 1:</w:t>
      </w:r>
      <w:r w:rsidRPr="008E0360">
        <w:rPr>
          <w:sz w:val="20"/>
        </w:rPr>
        <w:t xml:space="preserve"> Virulence of </w:t>
      </w:r>
      <w:r w:rsidRPr="008E0360">
        <w:rPr>
          <w:i/>
          <w:sz w:val="20"/>
        </w:rPr>
        <w:t xml:space="preserve">R. solanacearum </w:t>
      </w:r>
      <w:r w:rsidRPr="008E0360">
        <w:rPr>
          <w:sz w:val="20"/>
        </w:rPr>
        <w:t>GMI1000 and ΔRSp1579::Sm mutant on tomato (cv Bonny Best). (left) Tomato plants were inoculated by naturalistic soil soak (SS) inoculation: ~5x10</w:t>
      </w:r>
      <w:r w:rsidRPr="008E0360">
        <w:rPr>
          <w:sz w:val="20"/>
          <w:vertAlign w:val="superscript"/>
        </w:rPr>
        <w:t xml:space="preserve">8 </w:t>
      </w:r>
      <w:r w:rsidRPr="008E0360">
        <w:rPr>
          <w:sz w:val="20"/>
        </w:rPr>
        <w:t xml:space="preserve">CFU/g soil were poured into the pots of unwounded 17 day old tomato plants. (right) Tomato plants were directly inoculated by placing 50 CFU (in 2 ul droplet) onto the stump of a cut petiole. </w:t>
      </w:r>
      <w:r w:rsidR="008E0360" w:rsidRPr="008E0360">
        <w:rPr>
          <w:sz w:val="20"/>
        </w:rPr>
        <w:t xml:space="preserve">Symptoms are rated on 0-4 scale with 0 corresponding to unwilted and 1-4 corresponding to </w:t>
      </w:r>
      <w:r w:rsidR="008E0360" w:rsidRPr="008E0360">
        <w:rPr>
          <w:sz w:val="20"/>
          <w:u w:val="single"/>
        </w:rPr>
        <w:t>&lt;</w:t>
      </w:r>
      <w:r w:rsidR="008E0360" w:rsidRPr="008E0360">
        <w:rPr>
          <w:sz w:val="20"/>
        </w:rPr>
        <w:t xml:space="preserve">25%, </w:t>
      </w:r>
      <w:r w:rsidR="008E0360" w:rsidRPr="008E0360">
        <w:rPr>
          <w:sz w:val="20"/>
          <w:u w:val="single"/>
        </w:rPr>
        <w:t>&lt;</w:t>
      </w:r>
      <w:r w:rsidR="008E0360" w:rsidRPr="008E0360">
        <w:rPr>
          <w:sz w:val="20"/>
        </w:rPr>
        <w:t xml:space="preserve">50%, </w:t>
      </w:r>
      <w:r w:rsidR="008E0360" w:rsidRPr="008E0360">
        <w:rPr>
          <w:sz w:val="20"/>
          <w:u w:val="single"/>
        </w:rPr>
        <w:t>&lt;</w:t>
      </w:r>
      <w:r w:rsidR="008E0360" w:rsidRPr="008E0360">
        <w:rPr>
          <w:sz w:val="20"/>
        </w:rPr>
        <w:t xml:space="preserve">75%, </w:t>
      </w:r>
      <w:r w:rsidR="008E0360" w:rsidRPr="008E0360">
        <w:rPr>
          <w:sz w:val="20"/>
          <w:u w:val="single"/>
        </w:rPr>
        <w:t>&lt;</w:t>
      </w:r>
      <w:r w:rsidR="008E0360" w:rsidRPr="008E0360">
        <w:rPr>
          <w:sz w:val="20"/>
        </w:rPr>
        <w:t xml:space="preserve">100% leaves wilted.  Each rep consisted of 15 plants per strain (N=30 for SS and N=45 for Pet). </w:t>
      </w:r>
    </w:p>
    <w:p w:rsidR="00840603" w:rsidRDefault="00840603" w:rsidP="00840603">
      <w:pPr>
        <w:pStyle w:val="Heading2"/>
      </w:pPr>
      <w:r>
        <w:t>How did Tiffany become interested in RSp1579?</w:t>
      </w:r>
    </w:p>
    <w:p w:rsidR="00840603" w:rsidRPr="00840603" w:rsidRDefault="00840603" w:rsidP="00840603">
      <w:r>
        <w:t>by accident</w:t>
      </w:r>
    </w:p>
    <w:p w:rsidR="008E0360" w:rsidRDefault="008E0360" w:rsidP="002564D1">
      <w:r>
        <w:rPr>
          <w:noProof/>
        </w:rPr>
        <w:drawing>
          <wp:inline distT="0" distB="0" distL="0" distR="0" wp14:anchorId="5CA55AF3" wp14:editId="6A74E2C1">
            <wp:extent cx="5905500" cy="912838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6026" t="15955" r="3334" b="72877"/>
                    <a:stretch/>
                  </pic:blipFill>
                  <pic:spPr bwMode="auto">
                    <a:xfrm>
                      <a:off x="0" y="0"/>
                      <a:ext cx="6025112" cy="931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360" w:rsidRDefault="008E0360" w:rsidP="00840603">
      <w:pPr>
        <w:spacing w:line="240" w:lineRule="auto"/>
        <w:ind w:left="720"/>
        <w:rPr>
          <w:sz w:val="20"/>
        </w:rPr>
      </w:pPr>
      <w:r>
        <w:rPr>
          <w:b/>
          <w:sz w:val="20"/>
        </w:rPr>
        <w:t>Figure 2</w:t>
      </w:r>
      <w:r w:rsidRPr="008E0360">
        <w:rPr>
          <w:b/>
          <w:sz w:val="20"/>
        </w:rPr>
        <w:t>:</w:t>
      </w:r>
      <w:r w:rsidRPr="008E0360">
        <w:rPr>
          <w:sz w:val="20"/>
        </w:rPr>
        <w:t xml:space="preserve"> </w:t>
      </w:r>
      <w:r>
        <w:rPr>
          <w:sz w:val="20"/>
        </w:rPr>
        <w:t xml:space="preserve">Genomic locus of RSp1579.  Rsp1575-1577 encode subunits of an ABC transporter with predicted amino acid substrate. </w:t>
      </w:r>
      <w:r>
        <w:rPr>
          <w:i/>
          <w:sz w:val="20"/>
        </w:rPr>
        <w:t>speB</w:t>
      </w:r>
      <w:r>
        <w:rPr>
          <w:sz w:val="20"/>
        </w:rPr>
        <w:t xml:space="preserve"> encodes a putative arginase or agmatinase that may be involved in putrescine biosynthesis (</w:t>
      </w:r>
      <w:r w:rsidRPr="00840603">
        <w:rPr>
          <w:i/>
          <w:sz w:val="20"/>
        </w:rPr>
        <w:t>Tiffany was interested in this gene due to xylem sap metabolomics data</w:t>
      </w:r>
      <w:r>
        <w:rPr>
          <w:sz w:val="20"/>
        </w:rPr>
        <w:t xml:space="preserve">). Rsp1579 encodes a transcriptional regulator with a helix-turn-helix domain. </w:t>
      </w:r>
      <w:r w:rsidR="00840603">
        <w:rPr>
          <w:sz w:val="20"/>
        </w:rPr>
        <w:t xml:space="preserve">~500 bp downstream is a gene encoding a short “hypothetical” protein. </w:t>
      </w:r>
    </w:p>
    <w:p w:rsidR="00840603" w:rsidRDefault="00840603" w:rsidP="00840603">
      <w:r>
        <w:t xml:space="preserve">Tiffany wanted to make a </w:t>
      </w:r>
      <w:r>
        <w:rPr>
          <w:i/>
        </w:rPr>
        <w:t xml:space="preserve">Ralstonia </w:t>
      </w:r>
      <w:r>
        <w:t xml:space="preserve">strain that did not make putrescine, so she make a </w:t>
      </w:r>
      <w:r>
        <w:rPr>
          <w:i/>
        </w:rPr>
        <w:t xml:space="preserve">speB </w:t>
      </w:r>
      <w:r>
        <w:t xml:space="preserve">mutant where a gentamicin cassette replaced the </w:t>
      </w:r>
      <w:r>
        <w:rPr>
          <w:i/>
        </w:rPr>
        <w:t>speB</w:t>
      </w:r>
      <w:r>
        <w:t xml:space="preserve"> gene: </w:t>
      </w:r>
    </w:p>
    <w:p w:rsidR="00840603" w:rsidRDefault="00840603" w:rsidP="00840603">
      <w:r>
        <w:rPr>
          <w:noProof/>
        </w:rPr>
        <w:lastRenderedPageBreak/>
        <w:drawing>
          <wp:inline distT="0" distB="0" distL="0" distR="0" wp14:anchorId="34D48AB3" wp14:editId="58D9D5D5">
            <wp:extent cx="5778835" cy="960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897" t="14815" r="3205" b="73105"/>
                    <a:stretch/>
                  </pic:blipFill>
                  <pic:spPr bwMode="auto">
                    <a:xfrm>
                      <a:off x="0" y="0"/>
                      <a:ext cx="5799697" cy="963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603" w:rsidRDefault="004E7AF7" w:rsidP="00840603">
      <w:pPr>
        <w:spacing w:line="240" w:lineRule="auto"/>
        <w:ind w:left="720"/>
        <w:rPr>
          <w:sz w:val="20"/>
        </w:rPr>
      </w:pPr>
      <w:r>
        <w:rPr>
          <w:b/>
          <w:sz w:val="20"/>
        </w:rPr>
        <w:t>Figure 3</w:t>
      </w:r>
      <w:r w:rsidR="00840603" w:rsidRPr="008E0360">
        <w:rPr>
          <w:b/>
          <w:sz w:val="20"/>
        </w:rPr>
        <w:t>:</w:t>
      </w:r>
      <w:r w:rsidR="00840603" w:rsidRPr="008E0360">
        <w:rPr>
          <w:sz w:val="20"/>
        </w:rPr>
        <w:t xml:space="preserve"> </w:t>
      </w:r>
      <w:r w:rsidR="00840603">
        <w:rPr>
          <w:sz w:val="20"/>
        </w:rPr>
        <w:t xml:space="preserve">Genotype of </w:t>
      </w:r>
      <w:bookmarkStart w:id="0" w:name="OLE_LINK1"/>
      <w:r w:rsidR="00840603">
        <w:rPr>
          <w:sz w:val="20"/>
        </w:rPr>
        <w:t>Δ</w:t>
      </w:r>
      <w:r w:rsidR="00840603" w:rsidRPr="00840603">
        <w:rPr>
          <w:i/>
          <w:sz w:val="20"/>
        </w:rPr>
        <w:t>speB</w:t>
      </w:r>
      <w:r w:rsidR="00840603">
        <w:rPr>
          <w:sz w:val="20"/>
        </w:rPr>
        <w:t xml:space="preserve">::Gm. </w:t>
      </w:r>
      <w:bookmarkEnd w:id="0"/>
    </w:p>
    <w:p w:rsidR="00840603" w:rsidRDefault="00840603" w:rsidP="00840603">
      <w:pPr>
        <w:spacing w:line="240" w:lineRule="auto"/>
        <w:rPr>
          <w:sz w:val="20"/>
        </w:rPr>
      </w:pPr>
      <w:r>
        <w:rPr>
          <w:sz w:val="20"/>
        </w:rPr>
        <w:t xml:space="preserve">The </w:t>
      </w:r>
      <w:r>
        <w:rPr>
          <w:sz w:val="20"/>
        </w:rPr>
        <w:t>Δ</w:t>
      </w:r>
      <w:r w:rsidRPr="00840603">
        <w:rPr>
          <w:i/>
          <w:sz w:val="20"/>
        </w:rPr>
        <w:t>speB</w:t>
      </w:r>
      <w:r>
        <w:rPr>
          <w:sz w:val="20"/>
        </w:rPr>
        <w:t xml:space="preserve">::Gm strain was very exciting.  It was severely reduced in virulence, </w:t>
      </w:r>
      <w:r w:rsidR="004E7AF7">
        <w:rPr>
          <w:sz w:val="20"/>
        </w:rPr>
        <w:t xml:space="preserve">and hyper-twitched AKA it </w:t>
      </w:r>
      <w:r>
        <w:rPr>
          <w:sz w:val="20"/>
        </w:rPr>
        <w:t xml:space="preserve">constitutively displayed a twitching phenotype (wildtype only twitches at low cell density). </w:t>
      </w:r>
    </w:p>
    <w:p w:rsidR="00840603" w:rsidRDefault="00840603" w:rsidP="00840603">
      <w:pPr>
        <w:spacing w:line="240" w:lineRule="auto"/>
        <w:rPr>
          <w:noProof/>
        </w:rPr>
      </w:pPr>
      <w:r>
        <w:rPr>
          <w:noProof/>
          <w:sz w:val="20"/>
        </w:rPr>
        <w:drawing>
          <wp:inline distT="0" distB="0" distL="0" distR="0" wp14:anchorId="37ED404B" wp14:editId="23C85703">
            <wp:extent cx="1790700" cy="19602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t - speB__G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3" r="8559"/>
                    <a:stretch/>
                  </pic:blipFill>
                  <pic:spPr bwMode="auto">
                    <a:xfrm>
                      <a:off x="0" y="0"/>
                      <a:ext cx="1801414" cy="1971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40603">
        <w:rPr>
          <w:noProof/>
        </w:rPr>
        <w:t xml:space="preserve"> </w:t>
      </w:r>
      <w:r w:rsidR="00E86FE6">
        <w:rPr>
          <w:noProof/>
          <w:sz w:val="20"/>
        </w:rPr>
        <w:drawing>
          <wp:inline distT="0" distB="0" distL="0" distR="0">
            <wp:extent cx="4106501" cy="1435521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6" cy="14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FE6" w:rsidRDefault="00E86FE6" w:rsidP="00E86FE6">
      <w:pPr>
        <w:spacing w:line="240" w:lineRule="auto"/>
        <w:ind w:left="720"/>
        <w:rPr>
          <w:sz w:val="20"/>
        </w:rPr>
      </w:pPr>
      <w:r>
        <w:rPr>
          <w:b/>
          <w:sz w:val="20"/>
        </w:rPr>
        <w:t xml:space="preserve">Figure </w:t>
      </w:r>
      <w:r w:rsidR="004E7AF7">
        <w:rPr>
          <w:b/>
          <w:sz w:val="20"/>
        </w:rPr>
        <w:t>4</w:t>
      </w:r>
      <w:r w:rsidRPr="008E0360">
        <w:rPr>
          <w:b/>
          <w:sz w:val="20"/>
        </w:rPr>
        <w:t>:</w:t>
      </w:r>
      <w:r w:rsidRPr="008E0360">
        <w:rPr>
          <w:sz w:val="20"/>
        </w:rPr>
        <w:t xml:space="preserve"> </w:t>
      </w:r>
      <w:r>
        <w:rPr>
          <w:sz w:val="20"/>
        </w:rPr>
        <w:t>Phenotypes</w:t>
      </w:r>
      <w:r>
        <w:rPr>
          <w:sz w:val="20"/>
        </w:rPr>
        <w:t xml:space="preserve"> of Δ</w:t>
      </w:r>
      <w:r w:rsidRPr="00840603">
        <w:rPr>
          <w:i/>
          <w:sz w:val="20"/>
        </w:rPr>
        <w:t>speB</w:t>
      </w:r>
      <w:r>
        <w:rPr>
          <w:sz w:val="20"/>
        </w:rPr>
        <w:t xml:space="preserve">::Gm. </w:t>
      </w:r>
      <w:r>
        <w:rPr>
          <w:sz w:val="20"/>
        </w:rPr>
        <w:t xml:space="preserve">(left) </w:t>
      </w:r>
      <w:r>
        <w:rPr>
          <w:sz w:val="20"/>
        </w:rPr>
        <w:t>Δ</w:t>
      </w:r>
      <w:r w:rsidRPr="00840603">
        <w:rPr>
          <w:i/>
          <w:sz w:val="20"/>
        </w:rPr>
        <w:t>speB</w:t>
      </w:r>
      <w:r>
        <w:rPr>
          <w:sz w:val="20"/>
        </w:rPr>
        <w:t>::Gm</w:t>
      </w:r>
      <w:r>
        <w:rPr>
          <w:sz w:val="20"/>
        </w:rPr>
        <w:t xml:space="preserve"> was drastically reduced in virulence following direct petiole inoculations (50 cfu inoculum).  (right) Colony morphology of wild type (WT), Δ</w:t>
      </w:r>
      <w:r w:rsidRPr="00E86FE6">
        <w:rPr>
          <w:i/>
          <w:sz w:val="20"/>
        </w:rPr>
        <w:t>adi</w:t>
      </w:r>
      <w:r>
        <w:rPr>
          <w:sz w:val="20"/>
        </w:rPr>
        <w:t xml:space="preserve">::Sm, and </w:t>
      </w:r>
      <w:r>
        <w:rPr>
          <w:sz w:val="20"/>
        </w:rPr>
        <w:t>Δ</w:t>
      </w:r>
      <w:r w:rsidRPr="00840603">
        <w:rPr>
          <w:i/>
          <w:sz w:val="20"/>
        </w:rPr>
        <w:t>speB</w:t>
      </w:r>
      <w:r>
        <w:rPr>
          <w:sz w:val="20"/>
        </w:rPr>
        <w:t>::Gm</w:t>
      </w:r>
      <w:r>
        <w:rPr>
          <w:sz w:val="20"/>
        </w:rPr>
        <w:t xml:space="preserve">.  All strains appeared to produce EPS (extracellular polysaccharide) at high cell density—mucoid centers of the colonies.  WT has minor “colony fringe,” but the </w:t>
      </w:r>
      <w:r>
        <w:rPr>
          <w:sz w:val="20"/>
        </w:rPr>
        <w:t>Δ</w:t>
      </w:r>
      <w:r w:rsidRPr="00840603">
        <w:rPr>
          <w:i/>
          <w:sz w:val="20"/>
        </w:rPr>
        <w:t>speB</w:t>
      </w:r>
      <w:r>
        <w:rPr>
          <w:sz w:val="20"/>
        </w:rPr>
        <w:t>::Gm</w:t>
      </w:r>
      <w:r>
        <w:rPr>
          <w:sz w:val="20"/>
        </w:rPr>
        <w:t xml:space="preserve"> has significant colony fringe.  Increased colony fringe was shown to be produced by twitching motility because Δ</w:t>
      </w:r>
      <w:r>
        <w:rPr>
          <w:i/>
          <w:sz w:val="20"/>
        </w:rPr>
        <w:t>pilA</w:t>
      </w:r>
      <w:r>
        <w:rPr>
          <w:sz w:val="20"/>
        </w:rPr>
        <w:t>::tetAR mutation in the</w:t>
      </w:r>
      <w:r w:rsidRPr="00E86FE6">
        <w:rPr>
          <w:sz w:val="20"/>
        </w:rPr>
        <w:t xml:space="preserve"> </w:t>
      </w:r>
      <w:r>
        <w:rPr>
          <w:sz w:val="20"/>
        </w:rPr>
        <w:t>Δ</w:t>
      </w:r>
      <w:r w:rsidRPr="00840603">
        <w:rPr>
          <w:i/>
          <w:sz w:val="20"/>
        </w:rPr>
        <w:t>speB</w:t>
      </w:r>
      <w:r>
        <w:rPr>
          <w:sz w:val="20"/>
        </w:rPr>
        <w:t>::Gm</w:t>
      </w:r>
      <w:r>
        <w:rPr>
          <w:sz w:val="20"/>
        </w:rPr>
        <w:t xml:space="preserve"> strain background ablated the colony fringe (</w:t>
      </w:r>
      <w:r>
        <w:rPr>
          <w:i/>
          <w:sz w:val="20"/>
        </w:rPr>
        <w:t>pilA</w:t>
      </w:r>
      <w:r>
        <w:rPr>
          <w:sz w:val="20"/>
        </w:rPr>
        <w:t xml:space="preserve"> encodes the major pilin of the type IV pilus used in twitching motility).</w:t>
      </w:r>
    </w:p>
    <w:p w:rsidR="00E86FE6" w:rsidRDefault="00E86FE6" w:rsidP="00E86FE6">
      <w:r>
        <w:t xml:space="preserve">However… it soon became apparent that the </w:t>
      </w:r>
      <w:r>
        <w:rPr>
          <w:sz w:val="20"/>
        </w:rPr>
        <w:t>Δ</w:t>
      </w:r>
      <w:r w:rsidRPr="00840603">
        <w:rPr>
          <w:i/>
          <w:sz w:val="20"/>
        </w:rPr>
        <w:t>speB</w:t>
      </w:r>
      <w:r>
        <w:rPr>
          <w:sz w:val="20"/>
        </w:rPr>
        <w:t>::Gm strain</w:t>
      </w:r>
      <w:r>
        <w:rPr>
          <w:sz w:val="20"/>
        </w:rPr>
        <w:t xml:space="preserve"> was </w:t>
      </w:r>
      <w:r>
        <w:rPr>
          <w:i/>
          <w:sz w:val="20"/>
        </w:rPr>
        <w:t>too</w:t>
      </w:r>
      <w:r>
        <w:rPr>
          <w:sz w:val="20"/>
        </w:rPr>
        <w:t xml:space="preserve"> exciting, and I became worried that the marked deletion was having unintended effects on expression of the the RSp1579 transcriptional regulator.  So I made a Δ</w:t>
      </w:r>
      <w:r w:rsidRPr="00E86FE6">
        <w:rPr>
          <w:i/>
          <w:sz w:val="20"/>
        </w:rPr>
        <w:t>speB</w:t>
      </w:r>
      <w:r>
        <w:rPr>
          <w:i/>
          <w:sz w:val="20"/>
        </w:rPr>
        <w:t xml:space="preserve"> </w:t>
      </w:r>
      <w:r>
        <w:t xml:space="preserve">mutant where the </w:t>
      </w:r>
      <w:r>
        <w:rPr>
          <w:i/>
        </w:rPr>
        <w:t xml:space="preserve">speB </w:t>
      </w:r>
      <w:r>
        <w:t>gene was cleanly deleted (using a vector with positive Kanamycin selection and negative sucrose sensitivity selection [</w:t>
      </w:r>
      <w:r>
        <w:rPr>
          <w:i/>
        </w:rPr>
        <w:t xml:space="preserve">sacB </w:t>
      </w:r>
      <w:r>
        <w:t xml:space="preserve">gene]). </w:t>
      </w:r>
      <w:r w:rsidR="004E7AF7">
        <w:t xml:space="preserve">I also made a marked ΔRSp1579::Gm strain to determine whether the </w:t>
      </w:r>
      <w:r w:rsidR="004E7AF7">
        <w:rPr>
          <w:sz w:val="20"/>
        </w:rPr>
        <w:t>Δ</w:t>
      </w:r>
      <w:r w:rsidR="004E7AF7" w:rsidRPr="00840603">
        <w:rPr>
          <w:i/>
          <w:sz w:val="20"/>
        </w:rPr>
        <w:t>speB</w:t>
      </w:r>
      <w:r w:rsidR="004E7AF7">
        <w:rPr>
          <w:sz w:val="20"/>
        </w:rPr>
        <w:t xml:space="preserve">::Gm </w:t>
      </w:r>
      <w:r w:rsidR="004E7AF7">
        <w:t xml:space="preserve">phenotypes were due to less/no expression of the RSp1579 gene. </w:t>
      </w:r>
    </w:p>
    <w:p w:rsidR="00E86FE6" w:rsidRDefault="00E86FE6" w:rsidP="004E7AF7">
      <w:pPr>
        <w:spacing w:after="0"/>
      </w:pPr>
      <w:r>
        <w:rPr>
          <w:noProof/>
        </w:rPr>
        <w:drawing>
          <wp:inline distT="0" distB="0" distL="0" distR="0" wp14:anchorId="5CE73AB6" wp14:editId="24A9C390">
            <wp:extent cx="6015990" cy="78486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281" t="16864" r="3334" b="73769"/>
                    <a:stretch/>
                  </pic:blipFill>
                  <pic:spPr bwMode="auto">
                    <a:xfrm>
                      <a:off x="0" y="0"/>
                      <a:ext cx="6115305" cy="797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AF7" w:rsidRDefault="004E7AF7" w:rsidP="00E86FE6">
      <w:r>
        <w:rPr>
          <w:noProof/>
        </w:rPr>
        <w:drawing>
          <wp:inline distT="0" distB="0" distL="0" distR="0" wp14:anchorId="0CDD62FC" wp14:editId="116109A4">
            <wp:extent cx="6018181" cy="80772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769" t="16650" r="3205" b="73561"/>
                    <a:stretch/>
                  </pic:blipFill>
                  <pic:spPr bwMode="auto">
                    <a:xfrm>
                      <a:off x="0" y="0"/>
                      <a:ext cx="6075992" cy="815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FE6" w:rsidRDefault="00E86FE6" w:rsidP="004E7AF7">
      <w:pPr>
        <w:spacing w:line="240" w:lineRule="auto"/>
        <w:ind w:left="720"/>
        <w:rPr>
          <w:sz w:val="20"/>
        </w:rPr>
      </w:pPr>
      <w:r>
        <w:rPr>
          <w:b/>
          <w:sz w:val="20"/>
        </w:rPr>
        <w:t xml:space="preserve">Figure </w:t>
      </w:r>
      <w:r w:rsidR="004E7AF7">
        <w:rPr>
          <w:b/>
          <w:sz w:val="20"/>
        </w:rPr>
        <w:t>5</w:t>
      </w:r>
      <w:r w:rsidRPr="008E0360">
        <w:rPr>
          <w:b/>
          <w:sz w:val="20"/>
        </w:rPr>
        <w:t>:</w:t>
      </w:r>
      <w:r w:rsidRPr="008E0360">
        <w:rPr>
          <w:sz w:val="20"/>
        </w:rPr>
        <w:t xml:space="preserve"> </w:t>
      </w:r>
      <w:r>
        <w:rPr>
          <w:sz w:val="20"/>
        </w:rPr>
        <w:t>Genotype of</w:t>
      </w:r>
      <w:r>
        <w:rPr>
          <w:sz w:val="20"/>
        </w:rPr>
        <w:t xml:space="preserve"> </w:t>
      </w:r>
      <w:r w:rsidR="004E7AF7">
        <w:rPr>
          <w:sz w:val="20"/>
        </w:rPr>
        <w:t xml:space="preserve">(top) </w:t>
      </w:r>
      <w:r>
        <w:rPr>
          <w:sz w:val="20"/>
        </w:rPr>
        <w:t>Δ</w:t>
      </w:r>
      <w:r w:rsidRPr="00840603">
        <w:rPr>
          <w:i/>
          <w:sz w:val="20"/>
        </w:rPr>
        <w:t>speB</w:t>
      </w:r>
      <w:r w:rsidR="004E7AF7">
        <w:rPr>
          <w:sz w:val="20"/>
        </w:rPr>
        <w:t xml:space="preserve"> and (bottom) </w:t>
      </w:r>
      <w:r w:rsidR="004E7AF7" w:rsidRPr="004E7AF7">
        <w:rPr>
          <w:sz w:val="20"/>
        </w:rPr>
        <w:t>ΔRSp1579::Gm</w:t>
      </w:r>
    </w:p>
    <w:p w:rsidR="004E7AF7" w:rsidRPr="00311350" w:rsidRDefault="004E7AF7" w:rsidP="004E7AF7">
      <w:pPr>
        <w:tabs>
          <w:tab w:val="left" w:pos="1848"/>
        </w:tabs>
        <w:rPr>
          <w:sz w:val="20"/>
        </w:rPr>
      </w:pPr>
      <w:r>
        <w:rPr>
          <w:sz w:val="20"/>
        </w:rPr>
        <w:lastRenderedPageBreak/>
        <w:t xml:space="preserve">The </w:t>
      </w:r>
      <w:r>
        <w:rPr>
          <w:sz w:val="20"/>
        </w:rPr>
        <w:t>Δ</w:t>
      </w:r>
      <w:r w:rsidRPr="00840603">
        <w:rPr>
          <w:i/>
          <w:sz w:val="20"/>
        </w:rPr>
        <w:t>speB</w:t>
      </w:r>
      <w:r>
        <w:rPr>
          <w:sz w:val="20"/>
        </w:rPr>
        <w:t xml:space="preserve"> strain does not have a virulence defect, and it does not hypertwitch. To my surprise, the ΔRSp1579::Gm strain had a virulence defect, but it does not obviously hypertwitch (careful assay has not been performed). qRT-PCR indicated that RSp1579 was expressed ~10-fold higher in </w:t>
      </w:r>
      <w:r>
        <w:t xml:space="preserve">the </w:t>
      </w:r>
      <w:r>
        <w:rPr>
          <w:sz w:val="20"/>
        </w:rPr>
        <w:t>Δ</w:t>
      </w:r>
      <w:r w:rsidRPr="00840603">
        <w:rPr>
          <w:i/>
          <w:sz w:val="20"/>
        </w:rPr>
        <w:t>speB</w:t>
      </w:r>
      <w:r>
        <w:rPr>
          <w:sz w:val="20"/>
        </w:rPr>
        <w:t>::Gm</w:t>
      </w:r>
      <w:r>
        <w:rPr>
          <w:sz w:val="20"/>
        </w:rPr>
        <w:t xml:space="preserve"> strain (Fig 6).  </w:t>
      </w:r>
      <w:r w:rsidR="00311350">
        <w:rPr>
          <w:sz w:val="20"/>
        </w:rPr>
        <w:t xml:space="preserve">We were surprised to see that </w:t>
      </w:r>
      <w:r w:rsidR="00311350">
        <w:rPr>
          <w:i/>
          <w:sz w:val="20"/>
        </w:rPr>
        <w:t>pilA</w:t>
      </w:r>
      <w:r w:rsidR="00311350">
        <w:rPr>
          <w:sz w:val="20"/>
        </w:rPr>
        <w:t xml:space="preserve"> expression was not affected in the </w:t>
      </w:r>
      <w:r w:rsidR="00311350">
        <w:rPr>
          <w:sz w:val="20"/>
        </w:rPr>
        <w:t>Δ</w:t>
      </w:r>
      <w:r w:rsidR="00311350" w:rsidRPr="00840603">
        <w:rPr>
          <w:i/>
          <w:sz w:val="20"/>
        </w:rPr>
        <w:t>speB</w:t>
      </w:r>
      <w:r w:rsidR="00311350">
        <w:rPr>
          <w:sz w:val="20"/>
        </w:rPr>
        <w:t>::Gm strain</w:t>
      </w:r>
      <w:r w:rsidR="00311350">
        <w:rPr>
          <w:sz w:val="20"/>
        </w:rPr>
        <w:t xml:space="preserve">.  This result indicates that the hypertwitching phenotype is not due to transcriptional regulation of </w:t>
      </w:r>
      <w:r w:rsidR="00311350">
        <w:rPr>
          <w:i/>
          <w:sz w:val="20"/>
        </w:rPr>
        <w:t>pilA</w:t>
      </w:r>
      <w:r w:rsidR="00311350">
        <w:rPr>
          <w:sz w:val="20"/>
        </w:rPr>
        <w:t xml:space="preserve">. </w:t>
      </w:r>
    </w:p>
    <w:p w:rsidR="004E7AF7" w:rsidRDefault="004E7AF7" w:rsidP="004E7AF7">
      <w:pPr>
        <w:tabs>
          <w:tab w:val="left" w:pos="1848"/>
        </w:tabs>
      </w:pPr>
      <w:r>
        <w:rPr>
          <w:noProof/>
        </w:rPr>
        <w:drawing>
          <wp:inline distT="0" distB="0" distL="0" distR="0">
            <wp:extent cx="2448560" cy="2894489"/>
            <wp:effectExtent l="0" t="0" r="889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Sp157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879" cy="290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r>
        <w:rPr>
          <w:noProof/>
        </w:rPr>
        <w:drawing>
          <wp:inline distT="0" distB="0" distL="0" distR="0">
            <wp:extent cx="2439578" cy="289195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l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187" cy="289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4E7AF7" w:rsidRPr="004E7AF7" w:rsidRDefault="004E7AF7" w:rsidP="004E7AF7">
      <w:pPr>
        <w:spacing w:line="240" w:lineRule="auto"/>
        <w:ind w:left="720"/>
        <w:rPr>
          <w:sz w:val="20"/>
        </w:rPr>
      </w:pPr>
      <w:r>
        <w:rPr>
          <w:b/>
          <w:sz w:val="20"/>
        </w:rPr>
        <w:t xml:space="preserve">Figure </w:t>
      </w:r>
      <w:r>
        <w:rPr>
          <w:b/>
          <w:sz w:val="20"/>
        </w:rPr>
        <w:t>6</w:t>
      </w:r>
      <w:r w:rsidRPr="008E0360">
        <w:rPr>
          <w:b/>
          <w:sz w:val="20"/>
        </w:rPr>
        <w:t>:</w:t>
      </w:r>
      <w:r w:rsidRPr="008E0360">
        <w:rPr>
          <w:sz w:val="20"/>
        </w:rPr>
        <w:t xml:space="preserve"> </w:t>
      </w:r>
      <w:r>
        <w:rPr>
          <w:sz w:val="20"/>
        </w:rPr>
        <w:t xml:space="preserve">Expression of (left) RSp1579 and (right) </w:t>
      </w:r>
      <w:r>
        <w:rPr>
          <w:i/>
          <w:sz w:val="20"/>
        </w:rPr>
        <w:t>pilA</w:t>
      </w:r>
      <w:r>
        <w:rPr>
          <w:sz w:val="20"/>
        </w:rPr>
        <w:t xml:space="preserve"> in </w:t>
      </w:r>
      <w:r w:rsidR="00311350">
        <w:rPr>
          <w:sz w:val="20"/>
        </w:rPr>
        <w:t xml:space="preserve">mutant strains. </w:t>
      </w:r>
    </w:p>
    <w:p w:rsidR="004E7AF7" w:rsidRDefault="004E7AF7" w:rsidP="004E7AF7">
      <w:pPr>
        <w:tabs>
          <w:tab w:val="left" w:pos="1848"/>
        </w:tabs>
      </w:pPr>
    </w:p>
    <w:p w:rsidR="00311350" w:rsidRDefault="00311350" w:rsidP="00311350">
      <w:pPr>
        <w:pStyle w:val="Heading2"/>
      </w:pPr>
      <w:r>
        <w:t>Aims for the rotation project</w:t>
      </w:r>
    </w:p>
    <w:p w:rsidR="00311350" w:rsidRDefault="00311350" w:rsidP="00311350">
      <w:pPr>
        <w:pStyle w:val="ListParagraph"/>
        <w:numPr>
          <w:ilvl w:val="0"/>
          <w:numId w:val="1"/>
        </w:numPr>
      </w:pPr>
      <w:r>
        <w:t>Determine whether the Δ</w:t>
      </w:r>
      <w:r w:rsidR="003130F1">
        <w:t>RSp1579::G</w:t>
      </w:r>
      <w:r>
        <w:t>m strain have a colonization defect following petiole inoculation.</w:t>
      </w:r>
    </w:p>
    <w:p w:rsidR="00311350" w:rsidRDefault="00311350" w:rsidP="00311350">
      <w:pPr>
        <w:pStyle w:val="ListParagraph"/>
        <w:numPr>
          <w:ilvl w:val="0"/>
          <w:numId w:val="1"/>
        </w:numPr>
      </w:pPr>
      <w:r>
        <w:t xml:space="preserve">Determine whether </w:t>
      </w:r>
      <w:r>
        <w:t>ΔRSp1579::</w:t>
      </w:r>
      <w:r w:rsidR="003130F1">
        <w:t>G</w:t>
      </w:r>
      <w:r>
        <w:t>m strain</w:t>
      </w:r>
      <w:r>
        <w:t xml:space="preserve"> has altered twitching behavior</w:t>
      </w:r>
    </w:p>
    <w:p w:rsidR="001B6621" w:rsidRDefault="001B6621" w:rsidP="00311350">
      <w:pPr>
        <w:pStyle w:val="ListParagraph"/>
        <w:numPr>
          <w:ilvl w:val="0"/>
          <w:numId w:val="1"/>
        </w:numPr>
      </w:pPr>
      <w:r>
        <w:t xml:space="preserve">Determine whether </w:t>
      </w:r>
      <w:r>
        <w:t>ΔRSp1579::</w:t>
      </w:r>
      <w:r w:rsidR="003130F1">
        <w:t>G</w:t>
      </w:r>
      <w:r>
        <w:t>m strain</w:t>
      </w:r>
      <w:r>
        <w:t xml:space="preserve"> produces normal biofilms (Tuan Tran will help)</w:t>
      </w:r>
    </w:p>
    <w:p w:rsidR="00606D25" w:rsidRDefault="00606D25" w:rsidP="00311350">
      <w:pPr>
        <w:pStyle w:val="ListParagraph"/>
        <w:numPr>
          <w:ilvl w:val="0"/>
          <w:numId w:val="1"/>
        </w:numPr>
      </w:pPr>
      <w:r>
        <w:t>Determine whether ΔRSp1579::</w:t>
      </w:r>
      <w:r w:rsidR="003130F1">
        <w:t>G</w:t>
      </w:r>
      <w:r>
        <w:t>m strain</w:t>
      </w:r>
      <w:r w:rsidRPr="00606D25">
        <w:t xml:space="preserve"> </w:t>
      </w:r>
      <w:r w:rsidR="003130F1">
        <w:t xml:space="preserve">is hypersensitive to ROS (Alicia will help with the H2O2 overlay experiment in her lab meeting). </w:t>
      </w:r>
    </w:p>
    <w:p w:rsidR="003130F1" w:rsidRDefault="003130F1" w:rsidP="00311350">
      <w:pPr>
        <w:pStyle w:val="ListParagraph"/>
        <w:numPr>
          <w:ilvl w:val="0"/>
          <w:numId w:val="1"/>
        </w:numPr>
      </w:pPr>
      <w:r>
        <w:t xml:space="preserve">Control: Is there overexpression of RSp1580 gene encoding a hypothetical protein in strains </w:t>
      </w:r>
      <w:r>
        <w:t>Δ</w:t>
      </w:r>
      <w:r>
        <w:t xml:space="preserve">speB::Gm and </w:t>
      </w:r>
      <w:r>
        <w:t>ΔRSp1579::Gm</w:t>
      </w:r>
    </w:p>
    <w:p w:rsidR="00311350" w:rsidRPr="00311350" w:rsidRDefault="00311350" w:rsidP="00311350">
      <w:pPr>
        <w:pStyle w:val="ListParagraph"/>
      </w:pPr>
    </w:p>
    <w:p w:rsidR="004E7AF7" w:rsidRPr="00E86FE6" w:rsidRDefault="004E7AF7" w:rsidP="004E7AF7">
      <w:pPr>
        <w:tabs>
          <w:tab w:val="left" w:pos="1848"/>
        </w:tabs>
      </w:pPr>
    </w:p>
    <w:p w:rsidR="00840603" w:rsidRPr="00840603" w:rsidRDefault="00840603" w:rsidP="00840603"/>
    <w:p w:rsidR="008E0360" w:rsidRDefault="008E0360" w:rsidP="002564D1"/>
    <w:p w:rsidR="008E0360" w:rsidRPr="008E0360" w:rsidRDefault="008E0360" w:rsidP="002564D1"/>
    <w:sectPr w:rsidR="008E0360" w:rsidRPr="008E03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3A3EB1"/>
    <w:multiLevelType w:val="hybridMultilevel"/>
    <w:tmpl w:val="AA66A7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4D1"/>
    <w:rsid w:val="001B6621"/>
    <w:rsid w:val="002564D1"/>
    <w:rsid w:val="00311350"/>
    <w:rsid w:val="003130F1"/>
    <w:rsid w:val="004E7AF7"/>
    <w:rsid w:val="00606D25"/>
    <w:rsid w:val="00820A78"/>
    <w:rsid w:val="00840603"/>
    <w:rsid w:val="008E0360"/>
    <w:rsid w:val="00B40D50"/>
    <w:rsid w:val="00B75A60"/>
    <w:rsid w:val="00E86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9EAFA6-9E57-417F-8F76-0642DF9FD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64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06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64D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4060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84060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1135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66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62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2409</TotalTime>
  <Pages>3</Pages>
  <Words>603</Words>
  <Characters>3442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Wisconsin - Madison</Company>
  <LinksUpToDate>false</LinksUpToDate>
  <CharactersWithSpaces>4037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Tiffany Lowe</dc:creator>
  <cp:keywords/>
  <dc:description/>
  <cp:lastModifiedBy>Tiffany Lowe</cp:lastModifiedBy>
  <cp:revision>4</cp:revision>
  <cp:lastPrinted>2015-09-01T19:30:00Z</cp:lastPrinted>
  <dcterms:created xsi:type="dcterms:W3CDTF">2015-08-31T19:07:00Z</dcterms:created>
  <dcterms:modified xsi:type="dcterms:W3CDTF">2015-09-03T17:19:00Z</dcterms:modified>
</cp:coreProperties>
</file>