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306" w:rsidRPr="00DB6435" w:rsidRDefault="006F5306" w:rsidP="00C07522">
      <w:pPr>
        <w:pStyle w:val="NoSpacing"/>
        <w:rPr>
          <w:u w:val="single"/>
        </w:rPr>
      </w:pPr>
      <w:r w:rsidRPr="00DB6435">
        <w:rPr>
          <w:u w:val="single"/>
        </w:rPr>
        <w:t>Background</w:t>
      </w:r>
    </w:p>
    <w:p w:rsidR="00C07522" w:rsidRDefault="00C07522" w:rsidP="00C07522">
      <w:pPr>
        <w:pStyle w:val="NoSpacing"/>
      </w:pPr>
    </w:p>
    <w:p w:rsidR="0056532A" w:rsidRDefault="0056532A" w:rsidP="00C653DF">
      <w:pPr>
        <w:pStyle w:val="NoSpacing"/>
      </w:pPr>
      <w:r>
        <w:rPr>
          <w:noProof/>
        </w:rPr>
        <w:drawing>
          <wp:anchor distT="0" distB="0" distL="114300" distR="114300" simplePos="0" relativeHeight="251658240" behindDoc="0" locked="0" layoutInCell="1" allowOverlap="1" wp14:anchorId="74146200" wp14:editId="4D009A20">
            <wp:simplePos x="0" y="0"/>
            <wp:positionH relativeFrom="column">
              <wp:posOffset>0</wp:posOffset>
            </wp:positionH>
            <wp:positionV relativeFrom="paragraph">
              <wp:posOffset>451485</wp:posOffset>
            </wp:positionV>
            <wp:extent cx="1958340" cy="8229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As.png"/>
                    <pic:cNvPicPr/>
                  </pic:nvPicPr>
                  <pic:blipFill rotWithShape="1">
                    <a:blip r:embed="rId8">
                      <a:extLst>
                        <a:ext uri="{28A0092B-C50C-407E-A947-70E740481C1C}">
                          <a14:useLocalDpi xmlns:a14="http://schemas.microsoft.com/office/drawing/2010/main" val="0"/>
                        </a:ext>
                      </a:extLst>
                    </a:blip>
                    <a:srcRect r="3019" b="8475"/>
                    <a:stretch/>
                  </pic:blipFill>
                  <pic:spPr bwMode="auto">
                    <a:xfrm>
                      <a:off x="0" y="0"/>
                      <a:ext cx="1958340" cy="822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5306">
        <w:rPr>
          <w:i/>
        </w:rPr>
        <w:t xml:space="preserve">R. </w:t>
      </w:r>
      <w:proofErr w:type="spellStart"/>
      <w:r w:rsidR="006F5306">
        <w:rPr>
          <w:i/>
        </w:rPr>
        <w:t>solanacearum</w:t>
      </w:r>
      <w:proofErr w:type="spellEnd"/>
      <w:r w:rsidR="006F5306">
        <w:rPr>
          <w:i/>
        </w:rPr>
        <w:t xml:space="preserve"> </w:t>
      </w:r>
      <w:r w:rsidR="006F5306">
        <w:t xml:space="preserve">is a broad host-range plant vascular pathogen. </w:t>
      </w:r>
      <w:r w:rsidR="006F5306">
        <w:t>Plants defend themselves from pathogens by producing</w:t>
      </w:r>
      <w:r w:rsidR="009504B3">
        <w:t xml:space="preserve"> antimicrobial </w:t>
      </w:r>
      <w:proofErr w:type="spellStart"/>
      <w:r w:rsidR="009504B3">
        <w:t>phenylpropanoid</w:t>
      </w:r>
      <w:proofErr w:type="spellEnd"/>
      <w:r w:rsidR="009504B3">
        <w:t xml:space="preserve"> </w:t>
      </w:r>
      <w:r w:rsidR="006F5306">
        <w:t>compounds</w:t>
      </w:r>
      <w:r w:rsidR="009504B3">
        <w:t xml:space="preserve"> (phenyl groups attached to a 3-carbon chain)</w:t>
      </w:r>
      <w:r w:rsidR="006F5306">
        <w:t>.</w:t>
      </w:r>
      <w:r w:rsidR="006F5306">
        <w:t xml:space="preserve"> </w:t>
      </w:r>
      <w:r w:rsidR="00F20BA6">
        <w:t xml:space="preserve">For my project, I’m looking at a class of </w:t>
      </w:r>
      <w:proofErr w:type="spellStart"/>
      <w:r w:rsidR="00F20BA6">
        <w:t>phenylpropanoids</w:t>
      </w:r>
      <w:proofErr w:type="spellEnd"/>
      <w:r w:rsidR="00F20BA6">
        <w:t xml:space="preserve"> called hydroxycinnamic acids (HCAs). </w:t>
      </w:r>
      <w:r>
        <w:t xml:space="preserve">In plants, the major HCAs are </w:t>
      </w:r>
      <w:proofErr w:type="spellStart"/>
      <w:r>
        <w:t>ferulic</w:t>
      </w:r>
      <w:proofErr w:type="spellEnd"/>
      <w:r>
        <w:t xml:space="preserve"> acid, </w:t>
      </w:r>
      <w:proofErr w:type="spellStart"/>
      <w:r>
        <w:t>coumaric</w:t>
      </w:r>
      <w:proofErr w:type="spellEnd"/>
      <w:r>
        <w:t xml:space="preserve"> acid, and </w:t>
      </w:r>
      <w:proofErr w:type="spellStart"/>
      <w:r>
        <w:t>caffeic</w:t>
      </w:r>
      <w:proofErr w:type="spellEnd"/>
      <w:r>
        <w:t xml:space="preserve"> acid.  HCAs inhibit growth by disrupting bacterial membranes, which abolishes electrochemical potentials required for ATP generation by oxidative phosphorylation.  </w:t>
      </w:r>
    </w:p>
    <w:p w:rsidR="00C653DF" w:rsidRDefault="00C653DF" w:rsidP="00C653DF">
      <w:pPr>
        <w:pStyle w:val="NoSpacing"/>
      </w:pPr>
    </w:p>
    <w:p w:rsidR="006F5306" w:rsidRDefault="006F5306" w:rsidP="00C653DF">
      <w:pPr>
        <w:pStyle w:val="NoSpacing"/>
      </w:pPr>
      <w:r>
        <w:rPr>
          <w:i/>
        </w:rPr>
        <w:t xml:space="preserve">In </w:t>
      </w:r>
      <w:proofErr w:type="spellStart"/>
      <w:r>
        <w:rPr>
          <w:i/>
        </w:rPr>
        <w:t>planta</w:t>
      </w:r>
      <w:proofErr w:type="spellEnd"/>
      <w:r>
        <w:rPr>
          <w:i/>
        </w:rPr>
        <w:t xml:space="preserve"> </w:t>
      </w:r>
      <w:proofErr w:type="spellStart"/>
      <w:r>
        <w:t>transcriptome</w:t>
      </w:r>
      <w:proofErr w:type="spellEnd"/>
      <w:r>
        <w:t xml:space="preserve"> profiles of </w:t>
      </w:r>
      <w:r>
        <w:rPr>
          <w:i/>
        </w:rPr>
        <w:t xml:space="preserve">R. </w:t>
      </w:r>
      <w:proofErr w:type="spellStart"/>
      <w:r>
        <w:rPr>
          <w:i/>
        </w:rPr>
        <w:t>solanacearum</w:t>
      </w:r>
      <w:proofErr w:type="spellEnd"/>
      <w:r>
        <w:t xml:space="preserve"> indicate </w:t>
      </w:r>
      <w:r w:rsidRPr="00E900DF">
        <w:t>that this pathogen</w:t>
      </w:r>
      <w:r>
        <w:rPr>
          <w:i/>
        </w:rPr>
        <w:t xml:space="preserve"> </w:t>
      </w:r>
      <w:r>
        <w:t>expresses a pathway encoding degradation of hydroxycinnamic acids (HCAs)</w:t>
      </w:r>
      <w:r w:rsidR="00C653DF">
        <w:t>:</w:t>
      </w:r>
    </w:p>
    <w:p w:rsidR="009504B3" w:rsidRPr="006F5306" w:rsidRDefault="00F20BA6" w:rsidP="00C07522">
      <w:pPr>
        <w:pStyle w:val="NoSpacing"/>
      </w:pPr>
      <w:r>
        <w:rPr>
          <w:noProof/>
        </w:rPr>
        <w:drawing>
          <wp:inline distT="0" distB="0" distL="0" distR="0">
            <wp:extent cx="5943600"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A detoxification pathway.png"/>
                    <pic:cNvPicPr/>
                  </pic:nvPicPr>
                  <pic:blipFill rotWithShape="1">
                    <a:blip r:embed="rId9" cstate="print">
                      <a:extLst>
                        <a:ext uri="{28A0092B-C50C-407E-A947-70E740481C1C}">
                          <a14:useLocalDpi xmlns:a14="http://schemas.microsoft.com/office/drawing/2010/main" val="0"/>
                        </a:ext>
                      </a:extLst>
                    </a:blip>
                    <a:srcRect t="2625" b="3528"/>
                    <a:stretch/>
                  </pic:blipFill>
                  <pic:spPr bwMode="auto">
                    <a:xfrm>
                      <a:off x="0" y="0"/>
                      <a:ext cx="5943600" cy="2179320"/>
                    </a:xfrm>
                    <a:prstGeom prst="rect">
                      <a:avLst/>
                    </a:prstGeom>
                    <a:ln>
                      <a:noFill/>
                    </a:ln>
                    <a:extLst>
                      <a:ext uri="{53640926-AAD7-44D8-BBD7-CCE9431645EC}">
                        <a14:shadowObscured xmlns:a14="http://schemas.microsoft.com/office/drawing/2010/main"/>
                      </a:ext>
                    </a:extLst>
                  </pic:spPr>
                </pic:pic>
              </a:graphicData>
            </a:graphic>
          </wp:inline>
        </w:drawing>
      </w:r>
    </w:p>
    <w:p w:rsidR="006F5306" w:rsidRDefault="009504B3" w:rsidP="00C07522">
      <w:pPr>
        <w:pStyle w:val="NoSpacing"/>
        <w:rPr>
          <w:sz w:val="18"/>
        </w:rPr>
      </w:pPr>
      <w:proofErr w:type="gramStart"/>
      <w:r w:rsidRPr="00C07522">
        <w:rPr>
          <w:sz w:val="18"/>
        </w:rPr>
        <w:t>Fig 1.</w:t>
      </w:r>
      <w:proofErr w:type="gramEnd"/>
      <w:r w:rsidRPr="00C07522">
        <w:rPr>
          <w:sz w:val="18"/>
        </w:rPr>
        <w:t xml:space="preserve"> </w:t>
      </w:r>
      <w:proofErr w:type="gramStart"/>
      <w:r w:rsidRPr="00C07522">
        <w:rPr>
          <w:sz w:val="18"/>
        </w:rPr>
        <w:t>The HCA detoxification pathway.</w:t>
      </w:r>
      <w:proofErr w:type="gramEnd"/>
      <w:r w:rsidRPr="00C07522">
        <w:rPr>
          <w:sz w:val="18"/>
        </w:rPr>
        <w:t xml:space="preserve">  </w:t>
      </w:r>
      <w:r w:rsidR="00C07522" w:rsidRPr="00C07522">
        <w:rPr>
          <w:sz w:val="18"/>
        </w:rPr>
        <w:t>Enzymes responsible for catalyzing each step are listed by the arrows.  Arrows with the same “dashing” are reactions performed by the same enzyme. Names of the molecules are below the molecule.  The labels for the first 3 molecules only apply when R=OCH</w:t>
      </w:r>
      <w:r w:rsidR="00C07522" w:rsidRPr="00C07522">
        <w:rPr>
          <w:sz w:val="18"/>
          <w:vertAlign w:val="subscript"/>
        </w:rPr>
        <w:t>3</w:t>
      </w:r>
      <w:r w:rsidR="00C07522" w:rsidRPr="00C07522">
        <w:rPr>
          <w:sz w:val="18"/>
        </w:rPr>
        <w:t xml:space="preserve">. Colored font on each product indicates the changes performed by the enzyme(s) of the corresponding color. </w:t>
      </w:r>
      <w:proofErr w:type="gramStart"/>
      <w:r w:rsidR="00C07522" w:rsidRPr="00C07522">
        <w:rPr>
          <w:sz w:val="18"/>
        </w:rPr>
        <w:t xml:space="preserve">The relative expression of each gene in </w:t>
      </w:r>
      <w:r w:rsidR="00C07522" w:rsidRPr="00C07522">
        <w:rPr>
          <w:i/>
          <w:sz w:val="18"/>
        </w:rPr>
        <w:t xml:space="preserve">R. </w:t>
      </w:r>
      <w:proofErr w:type="spellStart"/>
      <w:r w:rsidR="00C07522" w:rsidRPr="00C07522">
        <w:rPr>
          <w:i/>
          <w:sz w:val="18"/>
        </w:rPr>
        <w:t>solanacearum</w:t>
      </w:r>
      <w:proofErr w:type="spellEnd"/>
      <w:r w:rsidR="00C07522" w:rsidRPr="00C07522">
        <w:rPr>
          <w:i/>
          <w:sz w:val="18"/>
        </w:rPr>
        <w:t xml:space="preserve"> </w:t>
      </w:r>
      <w:r w:rsidR="00C07522" w:rsidRPr="00C07522">
        <w:rPr>
          <w:sz w:val="18"/>
        </w:rPr>
        <w:t xml:space="preserve">GMI1000 </w:t>
      </w:r>
      <w:r w:rsidR="00C07522" w:rsidRPr="00C07522">
        <w:rPr>
          <w:i/>
          <w:sz w:val="18"/>
        </w:rPr>
        <w:t xml:space="preserve">in </w:t>
      </w:r>
      <w:proofErr w:type="spellStart"/>
      <w:r w:rsidR="00C07522" w:rsidRPr="00C07522">
        <w:rPr>
          <w:i/>
          <w:sz w:val="18"/>
        </w:rPr>
        <w:t>planta</w:t>
      </w:r>
      <w:proofErr w:type="spellEnd"/>
      <w:r w:rsidR="00C07522" w:rsidRPr="00C07522">
        <w:rPr>
          <w:sz w:val="18"/>
        </w:rPr>
        <w:t xml:space="preserve"> </w:t>
      </w:r>
      <w:proofErr w:type="spellStart"/>
      <w:r w:rsidR="00C07522" w:rsidRPr="00C07522">
        <w:rPr>
          <w:sz w:val="18"/>
        </w:rPr>
        <w:t>vs</w:t>
      </w:r>
      <w:proofErr w:type="spellEnd"/>
      <w:r w:rsidR="00C07522" w:rsidRPr="00C07522">
        <w:rPr>
          <w:sz w:val="18"/>
        </w:rPr>
        <w:t xml:space="preserve"> in culture.</w:t>
      </w:r>
      <w:proofErr w:type="gramEnd"/>
      <w:r w:rsidR="00C07522" w:rsidRPr="00C07522">
        <w:rPr>
          <w:sz w:val="18"/>
        </w:rPr>
        <w:t xml:space="preserve">  </w:t>
      </w:r>
    </w:p>
    <w:p w:rsidR="00C07522" w:rsidRDefault="00C07522" w:rsidP="00C07522">
      <w:pPr>
        <w:pStyle w:val="NoSpacing"/>
        <w:rPr>
          <w:sz w:val="18"/>
        </w:rPr>
      </w:pPr>
    </w:p>
    <w:p w:rsidR="0056532A" w:rsidRPr="0056532A" w:rsidRDefault="0056532A" w:rsidP="00C07522">
      <w:pPr>
        <w:pStyle w:val="NoSpacing"/>
        <w:rPr>
          <w:u w:val="single"/>
        </w:rPr>
      </w:pPr>
      <w:r w:rsidRPr="0056532A">
        <w:rPr>
          <w:u w:val="single"/>
        </w:rPr>
        <w:t>My Data</w:t>
      </w:r>
    </w:p>
    <w:p w:rsidR="00DB6435" w:rsidRDefault="00DB6435" w:rsidP="00C07522">
      <w:pPr>
        <w:pStyle w:val="NoSpacing"/>
      </w:pPr>
    </w:p>
    <w:p w:rsidR="00F20BA6" w:rsidRDefault="00F20BA6" w:rsidP="00C07522">
      <w:pPr>
        <w:pStyle w:val="NoSpacing"/>
      </w:pPr>
      <w:r>
        <w:t xml:space="preserve">I have </w:t>
      </w:r>
      <w:r w:rsidR="007C130F">
        <w:t>determined</w:t>
      </w:r>
      <w:r>
        <w:t xml:space="preserve"> that HCA detoxification contributes to </w:t>
      </w:r>
      <w:r>
        <w:rPr>
          <w:i/>
        </w:rPr>
        <w:t xml:space="preserve">R. </w:t>
      </w:r>
      <w:proofErr w:type="spellStart"/>
      <w:r>
        <w:rPr>
          <w:i/>
        </w:rPr>
        <w:t>solanacearum</w:t>
      </w:r>
      <w:proofErr w:type="spellEnd"/>
      <w:r>
        <w:t xml:space="preserve"> virulence</w:t>
      </w:r>
      <w:r w:rsidR="00EA76ED">
        <w:t xml:space="preserve"> (Fig2)</w:t>
      </w:r>
      <w:r>
        <w:t xml:space="preserve">.  </w:t>
      </w:r>
      <w:r w:rsidR="0056532A">
        <w:t xml:space="preserve">Genetic disruption of the HCA pathway results in slightly delayed disease progression.  </w:t>
      </w:r>
      <w:r>
        <w:t xml:space="preserve">  </w:t>
      </w:r>
    </w:p>
    <w:p w:rsidR="00EA76ED" w:rsidRDefault="00EA76ED" w:rsidP="00C07522">
      <w:pPr>
        <w:pStyle w:val="NoSpacing"/>
      </w:pPr>
    </w:p>
    <w:p w:rsidR="0056532A" w:rsidRPr="00EA76ED" w:rsidRDefault="00EA76ED" w:rsidP="00C07522">
      <w:pPr>
        <w:pStyle w:val="NoSpacing"/>
        <w:rPr>
          <w:sz w:val="18"/>
          <w:szCs w:val="18"/>
        </w:rPr>
      </w:pPr>
      <w:r w:rsidRPr="00EA76ED">
        <w:rPr>
          <w:noProof/>
          <w:sz w:val="18"/>
          <w:szCs w:val="18"/>
        </w:rPr>
        <w:drawing>
          <wp:anchor distT="0" distB="0" distL="114300" distR="114300" simplePos="0" relativeHeight="251659264" behindDoc="0" locked="0" layoutInCell="1" allowOverlap="1" wp14:anchorId="0B508030" wp14:editId="2A526391">
            <wp:simplePos x="0" y="0"/>
            <wp:positionH relativeFrom="column">
              <wp:posOffset>0</wp:posOffset>
            </wp:positionH>
            <wp:positionV relativeFrom="paragraph">
              <wp:posOffset>0</wp:posOffset>
            </wp:positionV>
            <wp:extent cx="3528060" cy="2004060"/>
            <wp:effectExtent l="0" t="0" r="15240" b="1524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roofErr w:type="gramStart"/>
      <w:r w:rsidRPr="00EA76ED">
        <w:rPr>
          <w:sz w:val="18"/>
          <w:szCs w:val="18"/>
        </w:rPr>
        <w:t>Fig 2.</w:t>
      </w:r>
      <w:proofErr w:type="gramEnd"/>
      <w:r w:rsidRPr="00EA76ED">
        <w:rPr>
          <w:sz w:val="18"/>
          <w:szCs w:val="18"/>
        </w:rPr>
        <w:t xml:space="preserve"> </w:t>
      </w:r>
      <w:proofErr w:type="gramStart"/>
      <w:r w:rsidRPr="00EA76ED">
        <w:rPr>
          <w:sz w:val="18"/>
          <w:szCs w:val="18"/>
        </w:rPr>
        <w:t>Disease progress curve.</w:t>
      </w:r>
      <w:proofErr w:type="gramEnd"/>
      <w:r w:rsidRPr="00EA76ED">
        <w:rPr>
          <w:sz w:val="18"/>
          <w:szCs w:val="18"/>
        </w:rPr>
        <w:t xml:space="preserve"> We use a naturalistic soil-soak inoculation (</w:t>
      </w:r>
      <w:proofErr w:type="spellStart"/>
      <w:r w:rsidRPr="00EA76ED">
        <w:rPr>
          <w:sz w:val="18"/>
          <w:szCs w:val="18"/>
        </w:rPr>
        <w:t>ie</w:t>
      </w:r>
      <w:proofErr w:type="spellEnd"/>
      <w:r w:rsidRPr="00EA76ED">
        <w:rPr>
          <w:sz w:val="18"/>
          <w:szCs w:val="18"/>
        </w:rPr>
        <w:t xml:space="preserve"> we directly pour bacterial suspensions into the soil &amp; let them invade the plant &amp; cause disease).  I infected 14 tomatoes with </w:t>
      </w:r>
      <w:proofErr w:type="spellStart"/>
      <w:r w:rsidRPr="00EA76ED">
        <w:rPr>
          <w:sz w:val="18"/>
          <w:szCs w:val="18"/>
        </w:rPr>
        <w:t>wildtype</w:t>
      </w:r>
      <w:proofErr w:type="spellEnd"/>
      <w:r w:rsidRPr="00EA76ED">
        <w:rPr>
          <w:sz w:val="18"/>
          <w:szCs w:val="18"/>
        </w:rPr>
        <w:t xml:space="preserve"> GMI1000 and </w:t>
      </w:r>
      <w:r>
        <w:rPr>
          <w:sz w:val="18"/>
          <w:szCs w:val="18"/>
        </w:rPr>
        <w:t xml:space="preserve">14 tomatoes with </w:t>
      </w:r>
      <w:r w:rsidRPr="00EA76ED">
        <w:rPr>
          <w:sz w:val="18"/>
          <w:szCs w:val="18"/>
        </w:rPr>
        <w:t xml:space="preserve">a mutant I created that lacks the </w:t>
      </w:r>
      <w:proofErr w:type="gramStart"/>
      <w:r w:rsidRPr="00EA76ED">
        <w:rPr>
          <w:i/>
          <w:sz w:val="18"/>
          <w:szCs w:val="18"/>
        </w:rPr>
        <w:t>fcs</w:t>
      </w:r>
      <w:proofErr w:type="gramEnd"/>
      <w:r w:rsidRPr="00EA76ED">
        <w:rPr>
          <w:i/>
          <w:sz w:val="18"/>
          <w:szCs w:val="18"/>
        </w:rPr>
        <w:t xml:space="preserve"> </w:t>
      </w:r>
      <w:r w:rsidRPr="00EA76ED">
        <w:rPr>
          <w:sz w:val="18"/>
          <w:szCs w:val="18"/>
        </w:rPr>
        <w:t xml:space="preserve">gene (Fcs protein catalyzes the first step in the HCA degradation pathway).  </w:t>
      </w:r>
      <w:r>
        <w:rPr>
          <w:sz w:val="18"/>
          <w:szCs w:val="18"/>
        </w:rPr>
        <w:t>Each day after inoculation, I rated the severity of wilt symptoms on each plant: healthy=</w:t>
      </w:r>
      <w:r w:rsidRPr="00EA76ED">
        <w:rPr>
          <w:b/>
          <w:sz w:val="18"/>
          <w:szCs w:val="18"/>
        </w:rPr>
        <w:t>0</w:t>
      </w:r>
      <w:r>
        <w:rPr>
          <w:sz w:val="18"/>
          <w:szCs w:val="18"/>
        </w:rPr>
        <w:t>; 1-25% leaves wilted =</w:t>
      </w:r>
      <w:r w:rsidRPr="00EA76ED">
        <w:rPr>
          <w:b/>
          <w:sz w:val="18"/>
          <w:szCs w:val="18"/>
        </w:rPr>
        <w:t>1</w:t>
      </w:r>
      <w:r>
        <w:rPr>
          <w:sz w:val="18"/>
          <w:szCs w:val="18"/>
        </w:rPr>
        <w:t>; 26-50% wilted=</w:t>
      </w:r>
      <w:r w:rsidRPr="00EA76ED">
        <w:rPr>
          <w:b/>
          <w:sz w:val="18"/>
          <w:szCs w:val="18"/>
        </w:rPr>
        <w:t>2</w:t>
      </w:r>
      <w:r>
        <w:rPr>
          <w:sz w:val="18"/>
          <w:szCs w:val="18"/>
        </w:rPr>
        <w:t>; 51-75% wilted=</w:t>
      </w:r>
      <w:r w:rsidRPr="00EA76ED">
        <w:rPr>
          <w:b/>
          <w:sz w:val="18"/>
          <w:szCs w:val="18"/>
        </w:rPr>
        <w:t>3</w:t>
      </w:r>
      <w:r>
        <w:rPr>
          <w:sz w:val="18"/>
          <w:szCs w:val="18"/>
        </w:rPr>
        <w:t>; 76-100% wilted=</w:t>
      </w:r>
      <w:r w:rsidRPr="00EA76ED">
        <w:rPr>
          <w:b/>
          <w:sz w:val="18"/>
          <w:szCs w:val="18"/>
        </w:rPr>
        <w:t>4</w:t>
      </w:r>
      <w:r w:rsidR="00C653DF">
        <w:rPr>
          <w:sz w:val="18"/>
          <w:szCs w:val="18"/>
        </w:rPr>
        <w:t xml:space="preserve">. The disease values for each plant population were averaged and plotted against time.  </w:t>
      </w:r>
    </w:p>
    <w:p w:rsidR="00EA76ED" w:rsidRPr="00EA76ED" w:rsidRDefault="00EA76ED" w:rsidP="00C07522">
      <w:pPr>
        <w:pStyle w:val="NoSpacing"/>
      </w:pPr>
    </w:p>
    <w:p w:rsidR="00C653DF" w:rsidRDefault="007C130F" w:rsidP="00C07522">
      <w:pPr>
        <w:pStyle w:val="NoSpacing"/>
      </w:pPr>
      <w:r>
        <w:lastRenderedPageBreak/>
        <w:t>Additionally, I</w:t>
      </w:r>
      <w:r w:rsidR="0056532A">
        <w:t xml:space="preserve"> have confirmed that HCAs inhibit </w:t>
      </w:r>
      <w:r w:rsidR="0056532A">
        <w:rPr>
          <w:i/>
        </w:rPr>
        <w:t xml:space="preserve">R. </w:t>
      </w:r>
      <w:proofErr w:type="spellStart"/>
      <w:r w:rsidR="0056532A">
        <w:rPr>
          <w:i/>
        </w:rPr>
        <w:t>solanacearum</w:t>
      </w:r>
      <w:proofErr w:type="spellEnd"/>
      <w:r w:rsidR="0056532A">
        <w:t xml:space="preserve"> growth </w:t>
      </w:r>
      <w:r w:rsidR="0056532A">
        <w:rPr>
          <w:i/>
        </w:rPr>
        <w:t>in vitro</w:t>
      </w:r>
      <w:r w:rsidR="0056532A">
        <w:t xml:space="preserve">.  In fact, I was surprised to find that </w:t>
      </w:r>
      <w:r w:rsidR="0056532A">
        <w:rPr>
          <w:i/>
        </w:rPr>
        <w:t xml:space="preserve">R. </w:t>
      </w:r>
      <w:proofErr w:type="spellStart"/>
      <w:r w:rsidR="0056532A">
        <w:rPr>
          <w:i/>
        </w:rPr>
        <w:t>solanacearum</w:t>
      </w:r>
      <w:proofErr w:type="spellEnd"/>
      <w:r w:rsidR="0056532A">
        <w:t xml:space="preserve"> is </w:t>
      </w:r>
      <w:r w:rsidR="00C653DF">
        <w:t>particularly</w:t>
      </w:r>
      <w:r w:rsidR="0056532A">
        <w:t xml:space="preserve"> susceptible to inhibition by HCAs</w:t>
      </w:r>
      <w:r>
        <w:t xml:space="preserve"> and other metabolites in the HCA detox pathway (Table 1). </w:t>
      </w:r>
    </w:p>
    <w:p w:rsidR="00C55FA4" w:rsidRDefault="00C55FA4" w:rsidP="00C55FA4">
      <w:pPr>
        <w:pStyle w:val="NoSpacing"/>
      </w:pPr>
    </w:p>
    <w:p w:rsidR="00C55FA4" w:rsidRPr="00DB6435" w:rsidRDefault="00C55FA4" w:rsidP="00C55FA4">
      <w:pPr>
        <w:pStyle w:val="NoSpacing"/>
      </w:pPr>
      <w:r w:rsidRPr="00DB6435">
        <w:t>Table 1: Minimum inhibitory concentrations (MIC) for metabolites in the HCA detoxification pathway</w:t>
      </w:r>
    </w:p>
    <w:tbl>
      <w:tblPr>
        <w:tblW w:w="0" w:type="auto"/>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1365"/>
        <w:gridCol w:w="1774"/>
        <w:gridCol w:w="1749"/>
      </w:tblGrid>
      <w:tr w:rsidR="00C55FA4" w:rsidRPr="00DB6435" w:rsidTr="00F546AE">
        <w:trPr>
          <w:trHeight w:val="144"/>
          <w:jc w:val="center"/>
        </w:trPr>
        <w:tc>
          <w:tcPr>
            <w:tcW w:w="0" w:type="auto"/>
            <w:shd w:val="clear" w:color="auto" w:fill="FFFFFF" w:themeFill="background1"/>
            <w:vAlign w:val="bottom"/>
            <w:hideMark/>
          </w:tcPr>
          <w:p w:rsidR="00C55FA4" w:rsidRPr="00DB6435" w:rsidRDefault="00C55FA4" w:rsidP="00F546AE">
            <w:pPr>
              <w:pStyle w:val="NoSpacing"/>
              <w:jc w:val="center"/>
            </w:pPr>
            <w:r w:rsidRPr="00DB6435">
              <w:t>Compound</w:t>
            </w:r>
          </w:p>
        </w:tc>
        <w:tc>
          <w:tcPr>
            <w:tcW w:w="0" w:type="auto"/>
            <w:shd w:val="clear" w:color="auto" w:fill="FFFFFF" w:themeFill="background1"/>
            <w:tcMar>
              <w:top w:w="72" w:type="dxa"/>
              <w:left w:w="144" w:type="dxa"/>
              <w:bottom w:w="72" w:type="dxa"/>
              <w:right w:w="144" w:type="dxa"/>
            </w:tcMar>
            <w:vAlign w:val="bottom"/>
            <w:hideMark/>
          </w:tcPr>
          <w:p w:rsidR="00C55FA4" w:rsidRPr="00DB6435" w:rsidRDefault="00C55FA4" w:rsidP="00F546AE">
            <w:pPr>
              <w:pStyle w:val="NoSpacing"/>
              <w:jc w:val="center"/>
              <w:rPr>
                <w:i/>
                <w:iCs/>
              </w:rPr>
            </w:pPr>
            <w:r w:rsidRPr="00DB6435">
              <w:rPr>
                <w:i/>
                <w:iCs/>
              </w:rPr>
              <w:t xml:space="preserve">R. </w:t>
            </w:r>
            <w:proofErr w:type="spellStart"/>
            <w:r w:rsidRPr="00DB6435">
              <w:rPr>
                <w:i/>
                <w:iCs/>
              </w:rPr>
              <w:t>solanacearum</w:t>
            </w:r>
            <w:proofErr w:type="spellEnd"/>
          </w:p>
          <w:p w:rsidR="00C55FA4" w:rsidRPr="00DB6435" w:rsidRDefault="00C55FA4" w:rsidP="00F546AE">
            <w:pPr>
              <w:pStyle w:val="NoSpacing"/>
              <w:jc w:val="center"/>
            </w:pPr>
            <w:r w:rsidRPr="00DB6435">
              <w:rPr>
                <w:iCs/>
              </w:rPr>
              <w:t>GMI1000</w:t>
            </w:r>
          </w:p>
        </w:tc>
        <w:tc>
          <w:tcPr>
            <w:tcW w:w="0" w:type="auto"/>
            <w:shd w:val="clear" w:color="auto" w:fill="FFFFFF" w:themeFill="background1"/>
            <w:tcMar>
              <w:top w:w="72" w:type="dxa"/>
              <w:left w:w="144" w:type="dxa"/>
              <w:bottom w:w="72" w:type="dxa"/>
              <w:right w:w="144" w:type="dxa"/>
            </w:tcMar>
            <w:vAlign w:val="bottom"/>
            <w:hideMark/>
          </w:tcPr>
          <w:p w:rsidR="00C55FA4" w:rsidRPr="00DB6435" w:rsidRDefault="00C55FA4" w:rsidP="00F546AE">
            <w:pPr>
              <w:pStyle w:val="NoSpacing"/>
              <w:jc w:val="center"/>
            </w:pPr>
            <w:r w:rsidRPr="00DB6435">
              <w:t xml:space="preserve">Other bacteria </w:t>
            </w:r>
          </w:p>
          <w:p w:rsidR="00C55FA4" w:rsidRPr="00DB6435" w:rsidRDefault="00C55FA4" w:rsidP="00F546AE">
            <w:pPr>
              <w:pStyle w:val="NoSpacing"/>
              <w:jc w:val="center"/>
            </w:pPr>
            <w:r w:rsidRPr="00DB6435">
              <w:t>(from literature)</w:t>
            </w:r>
          </w:p>
        </w:tc>
      </w:tr>
      <w:tr w:rsidR="00C55FA4" w:rsidRPr="00DB6435" w:rsidTr="00F546AE">
        <w:trPr>
          <w:trHeight w:val="144"/>
          <w:jc w:val="center"/>
        </w:trPr>
        <w:tc>
          <w:tcPr>
            <w:tcW w:w="0" w:type="auto"/>
            <w:shd w:val="clear" w:color="auto" w:fill="FFFFFF" w:themeFill="background1"/>
            <w:tcMar>
              <w:top w:w="72" w:type="dxa"/>
              <w:left w:w="144" w:type="dxa"/>
              <w:bottom w:w="72" w:type="dxa"/>
              <w:right w:w="144" w:type="dxa"/>
            </w:tcMar>
            <w:vAlign w:val="bottom"/>
            <w:hideMark/>
          </w:tcPr>
          <w:p w:rsidR="00C55FA4" w:rsidRPr="00DB6435" w:rsidRDefault="00C55FA4" w:rsidP="00F546AE">
            <w:pPr>
              <w:pStyle w:val="NoSpacing"/>
            </w:pPr>
            <w:proofErr w:type="spellStart"/>
            <w:r w:rsidRPr="00DB6435">
              <w:t>Ferulic</w:t>
            </w:r>
            <w:proofErr w:type="spellEnd"/>
            <w:r w:rsidRPr="00DB6435">
              <w:t xml:space="preserve"> Acid</w:t>
            </w:r>
          </w:p>
        </w:tc>
        <w:tc>
          <w:tcPr>
            <w:tcW w:w="0" w:type="auto"/>
            <w:shd w:val="clear" w:color="auto" w:fill="FFFFFF" w:themeFill="background1"/>
            <w:tcMar>
              <w:top w:w="72" w:type="dxa"/>
              <w:left w:w="144" w:type="dxa"/>
              <w:bottom w:w="72" w:type="dxa"/>
              <w:right w:w="144" w:type="dxa"/>
            </w:tcMar>
            <w:vAlign w:val="bottom"/>
            <w:hideMark/>
          </w:tcPr>
          <w:p w:rsidR="00C55FA4" w:rsidRPr="00DB6435" w:rsidRDefault="00C55FA4" w:rsidP="00F546AE">
            <w:pPr>
              <w:pStyle w:val="NoSpacing"/>
            </w:pPr>
            <w:r w:rsidRPr="00DB6435">
              <w:t xml:space="preserve">3 </w:t>
            </w:r>
            <w:proofErr w:type="spellStart"/>
            <w:r w:rsidRPr="00DB6435">
              <w:t>mM</w:t>
            </w:r>
            <w:proofErr w:type="spellEnd"/>
          </w:p>
        </w:tc>
        <w:tc>
          <w:tcPr>
            <w:tcW w:w="0" w:type="auto"/>
            <w:shd w:val="clear" w:color="auto" w:fill="FFFFFF" w:themeFill="background1"/>
            <w:tcMar>
              <w:top w:w="72" w:type="dxa"/>
              <w:left w:w="144" w:type="dxa"/>
              <w:bottom w:w="72" w:type="dxa"/>
              <w:right w:w="144" w:type="dxa"/>
            </w:tcMar>
            <w:vAlign w:val="bottom"/>
            <w:hideMark/>
          </w:tcPr>
          <w:p w:rsidR="00C55FA4" w:rsidRPr="00DB6435" w:rsidRDefault="00C55FA4" w:rsidP="00F546AE">
            <w:pPr>
              <w:pStyle w:val="NoSpacing"/>
            </w:pPr>
            <w:r w:rsidRPr="00DB6435">
              <w:t xml:space="preserve">1-8 </w:t>
            </w:r>
            <w:proofErr w:type="spellStart"/>
            <w:r w:rsidRPr="00DB6435">
              <w:t>mM</w:t>
            </w:r>
            <w:proofErr w:type="spellEnd"/>
          </w:p>
        </w:tc>
      </w:tr>
      <w:tr w:rsidR="00C55FA4" w:rsidRPr="00DB6435" w:rsidTr="00F546AE">
        <w:trPr>
          <w:trHeight w:val="144"/>
          <w:jc w:val="center"/>
        </w:trPr>
        <w:tc>
          <w:tcPr>
            <w:tcW w:w="0" w:type="auto"/>
            <w:shd w:val="clear" w:color="auto" w:fill="FFFFFF" w:themeFill="background1"/>
            <w:tcMar>
              <w:top w:w="72" w:type="dxa"/>
              <w:left w:w="144" w:type="dxa"/>
              <w:bottom w:w="72" w:type="dxa"/>
              <w:right w:w="144" w:type="dxa"/>
            </w:tcMar>
            <w:vAlign w:val="bottom"/>
            <w:hideMark/>
          </w:tcPr>
          <w:p w:rsidR="00C55FA4" w:rsidRPr="00DB6435" w:rsidRDefault="00C55FA4" w:rsidP="00F546AE">
            <w:pPr>
              <w:pStyle w:val="NoSpacing"/>
            </w:pPr>
            <w:r w:rsidRPr="00DB6435">
              <w:t>Vanillin</w:t>
            </w:r>
          </w:p>
        </w:tc>
        <w:tc>
          <w:tcPr>
            <w:tcW w:w="0" w:type="auto"/>
            <w:shd w:val="clear" w:color="auto" w:fill="FFFFFF" w:themeFill="background1"/>
            <w:tcMar>
              <w:top w:w="72" w:type="dxa"/>
              <w:left w:w="144" w:type="dxa"/>
              <w:bottom w:w="72" w:type="dxa"/>
              <w:right w:w="144" w:type="dxa"/>
            </w:tcMar>
            <w:vAlign w:val="bottom"/>
            <w:hideMark/>
          </w:tcPr>
          <w:p w:rsidR="00C55FA4" w:rsidRPr="00DB6435" w:rsidRDefault="00C55FA4" w:rsidP="00F546AE">
            <w:pPr>
              <w:pStyle w:val="NoSpacing"/>
            </w:pPr>
            <w:r w:rsidRPr="00DB6435">
              <w:t xml:space="preserve">0.375 </w:t>
            </w:r>
            <w:proofErr w:type="spellStart"/>
            <w:r w:rsidRPr="00DB6435">
              <w:t>mM</w:t>
            </w:r>
            <w:proofErr w:type="spellEnd"/>
          </w:p>
        </w:tc>
        <w:tc>
          <w:tcPr>
            <w:tcW w:w="0" w:type="auto"/>
            <w:shd w:val="clear" w:color="auto" w:fill="FFFFFF" w:themeFill="background1"/>
            <w:tcMar>
              <w:top w:w="72" w:type="dxa"/>
              <w:left w:w="144" w:type="dxa"/>
              <w:bottom w:w="72" w:type="dxa"/>
              <w:right w:w="144" w:type="dxa"/>
            </w:tcMar>
            <w:vAlign w:val="bottom"/>
            <w:hideMark/>
          </w:tcPr>
          <w:p w:rsidR="00C55FA4" w:rsidRPr="00DB6435" w:rsidRDefault="00C55FA4" w:rsidP="00F546AE">
            <w:pPr>
              <w:pStyle w:val="NoSpacing"/>
            </w:pPr>
            <w:r w:rsidRPr="00DB6435">
              <w:t xml:space="preserve">5-33 </w:t>
            </w:r>
            <w:proofErr w:type="spellStart"/>
            <w:r w:rsidRPr="00DB6435">
              <w:t>mM</w:t>
            </w:r>
            <w:proofErr w:type="spellEnd"/>
          </w:p>
        </w:tc>
      </w:tr>
      <w:tr w:rsidR="00C55FA4" w:rsidRPr="00DB6435" w:rsidTr="00F546AE">
        <w:trPr>
          <w:trHeight w:val="22"/>
          <w:jc w:val="center"/>
        </w:trPr>
        <w:tc>
          <w:tcPr>
            <w:tcW w:w="0" w:type="auto"/>
            <w:shd w:val="clear" w:color="auto" w:fill="FFFFFF" w:themeFill="background1"/>
            <w:tcMar>
              <w:top w:w="72" w:type="dxa"/>
              <w:left w:w="144" w:type="dxa"/>
              <w:bottom w:w="72" w:type="dxa"/>
              <w:right w:w="144" w:type="dxa"/>
            </w:tcMar>
            <w:vAlign w:val="bottom"/>
            <w:hideMark/>
          </w:tcPr>
          <w:p w:rsidR="00C55FA4" w:rsidRPr="00DB6435" w:rsidRDefault="00C55FA4" w:rsidP="00F546AE">
            <w:pPr>
              <w:pStyle w:val="NoSpacing"/>
            </w:pPr>
            <w:proofErr w:type="spellStart"/>
            <w:r w:rsidRPr="00DB6435">
              <w:t>Vanillic</w:t>
            </w:r>
            <w:proofErr w:type="spellEnd"/>
            <w:r w:rsidRPr="00DB6435">
              <w:t xml:space="preserve"> Acid</w:t>
            </w:r>
          </w:p>
        </w:tc>
        <w:tc>
          <w:tcPr>
            <w:tcW w:w="0" w:type="auto"/>
            <w:shd w:val="clear" w:color="auto" w:fill="FFFFFF" w:themeFill="background1"/>
            <w:tcMar>
              <w:top w:w="72" w:type="dxa"/>
              <w:left w:w="144" w:type="dxa"/>
              <w:bottom w:w="72" w:type="dxa"/>
              <w:right w:w="144" w:type="dxa"/>
            </w:tcMar>
            <w:vAlign w:val="bottom"/>
            <w:hideMark/>
          </w:tcPr>
          <w:p w:rsidR="00C55FA4" w:rsidRPr="00DB6435" w:rsidRDefault="00C55FA4" w:rsidP="00F546AE">
            <w:pPr>
              <w:pStyle w:val="NoSpacing"/>
            </w:pPr>
            <w:r w:rsidRPr="00DB6435">
              <w:t xml:space="preserve">1.5 </w:t>
            </w:r>
            <w:proofErr w:type="spellStart"/>
            <w:r w:rsidRPr="00DB6435">
              <w:t>mM</w:t>
            </w:r>
            <w:proofErr w:type="spellEnd"/>
          </w:p>
        </w:tc>
        <w:tc>
          <w:tcPr>
            <w:tcW w:w="0" w:type="auto"/>
            <w:shd w:val="clear" w:color="auto" w:fill="FFFFFF" w:themeFill="background1"/>
            <w:tcMar>
              <w:top w:w="72" w:type="dxa"/>
              <w:left w:w="144" w:type="dxa"/>
              <w:bottom w:w="72" w:type="dxa"/>
              <w:right w:w="144" w:type="dxa"/>
            </w:tcMar>
            <w:vAlign w:val="bottom"/>
            <w:hideMark/>
          </w:tcPr>
          <w:p w:rsidR="00C55FA4" w:rsidRPr="00DB6435" w:rsidRDefault="00C55FA4" w:rsidP="00F546AE">
            <w:pPr>
              <w:pStyle w:val="NoSpacing"/>
            </w:pPr>
            <w:r w:rsidRPr="00DB6435">
              <w:t xml:space="preserve">10 </w:t>
            </w:r>
            <w:proofErr w:type="spellStart"/>
            <w:r w:rsidRPr="00DB6435">
              <w:t>mM</w:t>
            </w:r>
            <w:proofErr w:type="spellEnd"/>
          </w:p>
        </w:tc>
      </w:tr>
    </w:tbl>
    <w:p w:rsidR="00C653DF" w:rsidRDefault="00C653DF" w:rsidP="00C07522">
      <w:pPr>
        <w:pStyle w:val="NoSpacing"/>
      </w:pPr>
    </w:p>
    <w:p w:rsidR="007C130F" w:rsidRDefault="00C653DF" w:rsidP="00C07522">
      <w:pPr>
        <w:pStyle w:val="NoSpacing"/>
      </w:pPr>
      <w:r>
        <w:t xml:space="preserve">This was determined using a minimum inhibitory concentration (MIC) assay.  In general, the </w:t>
      </w:r>
      <w:r w:rsidRPr="00C653DF">
        <w:t xml:space="preserve">minimum inhibitory concentration (MIC) is the lowest concentration of an antimicrobial </w:t>
      </w:r>
      <w:r>
        <w:t xml:space="preserve">compound </w:t>
      </w:r>
      <w:r w:rsidRPr="00C653DF">
        <w:t>that will inhibit the visible growth of a microorganism after overnight incubation.</w:t>
      </w:r>
      <w:r>
        <w:t xml:space="preserve"> (However </w:t>
      </w:r>
      <w:proofErr w:type="spellStart"/>
      <w:r w:rsidRPr="00C653DF">
        <w:rPr>
          <w:i/>
        </w:rPr>
        <w:t>Ralstonia</w:t>
      </w:r>
      <w:proofErr w:type="spellEnd"/>
      <w:r>
        <w:t xml:space="preserve"> grows slowly, so we check for </w:t>
      </w:r>
      <w:r w:rsidR="00C55FA4">
        <w:t>growth after 2 days</w:t>
      </w:r>
      <w:r>
        <w:t>).</w:t>
      </w:r>
      <w:r w:rsidR="00C55FA4">
        <w:t xml:space="preserve">  To set this up, we prepare media with a range of concentrations of the antimicrobial compound.  We add the same amount of bacteria to each culture, and let them incubate for 2 days.  Then we determine what the minimum inhibitory concentration is.  In the case of the diagram below, 12 </w:t>
      </w:r>
      <w:proofErr w:type="spellStart"/>
      <w:r w:rsidR="00C55FA4">
        <w:t>mM</w:t>
      </w:r>
      <w:proofErr w:type="spellEnd"/>
      <w:r w:rsidR="00C55FA4">
        <w:t xml:space="preserve">, 6 </w:t>
      </w:r>
      <w:proofErr w:type="spellStart"/>
      <w:r w:rsidR="00C55FA4">
        <w:t>mM</w:t>
      </w:r>
      <w:proofErr w:type="spellEnd"/>
      <w:r w:rsidR="00C55FA4">
        <w:t xml:space="preserve">, and 3 </w:t>
      </w:r>
      <w:proofErr w:type="spellStart"/>
      <w:r w:rsidR="00C55FA4">
        <w:t>mM</w:t>
      </w:r>
      <w:proofErr w:type="spellEnd"/>
      <w:r w:rsidR="00C55FA4">
        <w:t xml:space="preserve"> all inhibit growth while 1.5 </w:t>
      </w:r>
      <w:proofErr w:type="spellStart"/>
      <w:r w:rsidR="00C55FA4">
        <w:t>mM</w:t>
      </w:r>
      <w:proofErr w:type="spellEnd"/>
      <w:r w:rsidR="00C55FA4">
        <w:t xml:space="preserve"> allowed growth.  This means 3 </w:t>
      </w:r>
      <w:proofErr w:type="spellStart"/>
      <w:r w:rsidR="00C55FA4">
        <w:t>mM</w:t>
      </w:r>
      <w:proofErr w:type="spellEnd"/>
      <w:r w:rsidR="00C55FA4">
        <w:t xml:space="preserve"> is the MIC.</w:t>
      </w:r>
    </w:p>
    <w:p w:rsidR="00C653DF" w:rsidRDefault="00C653DF" w:rsidP="00C07522">
      <w:pPr>
        <w:pStyle w:val="NoSpacing"/>
      </w:pPr>
    </w:p>
    <w:p w:rsidR="00C653DF" w:rsidRDefault="00C55FA4" w:rsidP="00C07522">
      <w:pPr>
        <w:pStyle w:val="NoSpacing"/>
      </w:pPr>
      <w:r>
        <w:rPr>
          <w:noProof/>
        </w:rPr>
        <w:drawing>
          <wp:inline distT="0" distB="0" distL="0" distR="0">
            <wp:extent cx="4465320" cy="1843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 - testube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6360" cy="1843804"/>
                    </a:xfrm>
                    <a:prstGeom prst="rect">
                      <a:avLst/>
                    </a:prstGeom>
                  </pic:spPr>
                </pic:pic>
              </a:graphicData>
            </a:graphic>
          </wp:inline>
        </w:drawing>
      </w:r>
    </w:p>
    <w:p w:rsidR="007C130F" w:rsidRPr="00DB6435" w:rsidRDefault="00DB6435" w:rsidP="00C07522">
      <w:pPr>
        <w:pStyle w:val="NoSpacing"/>
        <w:rPr>
          <w:u w:val="single"/>
        </w:rPr>
      </w:pPr>
      <w:r w:rsidRPr="00DB6435">
        <w:rPr>
          <w:u w:val="single"/>
        </w:rPr>
        <w:t>Undergraduate Project</w:t>
      </w:r>
    </w:p>
    <w:p w:rsidR="00C55FA4" w:rsidRDefault="00C55FA4" w:rsidP="00C55FA4">
      <w:pPr>
        <w:pStyle w:val="NoSpacing"/>
        <w:rPr>
          <w:u w:val="single"/>
        </w:rPr>
      </w:pPr>
    </w:p>
    <w:p w:rsidR="0015066F" w:rsidRDefault="00C55FA4" w:rsidP="00C55FA4">
      <w:pPr>
        <w:pStyle w:val="NoSpacing"/>
      </w:pPr>
      <w:r w:rsidRPr="00C55FA4">
        <w:rPr>
          <w:u w:val="single"/>
        </w:rPr>
        <w:t>Question 1:</w:t>
      </w:r>
      <w:r>
        <w:t xml:space="preserve"> </w:t>
      </w:r>
      <w:r w:rsidR="0015066F">
        <w:t xml:space="preserve">Is there variation in </w:t>
      </w:r>
      <w:proofErr w:type="spellStart"/>
      <w:r w:rsidR="0015066F">
        <w:t>ferulic</w:t>
      </w:r>
      <w:proofErr w:type="spellEnd"/>
      <w:r w:rsidR="0015066F">
        <w:t xml:space="preserve"> acid susceptibility in the </w:t>
      </w:r>
      <w:r w:rsidR="0015066F">
        <w:rPr>
          <w:i/>
        </w:rPr>
        <w:t xml:space="preserve">R. </w:t>
      </w:r>
      <w:proofErr w:type="spellStart"/>
      <w:r w:rsidR="0015066F">
        <w:rPr>
          <w:i/>
        </w:rPr>
        <w:t>solanacearum</w:t>
      </w:r>
      <w:proofErr w:type="spellEnd"/>
      <w:r w:rsidR="0015066F">
        <w:t xml:space="preserve"> species complex?</w:t>
      </w:r>
    </w:p>
    <w:p w:rsidR="0015066F" w:rsidRDefault="0015066F" w:rsidP="0015066F">
      <w:pPr>
        <w:pStyle w:val="NoSpacing"/>
      </w:pPr>
    </w:p>
    <w:p w:rsidR="0015066F" w:rsidRDefault="0015066F" w:rsidP="0015066F">
      <w:pPr>
        <w:pStyle w:val="NoSpacing"/>
      </w:pPr>
      <w:r>
        <w:t xml:space="preserve">The </w:t>
      </w:r>
      <w:r>
        <w:rPr>
          <w:i/>
        </w:rPr>
        <w:t xml:space="preserve">R. </w:t>
      </w:r>
      <w:proofErr w:type="spellStart"/>
      <w:r>
        <w:rPr>
          <w:i/>
        </w:rPr>
        <w:t>solanacearum</w:t>
      </w:r>
      <w:proofErr w:type="spellEnd"/>
      <w:r>
        <w:t xml:space="preserve"> species complex is a diverse grouping with four major </w:t>
      </w:r>
      <w:proofErr w:type="spellStart"/>
      <w:r>
        <w:t>phylotypes</w:t>
      </w:r>
      <w:proofErr w:type="spellEnd"/>
      <w:r>
        <w:t xml:space="preserve"> (I-IV). I’ve been working predominantly with GMI1000, a </w:t>
      </w:r>
      <w:proofErr w:type="spellStart"/>
      <w:r>
        <w:t>phylotype</w:t>
      </w:r>
      <w:proofErr w:type="spellEnd"/>
      <w:r>
        <w:t xml:space="preserve"> I strain.  </w:t>
      </w:r>
      <w:r w:rsidR="00E47486">
        <w:t xml:space="preserve">I would like you to compare the </w:t>
      </w:r>
      <w:proofErr w:type="spellStart"/>
      <w:r w:rsidR="00E47486">
        <w:t>ferulic</w:t>
      </w:r>
      <w:proofErr w:type="spellEnd"/>
      <w:r w:rsidR="00E47486">
        <w:t xml:space="preserve"> acid MIC for GMI1000 to strains from the other </w:t>
      </w:r>
      <w:proofErr w:type="spellStart"/>
      <w:r w:rsidR="00E47486">
        <w:t>phylotypes</w:t>
      </w:r>
      <w:proofErr w:type="spellEnd"/>
    </w:p>
    <w:p w:rsidR="00E47486" w:rsidRDefault="00E47486" w:rsidP="0015066F">
      <w:pPr>
        <w:pStyle w:val="NoSpacing"/>
      </w:pPr>
    </w:p>
    <w:tbl>
      <w:tblPr>
        <w:tblStyle w:val="TableGrid"/>
        <w:tblW w:w="0" w:type="auto"/>
        <w:jc w:val="center"/>
        <w:tblLook w:val="04A0" w:firstRow="1" w:lastRow="0" w:firstColumn="1" w:lastColumn="0" w:noHBand="0" w:noVBand="1"/>
      </w:tblPr>
      <w:tblGrid>
        <w:gridCol w:w="1728"/>
        <w:gridCol w:w="1866"/>
      </w:tblGrid>
      <w:tr w:rsidR="00E47486" w:rsidTr="00E47486">
        <w:trPr>
          <w:cnfStyle w:val="100000000000" w:firstRow="1" w:lastRow="0" w:firstColumn="0" w:lastColumn="0" w:oddVBand="0" w:evenVBand="0" w:oddHBand="0" w:evenHBand="0" w:firstRowFirstColumn="0" w:firstRowLastColumn="0" w:lastRowFirstColumn="0" w:lastRowLastColumn="0"/>
          <w:jc w:val="center"/>
        </w:trPr>
        <w:tc>
          <w:tcPr>
            <w:tcW w:w="1728" w:type="dxa"/>
          </w:tcPr>
          <w:p w:rsidR="00E47486" w:rsidRDefault="00E47486" w:rsidP="0015066F">
            <w:pPr>
              <w:pStyle w:val="NoSpacing"/>
            </w:pPr>
            <w:r>
              <w:t>Strain</w:t>
            </w:r>
          </w:p>
        </w:tc>
        <w:tc>
          <w:tcPr>
            <w:tcW w:w="1866" w:type="dxa"/>
          </w:tcPr>
          <w:p w:rsidR="00E47486" w:rsidRDefault="00E47486" w:rsidP="0015066F">
            <w:pPr>
              <w:pStyle w:val="NoSpacing"/>
            </w:pPr>
            <w:proofErr w:type="spellStart"/>
            <w:r>
              <w:t>Phylotype</w:t>
            </w:r>
            <w:proofErr w:type="spellEnd"/>
          </w:p>
        </w:tc>
      </w:tr>
      <w:tr w:rsidR="00E47486" w:rsidTr="00E47486">
        <w:trPr>
          <w:jc w:val="center"/>
        </w:trPr>
        <w:tc>
          <w:tcPr>
            <w:tcW w:w="1728" w:type="dxa"/>
            <w:tcBorders>
              <w:top w:val="single" w:sz="12" w:space="0" w:color="auto"/>
              <w:bottom w:val="single" w:sz="4" w:space="0" w:color="auto"/>
            </w:tcBorders>
          </w:tcPr>
          <w:p w:rsidR="00E47486" w:rsidRDefault="00E47486" w:rsidP="0015066F">
            <w:pPr>
              <w:pStyle w:val="NoSpacing"/>
            </w:pPr>
            <w:r>
              <w:t>GMI1000</w:t>
            </w:r>
          </w:p>
        </w:tc>
        <w:tc>
          <w:tcPr>
            <w:tcW w:w="1866" w:type="dxa"/>
            <w:tcBorders>
              <w:top w:val="single" w:sz="12" w:space="0" w:color="auto"/>
              <w:bottom w:val="single" w:sz="4" w:space="0" w:color="auto"/>
            </w:tcBorders>
          </w:tcPr>
          <w:p w:rsidR="00E47486" w:rsidRDefault="00E47486" w:rsidP="0015066F">
            <w:pPr>
              <w:pStyle w:val="NoSpacing"/>
            </w:pPr>
            <w:r>
              <w:t>I</w:t>
            </w:r>
          </w:p>
        </w:tc>
      </w:tr>
      <w:tr w:rsidR="00E47486" w:rsidTr="00E47486">
        <w:trPr>
          <w:jc w:val="center"/>
        </w:trPr>
        <w:tc>
          <w:tcPr>
            <w:tcW w:w="1728" w:type="dxa"/>
            <w:tcBorders>
              <w:top w:val="single" w:sz="4" w:space="0" w:color="auto"/>
              <w:bottom w:val="single" w:sz="4" w:space="0" w:color="auto"/>
            </w:tcBorders>
          </w:tcPr>
          <w:p w:rsidR="00E47486" w:rsidRDefault="00E47486" w:rsidP="00F546AE">
            <w:pPr>
              <w:pStyle w:val="NoSpacing"/>
            </w:pPr>
            <w:r>
              <w:t>K60</w:t>
            </w:r>
          </w:p>
        </w:tc>
        <w:tc>
          <w:tcPr>
            <w:tcW w:w="1866" w:type="dxa"/>
            <w:tcBorders>
              <w:top w:val="single" w:sz="4" w:space="0" w:color="auto"/>
              <w:bottom w:val="single" w:sz="4" w:space="0" w:color="auto"/>
            </w:tcBorders>
          </w:tcPr>
          <w:p w:rsidR="00E47486" w:rsidRDefault="00E47486" w:rsidP="00F546AE">
            <w:pPr>
              <w:pStyle w:val="NoSpacing"/>
            </w:pPr>
            <w:r>
              <w:t>II</w:t>
            </w:r>
          </w:p>
        </w:tc>
      </w:tr>
      <w:tr w:rsidR="00E47486" w:rsidTr="00E47486">
        <w:trPr>
          <w:jc w:val="center"/>
        </w:trPr>
        <w:tc>
          <w:tcPr>
            <w:tcW w:w="1728" w:type="dxa"/>
            <w:tcBorders>
              <w:top w:val="single" w:sz="4" w:space="0" w:color="auto"/>
              <w:bottom w:val="single" w:sz="4" w:space="0" w:color="auto"/>
            </w:tcBorders>
          </w:tcPr>
          <w:p w:rsidR="00E47486" w:rsidRDefault="00E47486" w:rsidP="00F546AE">
            <w:pPr>
              <w:pStyle w:val="NoSpacing"/>
            </w:pPr>
            <w:r>
              <w:t>CMR15</w:t>
            </w:r>
          </w:p>
        </w:tc>
        <w:tc>
          <w:tcPr>
            <w:tcW w:w="1866" w:type="dxa"/>
            <w:tcBorders>
              <w:top w:val="single" w:sz="4" w:space="0" w:color="auto"/>
              <w:bottom w:val="single" w:sz="4" w:space="0" w:color="auto"/>
            </w:tcBorders>
          </w:tcPr>
          <w:p w:rsidR="00E47486" w:rsidRDefault="00E47486" w:rsidP="00F546AE">
            <w:pPr>
              <w:pStyle w:val="NoSpacing"/>
            </w:pPr>
            <w:r>
              <w:t>III</w:t>
            </w:r>
          </w:p>
        </w:tc>
      </w:tr>
      <w:tr w:rsidR="00E47486" w:rsidTr="00E47486">
        <w:trPr>
          <w:jc w:val="center"/>
        </w:trPr>
        <w:tc>
          <w:tcPr>
            <w:tcW w:w="1728" w:type="dxa"/>
            <w:tcBorders>
              <w:top w:val="single" w:sz="4" w:space="0" w:color="auto"/>
              <w:bottom w:val="single" w:sz="4" w:space="0" w:color="auto"/>
            </w:tcBorders>
          </w:tcPr>
          <w:p w:rsidR="00E47486" w:rsidRDefault="00E47486" w:rsidP="00F546AE">
            <w:pPr>
              <w:pStyle w:val="NoSpacing"/>
            </w:pPr>
            <w:r w:rsidRPr="00E47486">
              <w:t>PSI07</w:t>
            </w:r>
          </w:p>
        </w:tc>
        <w:tc>
          <w:tcPr>
            <w:tcW w:w="1866" w:type="dxa"/>
            <w:tcBorders>
              <w:top w:val="single" w:sz="4" w:space="0" w:color="auto"/>
              <w:bottom w:val="single" w:sz="4" w:space="0" w:color="auto"/>
            </w:tcBorders>
          </w:tcPr>
          <w:p w:rsidR="00E47486" w:rsidRDefault="00E47486" w:rsidP="00F546AE">
            <w:pPr>
              <w:pStyle w:val="NoSpacing"/>
            </w:pPr>
            <w:r>
              <w:t>IV</w:t>
            </w:r>
          </w:p>
        </w:tc>
      </w:tr>
    </w:tbl>
    <w:p w:rsidR="00E47486" w:rsidRDefault="00E47486" w:rsidP="0015066F">
      <w:pPr>
        <w:pStyle w:val="NoSpacing"/>
      </w:pPr>
    </w:p>
    <w:p w:rsidR="0015066F" w:rsidRDefault="00C55FA4" w:rsidP="00C55FA4">
      <w:pPr>
        <w:pStyle w:val="NoSpacing"/>
      </w:pPr>
      <w:r w:rsidRPr="00C55FA4">
        <w:rPr>
          <w:u w:val="single"/>
        </w:rPr>
        <w:lastRenderedPageBreak/>
        <w:t>Question 2:</w:t>
      </w:r>
      <w:r>
        <w:t xml:space="preserve"> </w:t>
      </w:r>
      <w:r w:rsidR="00E47486">
        <w:t xml:space="preserve">Is </w:t>
      </w:r>
      <w:r w:rsidR="00E47486" w:rsidRPr="00E47486">
        <w:rPr>
          <w:i/>
        </w:rPr>
        <w:t xml:space="preserve">R. </w:t>
      </w:r>
      <w:proofErr w:type="spellStart"/>
      <w:r w:rsidR="00E47486" w:rsidRPr="00E47486">
        <w:rPr>
          <w:i/>
        </w:rPr>
        <w:t>solanacearum</w:t>
      </w:r>
      <w:proofErr w:type="spellEnd"/>
      <w:r w:rsidR="00E47486" w:rsidRPr="00E47486">
        <w:rPr>
          <w:i/>
        </w:rPr>
        <w:t xml:space="preserve"> </w:t>
      </w:r>
      <w:r w:rsidR="00E47486">
        <w:t xml:space="preserve">more susceptible to </w:t>
      </w:r>
      <w:proofErr w:type="spellStart"/>
      <w:r w:rsidR="00E47486">
        <w:t>ferulic</w:t>
      </w:r>
      <w:proofErr w:type="spellEnd"/>
      <w:r w:rsidR="00E47486">
        <w:t xml:space="preserve"> acid than other plant symbiotic bacteria?</w:t>
      </w:r>
    </w:p>
    <w:p w:rsidR="0015066F" w:rsidRDefault="0015066F" w:rsidP="00DB6435">
      <w:pPr>
        <w:pStyle w:val="NoSpacing"/>
      </w:pPr>
    </w:p>
    <w:tbl>
      <w:tblPr>
        <w:tblStyle w:val="TableGrid"/>
        <w:tblW w:w="9018" w:type="dxa"/>
        <w:jc w:val="center"/>
        <w:tblLook w:val="04A0" w:firstRow="1" w:lastRow="0" w:firstColumn="1" w:lastColumn="0" w:noHBand="0" w:noVBand="1"/>
      </w:tblPr>
      <w:tblGrid>
        <w:gridCol w:w="4608"/>
        <w:gridCol w:w="1956"/>
        <w:gridCol w:w="2454"/>
      </w:tblGrid>
      <w:tr w:rsidR="006954AA" w:rsidTr="002A424D">
        <w:trPr>
          <w:cnfStyle w:val="100000000000" w:firstRow="1" w:lastRow="0" w:firstColumn="0" w:lastColumn="0" w:oddVBand="0" w:evenVBand="0" w:oddHBand="0" w:evenHBand="0" w:firstRowFirstColumn="0" w:firstRowLastColumn="0" w:lastRowFirstColumn="0" w:lastRowLastColumn="0"/>
          <w:jc w:val="center"/>
        </w:trPr>
        <w:tc>
          <w:tcPr>
            <w:tcW w:w="4608" w:type="dxa"/>
          </w:tcPr>
          <w:p w:rsidR="006954AA" w:rsidRDefault="00B41AA9" w:rsidP="00DB6435">
            <w:pPr>
              <w:pStyle w:val="NoSpacing"/>
            </w:pPr>
            <w:r>
              <w:t>Bacteria</w:t>
            </w:r>
          </w:p>
        </w:tc>
        <w:tc>
          <w:tcPr>
            <w:tcW w:w="1956" w:type="dxa"/>
          </w:tcPr>
          <w:p w:rsidR="006954AA" w:rsidRDefault="00CB700E" w:rsidP="00DB6435">
            <w:pPr>
              <w:pStyle w:val="NoSpacing"/>
            </w:pPr>
            <w:r>
              <w:t>Plant Host</w:t>
            </w:r>
          </w:p>
        </w:tc>
        <w:tc>
          <w:tcPr>
            <w:tcW w:w="2454" w:type="dxa"/>
          </w:tcPr>
          <w:p w:rsidR="006954AA" w:rsidRDefault="00B41AA9" w:rsidP="00DB6435">
            <w:pPr>
              <w:pStyle w:val="NoSpacing"/>
            </w:pPr>
            <w:r>
              <w:t>Symbiotic outcome</w:t>
            </w:r>
          </w:p>
        </w:tc>
      </w:tr>
      <w:tr w:rsidR="006954AA" w:rsidTr="002A424D">
        <w:trPr>
          <w:jc w:val="center"/>
        </w:trPr>
        <w:tc>
          <w:tcPr>
            <w:tcW w:w="4608" w:type="dxa"/>
            <w:tcBorders>
              <w:top w:val="single" w:sz="12" w:space="0" w:color="auto"/>
              <w:bottom w:val="single" w:sz="4" w:space="0" w:color="auto"/>
            </w:tcBorders>
          </w:tcPr>
          <w:p w:rsidR="006954AA" w:rsidRDefault="00CB700E" w:rsidP="00DB6435">
            <w:pPr>
              <w:pStyle w:val="NoSpacing"/>
            </w:pPr>
            <w:r w:rsidRPr="000E2659">
              <w:rPr>
                <w:i/>
              </w:rPr>
              <w:t xml:space="preserve">Pseudomonas </w:t>
            </w:r>
            <w:proofErr w:type="spellStart"/>
            <w:r w:rsidRPr="000E2659">
              <w:rPr>
                <w:i/>
              </w:rPr>
              <w:t>syringae</w:t>
            </w:r>
            <w:proofErr w:type="spellEnd"/>
            <w:r>
              <w:t xml:space="preserve"> </w:t>
            </w:r>
            <w:proofErr w:type="spellStart"/>
            <w:r>
              <w:t>pv</w:t>
            </w:r>
            <w:proofErr w:type="spellEnd"/>
            <w:r>
              <w:t xml:space="preserve">. </w:t>
            </w:r>
            <w:r w:rsidRPr="000E2659">
              <w:rPr>
                <w:i/>
              </w:rPr>
              <w:t>tomato</w:t>
            </w:r>
            <w:r>
              <w:t xml:space="preserve"> DC3000</w:t>
            </w:r>
          </w:p>
        </w:tc>
        <w:tc>
          <w:tcPr>
            <w:tcW w:w="1956" w:type="dxa"/>
            <w:tcBorders>
              <w:top w:val="single" w:sz="12" w:space="0" w:color="auto"/>
              <w:bottom w:val="single" w:sz="4" w:space="0" w:color="auto"/>
            </w:tcBorders>
          </w:tcPr>
          <w:p w:rsidR="006954AA" w:rsidRDefault="00CB700E" w:rsidP="00DB6435">
            <w:pPr>
              <w:pStyle w:val="NoSpacing"/>
            </w:pPr>
            <w:r>
              <w:t>Tomato</w:t>
            </w:r>
          </w:p>
        </w:tc>
        <w:tc>
          <w:tcPr>
            <w:tcW w:w="2454" w:type="dxa"/>
            <w:tcBorders>
              <w:top w:val="single" w:sz="12" w:space="0" w:color="auto"/>
              <w:bottom w:val="single" w:sz="4" w:space="0" w:color="auto"/>
            </w:tcBorders>
          </w:tcPr>
          <w:p w:rsidR="006954AA" w:rsidRDefault="00CB700E" w:rsidP="00DB6435">
            <w:pPr>
              <w:pStyle w:val="NoSpacing"/>
            </w:pPr>
            <w:r>
              <w:t>Bacterial speck</w:t>
            </w:r>
            <w:r w:rsidR="00B41AA9">
              <w:t xml:space="preserve"> disease</w:t>
            </w:r>
          </w:p>
        </w:tc>
      </w:tr>
      <w:tr w:rsidR="006954AA" w:rsidTr="002A424D">
        <w:trPr>
          <w:jc w:val="center"/>
        </w:trPr>
        <w:tc>
          <w:tcPr>
            <w:tcW w:w="4608" w:type="dxa"/>
            <w:tcBorders>
              <w:top w:val="single" w:sz="4" w:space="0" w:color="auto"/>
              <w:bottom w:val="single" w:sz="4" w:space="0" w:color="auto"/>
            </w:tcBorders>
          </w:tcPr>
          <w:p w:rsidR="006954AA" w:rsidRDefault="00CB700E" w:rsidP="00CB700E">
            <w:pPr>
              <w:pStyle w:val="NoSpacing"/>
            </w:pPr>
            <w:proofErr w:type="spellStart"/>
            <w:r w:rsidRPr="000E2659">
              <w:rPr>
                <w:i/>
              </w:rPr>
              <w:t>Dickeya</w:t>
            </w:r>
            <w:proofErr w:type="spellEnd"/>
            <w:r w:rsidRPr="000E2659">
              <w:rPr>
                <w:i/>
              </w:rPr>
              <w:t xml:space="preserve"> </w:t>
            </w:r>
            <w:proofErr w:type="spellStart"/>
            <w:r w:rsidRPr="000E2659">
              <w:rPr>
                <w:i/>
              </w:rPr>
              <w:t>dadantii</w:t>
            </w:r>
            <w:proofErr w:type="spellEnd"/>
            <w:r>
              <w:t xml:space="preserve"> 3937</w:t>
            </w:r>
          </w:p>
        </w:tc>
        <w:tc>
          <w:tcPr>
            <w:tcW w:w="1956" w:type="dxa"/>
            <w:tcBorders>
              <w:top w:val="single" w:sz="4" w:space="0" w:color="auto"/>
              <w:bottom w:val="single" w:sz="4" w:space="0" w:color="auto"/>
            </w:tcBorders>
          </w:tcPr>
          <w:p w:rsidR="006954AA" w:rsidRDefault="00CB700E" w:rsidP="00DB6435">
            <w:pPr>
              <w:pStyle w:val="NoSpacing"/>
            </w:pPr>
            <w:r>
              <w:t>(broad host range)</w:t>
            </w:r>
          </w:p>
        </w:tc>
        <w:tc>
          <w:tcPr>
            <w:tcW w:w="2454" w:type="dxa"/>
            <w:tcBorders>
              <w:top w:val="single" w:sz="4" w:space="0" w:color="auto"/>
              <w:bottom w:val="single" w:sz="4" w:space="0" w:color="auto"/>
            </w:tcBorders>
          </w:tcPr>
          <w:p w:rsidR="00CB700E" w:rsidRDefault="00CB700E" w:rsidP="00DB6435">
            <w:pPr>
              <w:pStyle w:val="NoSpacing"/>
            </w:pPr>
            <w:r>
              <w:t>Soft rot</w:t>
            </w:r>
            <w:r w:rsidR="00B41AA9">
              <w:t xml:space="preserve"> disease</w:t>
            </w:r>
          </w:p>
        </w:tc>
      </w:tr>
      <w:tr w:rsidR="00CB700E" w:rsidTr="002A424D">
        <w:trPr>
          <w:jc w:val="center"/>
        </w:trPr>
        <w:tc>
          <w:tcPr>
            <w:tcW w:w="4608" w:type="dxa"/>
            <w:tcBorders>
              <w:top w:val="single" w:sz="4" w:space="0" w:color="auto"/>
              <w:bottom w:val="single" w:sz="4" w:space="0" w:color="auto"/>
            </w:tcBorders>
          </w:tcPr>
          <w:p w:rsidR="00CB700E" w:rsidRPr="000E2659" w:rsidRDefault="00CB700E" w:rsidP="00CB700E">
            <w:pPr>
              <w:pStyle w:val="NoSpacing"/>
              <w:rPr>
                <w:i/>
              </w:rPr>
            </w:pPr>
            <w:proofErr w:type="spellStart"/>
            <w:r w:rsidRPr="000E2659">
              <w:rPr>
                <w:i/>
              </w:rPr>
              <w:t>Xanthomonas</w:t>
            </w:r>
            <w:proofErr w:type="spellEnd"/>
            <w:r w:rsidRPr="000E2659">
              <w:rPr>
                <w:i/>
              </w:rPr>
              <w:t xml:space="preserve"> </w:t>
            </w:r>
            <w:proofErr w:type="spellStart"/>
            <w:r w:rsidRPr="000E2659">
              <w:rPr>
                <w:i/>
              </w:rPr>
              <w:t>euvesicatoria</w:t>
            </w:r>
            <w:proofErr w:type="spellEnd"/>
          </w:p>
        </w:tc>
        <w:tc>
          <w:tcPr>
            <w:tcW w:w="1956" w:type="dxa"/>
            <w:tcBorders>
              <w:top w:val="single" w:sz="4" w:space="0" w:color="auto"/>
              <w:bottom w:val="single" w:sz="4" w:space="0" w:color="auto"/>
            </w:tcBorders>
          </w:tcPr>
          <w:p w:rsidR="00CB700E" w:rsidRDefault="00CB700E" w:rsidP="00DB6435">
            <w:pPr>
              <w:pStyle w:val="NoSpacing"/>
            </w:pPr>
            <w:r>
              <w:t>Tomato</w:t>
            </w:r>
          </w:p>
        </w:tc>
        <w:tc>
          <w:tcPr>
            <w:tcW w:w="2454" w:type="dxa"/>
            <w:tcBorders>
              <w:top w:val="single" w:sz="4" w:space="0" w:color="auto"/>
              <w:bottom w:val="single" w:sz="4" w:space="0" w:color="auto"/>
            </w:tcBorders>
          </w:tcPr>
          <w:p w:rsidR="00CB700E" w:rsidRDefault="00CB700E" w:rsidP="00DB6435">
            <w:pPr>
              <w:pStyle w:val="NoSpacing"/>
            </w:pPr>
            <w:r>
              <w:t>Bacterial spot</w:t>
            </w:r>
            <w:r w:rsidR="00B41AA9">
              <w:t xml:space="preserve"> disease</w:t>
            </w:r>
          </w:p>
        </w:tc>
      </w:tr>
      <w:tr w:rsidR="000E2659" w:rsidTr="002A424D">
        <w:trPr>
          <w:jc w:val="center"/>
        </w:trPr>
        <w:tc>
          <w:tcPr>
            <w:tcW w:w="4608" w:type="dxa"/>
            <w:tcBorders>
              <w:top w:val="single" w:sz="4" w:space="0" w:color="auto"/>
              <w:bottom w:val="single" w:sz="4" w:space="0" w:color="auto"/>
            </w:tcBorders>
          </w:tcPr>
          <w:p w:rsidR="000E2659" w:rsidRDefault="000E2659" w:rsidP="00CB700E">
            <w:pPr>
              <w:pStyle w:val="NoSpacing"/>
            </w:pPr>
            <w:proofErr w:type="spellStart"/>
            <w:r w:rsidRPr="000E2659">
              <w:rPr>
                <w:i/>
              </w:rPr>
              <w:t>Clavibacter</w:t>
            </w:r>
            <w:proofErr w:type="spellEnd"/>
            <w:r w:rsidRPr="000E2659">
              <w:rPr>
                <w:i/>
              </w:rPr>
              <w:t xml:space="preserve"> </w:t>
            </w:r>
            <w:proofErr w:type="spellStart"/>
            <w:r w:rsidRPr="000E2659">
              <w:rPr>
                <w:i/>
              </w:rPr>
              <w:t>michiganensis</w:t>
            </w:r>
            <w:proofErr w:type="spellEnd"/>
            <w:r>
              <w:t xml:space="preserve"> subsp. </w:t>
            </w:r>
            <w:proofErr w:type="spellStart"/>
            <w:r w:rsidRPr="000E2659">
              <w:rPr>
                <w:i/>
              </w:rPr>
              <w:t>michiganensis</w:t>
            </w:r>
            <w:proofErr w:type="spellEnd"/>
          </w:p>
        </w:tc>
        <w:tc>
          <w:tcPr>
            <w:tcW w:w="1956" w:type="dxa"/>
            <w:tcBorders>
              <w:top w:val="single" w:sz="4" w:space="0" w:color="auto"/>
              <w:bottom w:val="single" w:sz="4" w:space="0" w:color="auto"/>
            </w:tcBorders>
          </w:tcPr>
          <w:p w:rsidR="000E2659" w:rsidRDefault="000E2659" w:rsidP="00DB6435">
            <w:pPr>
              <w:pStyle w:val="NoSpacing"/>
            </w:pPr>
            <w:r>
              <w:t>Tomato</w:t>
            </w:r>
          </w:p>
        </w:tc>
        <w:tc>
          <w:tcPr>
            <w:tcW w:w="2454" w:type="dxa"/>
            <w:tcBorders>
              <w:top w:val="single" w:sz="4" w:space="0" w:color="auto"/>
              <w:bottom w:val="single" w:sz="4" w:space="0" w:color="auto"/>
            </w:tcBorders>
          </w:tcPr>
          <w:p w:rsidR="000E2659" w:rsidRDefault="000E2659" w:rsidP="00DB6435">
            <w:pPr>
              <w:pStyle w:val="NoSpacing"/>
            </w:pPr>
            <w:r>
              <w:t>Bacterial wilt &amp; canker</w:t>
            </w:r>
          </w:p>
        </w:tc>
      </w:tr>
      <w:tr w:rsidR="000E2659" w:rsidTr="002A424D">
        <w:trPr>
          <w:jc w:val="center"/>
        </w:trPr>
        <w:tc>
          <w:tcPr>
            <w:tcW w:w="4608" w:type="dxa"/>
            <w:tcBorders>
              <w:top w:val="single" w:sz="4" w:space="0" w:color="auto"/>
              <w:bottom w:val="single" w:sz="4" w:space="0" w:color="auto"/>
            </w:tcBorders>
          </w:tcPr>
          <w:p w:rsidR="000E2659" w:rsidRPr="000E2659" w:rsidRDefault="000E2659" w:rsidP="00CB700E">
            <w:pPr>
              <w:pStyle w:val="NoSpacing"/>
              <w:rPr>
                <w:i/>
              </w:rPr>
            </w:pPr>
            <w:r>
              <w:rPr>
                <w:i/>
              </w:rPr>
              <w:t xml:space="preserve">Agrobacterium </w:t>
            </w:r>
            <w:proofErr w:type="spellStart"/>
            <w:r>
              <w:rPr>
                <w:i/>
              </w:rPr>
              <w:t>tumefaciens</w:t>
            </w:r>
            <w:proofErr w:type="spellEnd"/>
          </w:p>
        </w:tc>
        <w:tc>
          <w:tcPr>
            <w:tcW w:w="1956" w:type="dxa"/>
            <w:tcBorders>
              <w:top w:val="single" w:sz="4" w:space="0" w:color="auto"/>
              <w:bottom w:val="single" w:sz="4" w:space="0" w:color="auto"/>
            </w:tcBorders>
          </w:tcPr>
          <w:p w:rsidR="000E2659" w:rsidRDefault="000E2659" w:rsidP="000E2659">
            <w:pPr>
              <w:pStyle w:val="NoSpacing"/>
            </w:pPr>
            <w:r>
              <w:t>Many dicots</w:t>
            </w:r>
          </w:p>
        </w:tc>
        <w:tc>
          <w:tcPr>
            <w:tcW w:w="2454" w:type="dxa"/>
            <w:tcBorders>
              <w:top w:val="single" w:sz="4" w:space="0" w:color="auto"/>
              <w:bottom w:val="single" w:sz="4" w:space="0" w:color="auto"/>
            </w:tcBorders>
          </w:tcPr>
          <w:p w:rsidR="00A40F56" w:rsidRDefault="000E2659" w:rsidP="00DB6435">
            <w:pPr>
              <w:pStyle w:val="NoSpacing"/>
            </w:pPr>
            <w:r>
              <w:t>Crown gall</w:t>
            </w:r>
            <w:r w:rsidR="00B41AA9">
              <w:t xml:space="preserve"> disease</w:t>
            </w:r>
          </w:p>
        </w:tc>
      </w:tr>
      <w:tr w:rsidR="00A40F56" w:rsidTr="002A424D">
        <w:trPr>
          <w:jc w:val="center"/>
        </w:trPr>
        <w:tc>
          <w:tcPr>
            <w:tcW w:w="4608" w:type="dxa"/>
            <w:tcBorders>
              <w:top w:val="single" w:sz="4" w:space="0" w:color="auto"/>
              <w:bottom w:val="single" w:sz="4" w:space="0" w:color="auto"/>
            </w:tcBorders>
          </w:tcPr>
          <w:p w:rsidR="00A40F56" w:rsidRPr="00B41AA9" w:rsidRDefault="00B41AA9" w:rsidP="00CB700E">
            <w:pPr>
              <w:pStyle w:val="NoSpacing"/>
              <w:rPr>
                <w:i/>
              </w:rPr>
            </w:pPr>
            <w:proofErr w:type="spellStart"/>
            <w:r w:rsidRPr="00B41AA9">
              <w:rPr>
                <w:i/>
              </w:rPr>
              <w:t>Sinorhizobium</w:t>
            </w:r>
            <w:proofErr w:type="spellEnd"/>
            <w:r w:rsidRPr="00B41AA9">
              <w:rPr>
                <w:i/>
              </w:rPr>
              <w:t xml:space="preserve"> </w:t>
            </w:r>
            <w:proofErr w:type="spellStart"/>
            <w:r w:rsidRPr="00B41AA9">
              <w:rPr>
                <w:i/>
              </w:rPr>
              <w:t>meliloti</w:t>
            </w:r>
            <w:proofErr w:type="spellEnd"/>
          </w:p>
        </w:tc>
        <w:tc>
          <w:tcPr>
            <w:tcW w:w="1956" w:type="dxa"/>
            <w:tcBorders>
              <w:top w:val="single" w:sz="4" w:space="0" w:color="auto"/>
              <w:bottom w:val="single" w:sz="4" w:space="0" w:color="auto"/>
            </w:tcBorders>
          </w:tcPr>
          <w:p w:rsidR="00A40F56" w:rsidRDefault="00B41AA9" w:rsidP="000E2659">
            <w:pPr>
              <w:pStyle w:val="NoSpacing"/>
            </w:pPr>
            <w:r>
              <w:t>Legumes</w:t>
            </w:r>
          </w:p>
        </w:tc>
        <w:tc>
          <w:tcPr>
            <w:tcW w:w="2454" w:type="dxa"/>
            <w:tcBorders>
              <w:top w:val="single" w:sz="4" w:space="0" w:color="auto"/>
              <w:bottom w:val="single" w:sz="4" w:space="0" w:color="auto"/>
            </w:tcBorders>
          </w:tcPr>
          <w:p w:rsidR="00A40F56" w:rsidRDefault="00B41AA9" w:rsidP="00DB6435">
            <w:pPr>
              <w:pStyle w:val="NoSpacing"/>
            </w:pPr>
            <w:r>
              <w:t>Nitrogen fixation</w:t>
            </w:r>
          </w:p>
        </w:tc>
      </w:tr>
    </w:tbl>
    <w:p w:rsidR="00DB6435" w:rsidRDefault="00DB6435" w:rsidP="00DB6435">
      <w:pPr>
        <w:pStyle w:val="NoSpacing"/>
      </w:pPr>
    </w:p>
    <w:p w:rsidR="00B41AA9" w:rsidRPr="00B41AA9" w:rsidRDefault="00B41AA9" w:rsidP="00DB6435">
      <w:pPr>
        <w:pStyle w:val="NoSpacing"/>
        <w:rPr>
          <w:u w:val="single"/>
        </w:rPr>
      </w:pPr>
      <w:r w:rsidRPr="00B41AA9">
        <w:rPr>
          <w:u w:val="single"/>
        </w:rPr>
        <w:t>Research Outline</w:t>
      </w:r>
    </w:p>
    <w:p w:rsidR="00B41AA9" w:rsidRDefault="00B41AA9" w:rsidP="00B41AA9">
      <w:pPr>
        <w:pStyle w:val="NoSpacing"/>
        <w:numPr>
          <w:ilvl w:val="0"/>
          <w:numId w:val="1"/>
        </w:numPr>
      </w:pPr>
      <w:r>
        <w:t xml:space="preserve">Media preparation </w:t>
      </w:r>
      <w:r w:rsidR="00EF1DA2">
        <w:t xml:space="preserve">&amp; Sterile </w:t>
      </w:r>
      <w:r w:rsidR="00E47486">
        <w:t>Technique</w:t>
      </w:r>
    </w:p>
    <w:p w:rsidR="00B41AA9" w:rsidRDefault="00B41AA9" w:rsidP="00B41AA9">
      <w:pPr>
        <w:pStyle w:val="NoSpacing"/>
        <w:numPr>
          <w:ilvl w:val="1"/>
          <w:numId w:val="1"/>
        </w:numPr>
      </w:pPr>
      <w:r>
        <w:t>CPG – liquid and solid</w:t>
      </w:r>
    </w:p>
    <w:p w:rsidR="00B41AA9" w:rsidRDefault="00B41AA9" w:rsidP="00B41AA9">
      <w:pPr>
        <w:pStyle w:val="NoSpacing"/>
        <w:numPr>
          <w:ilvl w:val="1"/>
          <w:numId w:val="1"/>
        </w:numPr>
      </w:pPr>
      <w:r>
        <w:t>Boucher’s Minimal Media (BMM)</w:t>
      </w:r>
    </w:p>
    <w:p w:rsidR="00B41AA9" w:rsidRDefault="00EF1DA2" w:rsidP="00B41AA9">
      <w:pPr>
        <w:pStyle w:val="NoSpacing"/>
        <w:numPr>
          <w:ilvl w:val="0"/>
          <w:numId w:val="1"/>
        </w:numPr>
      </w:pPr>
      <w:r>
        <w:t>Stock Solutions</w:t>
      </w:r>
    </w:p>
    <w:p w:rsidR="00EF1DA2" w:rsidRDefault="00EF1DA2" w:rsidP="00EF1DA2">
      <w:pPr>
        <w:pStyle w:val="NoSpacing"/>
        <w:numPr>
          <w:ilvl w:val="1"/>
          <w:numId w:val="1"/>
        </w:numPr>
      </w:pPr>
      <w:r>
        <w:t>1 M Glucose in H2O</w:t>
      </w:r>
    </w:p>
    <w:p w:rsidR="00EF1DA2" w:rsidRDefault="00EF1DA2" w:rsidP="00EF1DA2">
      <w:pPr>
        <w:pStyle w:val="NoSpacing"/>
        <w:numPr>
          <w:ilvl w:val="1"/>
          <w:numId w:val="1"/>
        </w:numPr>
      </w:pPr>
      <w:r>
        <w:t xml:space="preserve">1 M and 0.1 M </w:t>
      </w:r>
      <w:proofErr w:type="spellStart"/>
      <w:r>
        <w:t>ferulic</w:t>
      </w:r>
      <w:proofErr w:type="spellEnd"/>
      <w:r>
        <w:t xml:space="preserve"> acid in DMSO</w:t>
      </w:r>
    </w:p>
    <w:p w:rsidR="007A3D24" w:rsidRDefault="007A3D24" w:rsidP="00EF1DA2">
      <w:pPr>
        <w:pStyle w:val="NoSpacing"/>
        <w:numPr>
          <w:ilvl w:val="1"/>
          <w:numId w:val="1"/>
        </w:numPr>
      </w:pPr>
      <w:r>
        <w:t>1% TZC</w:t>
      </w:r>
      <w:bookmarkStart w:id="0" w:name="_GoBack"/>
      <w:bookmarkEnd w:id="0"/>
    </w:p>
    <w:p w:rsidR="003311A8" w:rsidRDefault="00C0605E" w:rsidP="003311A8">
      <w:pPr>
        <w:pStyle w:val="NoSpacing"/>
        <w:numPr>
          <w:ilvl w:val="0"/>
          <w:numId w:val="1"/>
        </w:numPr>
      </w:pPr>
      <w:r>
        <w:t>How to culture bacteria</w:t>
      </w:r>
    </w:p>
    <w:p w:rsidR="00C0605E" w:rsidRDefault="00C0605E" w:rsidP="00C0605E">
      <w:pPr>
        <w:pStyle w:val="NoSpacing"/>
        <w:numPr>
          <w:ilvl w:val="1"/>
          <w:numId w:val="1"/>
        </w:numPr>
      </w:pPr>
      <w:r>
        <w:t>Making freezer stocks</w:t>
      </w:r>
    </w:p>
    <w:p w:rsidR="00EF1DA2" w:rsidRDefault="0015066F" w:rsidP="00EF1DA2">
      <w:pPr>
        <w:pStyle w:val="NoSpacing"/>
        <w:numPr>
          <w:ilvl w:val="0"/>
          <w:numId w:val="1"/>
        </w:numPr>
      </w:pPr>
      <w:r>
        <w:t xml:space="preserve">MICs for </w:t>
      </w:r>
      <w:proofErr w:type="spellStart"/>
      <w:r>
        <w:t>ferulic</w:t>
      </w:r>
      <w:proofErr w:type="spellEnd"/>
      <w:r>
        <w:t xml:space="preserve"> acid</w:t>
      </w:r>
    </w:p>
    <w:p w:rsidR="0015066F" w:rsidRDefault="0015066F" w:rsidP="0015066F">
      <w:pPr>
        <w:pStyle w:val="NoSpacing"/>
        <w:numPr>
          <w:ilvl w:val="1"/>
          <w:numId w:val="1"/>
        </w:numPr>
      </w:pPr>
      <w:r>
        <w:t xml:space="preserve">Start with </w:t>
      </w:r>
      <w:r>
        <w:rPr>
          <w:i/>
        </w:rPr>
        <w:t xml:space="preserve">R. </w:t>
      </w:r>
      <w:proofErr w:type="spellStart"/>
      <w:r>
        <w:rPr>
          <w:i/>
        </w:rPr>
        <w:t>solanacearum</w:t>
      </w:r>
      <w:proofErr w:type="spellEnd"/>
      <w:r>
        <w:rPr>
          <w:i/>
        </w:rPr>
        <w:t xml:space="preserve"> </w:t>
      </w:r>
      <w:r>
        <w:t>GMI1000</w:t>
      </w:r>
      <w:r w:rsidR="00E47486">
        <w:t>.</w:t>
      </w:r>
    </w:p>
    <w:p w:rsidR="00E47486" w:rsidRDefault="00E47486" w:rsidP="0015066F">
      <w:pPr>
        <w:pStyle w:val="NoSpacing"/>
        <w:numPr>
          <w:ilvl w:val="1"/>
          <w:numId w:val="1"/>
        </w:numPr>
      </w:pPr>
      <w:r>
        <w:t xml:space="preserve">Other </w:t>
      </w:r>
      <w:r>
        <w:rPr>
          <w:i/>
        </w:rPr>
        <w:t xml:space="preserve">R. </w:t>
      </w:r>
      <w:proofErr w:type="spellStart"/>
      <w:r>
        <w:rPr>
          <w:i/>
        </w:rPr>
        <w:t>solanacearum</w:t>
      </w:r>
      <w:proofErr w:type="spellEnd"/>
    </w:p>
    <w:p w:rsidR="00EF1DA2" w:rsidRDefault="00E47486" w:rsidP="00E47486">
      <w:pPr>
        <w:pStyle w:val="NoSpacing"/>
        <w:numPr>
          <w:ilvl w:val="1"/>
          <w:numId w:val="1"/>
        </w:numPr>
      </w:pPr>
      <w:r>
        <w:t>Other plant pathogenic bacteria</w:t>
      </w:r>
    </w:p>
    <w:p w:rsidR="00B41AA9" w:rsidRDefault="00B41AA9" w:rsidP="00DB6435">
      <w:pPr>
        <w:pStyle w:val="NoSpacing"/>
      </w:pPr>
    </w:p>
    <w:p w:rsidR="00B41AA9" w:rsidRDefault="00B41AA9" w:rsidP="00DB6435">
      <w:pPr>
        <w:pStyle w:val="NoSpacing"/>
      </w:pPr>
    </w:p>
    <w:p w:rsidR="00B41AA9" w:rsidRDefault="00B41AA9" w:rsidP="00DB6435">
      <w:pPr>
        <w:pStyle w:val="NoSpacing"/>
      </w:pPr>
    </w:p>
    <w:p w:rsidR="00B41AA9" w:rsidRDefault="00B41AA9" w:rsidP="00DB6435">
      <w:pPr>
        <w:pStyle w:val="NoSpacing"/>
      </w:pPr>
    </w:p>
    <w:p w:rsidR="00B41AA9" w:rsidRDefault="00B41AA9" w:rsidP="00DB6435">
      <w:pPr>
        <w:pStyle w:val="NoSpacing"/>
      </w:pPr>
    </w:p>
    <w:p w:rsidR="00B41AA9" w:rsidRDefault="00B41AA9" w:rsidP="00DB6435">
      <w:pPr>
        <w:pStyle w:val="NoSpacing"/>
      </w:pPr>
    </w:p>
    <w:p w:rsidR="00B41AA9" w:rsidRDefault="00B41AA9" w:rsidP="00DB6435">
      <w:pPr>
        <w:pStyle w:val="NoSpacing"/>
      </w:pPr>
    </w:p>
    <w:p w:rsidR="00B41AA9" w:rsidRDefault="00B41AA9" w:rsidP="00DB6435">
      <w:pPr>
        <w:pStyle w:val="NoSpacing"/>
      </w:pPr>
    </w:p>
    <w:p w:rsidR="00B41AA9" w:rsidRDefault="00B41AA9" w:rsidP="00DB6435">
      <w:pPr>
        <w:pStyle w:val="NoSpacing"/>
      </w:pPr>
    </w:p>
    <w:p w:rsidR="00B41AA9" w:rsidRDefault="00B41AA9" w:rsidP="00DB6435">
      <w:pPr>
        <w:pStyle w:val="NoSpacing"/>
      </w:pPr>
    </w:p>
    <w:p w:rsidR="00B41AA9" w:rsidRDefault="00B41AA9" w:rsidP="00DB6435">
      <w:pPr>
        <w:pStyle w:val="NoSpacing"/>
      </w:pPr>
    </w:p>
    <w:p w:rsidR="00B41AA9" w:rsidRDefault="00B41AA9" w:rsidP="00DB6435">
      <w:pPr>
        <w:pStyle w:val="NoSpacing"/>
      </w:pPr>
    </w:p>
    <w:p w:rsidR="00B41AA9" w:rsidRDefault="00B41AA9" w:rsidP="00DB6435">
      <w:pPr>
        <w:pStyle w:val="NoSpacing"/>
      </w:pPr>
    </w:p>
    <w:sectPr w:rsidR="00B41AA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2C5" w:rsidRDefault="002232C5" w:rsidP="006F5306">
      <w:pPr>
        <w:spacing w:after="0" w:line="240" w:lineRule="auto"/>
      </w:pPr>
      <w:r>
        <w:separator/>
      </w:r>
    </w:p>
  </w:endnote>
  <w:endnote w:type="continuationSeparator" w:id="0">
    <w:p w:rsidR="002232C5" w:rsidRDefault="002232C5" w:rsidP="006F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637148"/>
      <w:docPartObj>
        <w:docPartGallery w:val="Page Numbers (Bottom of Page)"/>
        <w:docPartUnique/>
      </w:docPartObj>
    </w:sdtPr>
    <w:sdtEndPr>
      <w:rPr>
        <w:noProof/>
      </w:rPr>
    </w:sdtEndPr>
    <w:sdtContent>
      <w:p w:rsidR="00C55FA4" w:rsidRDefault="00C55FA4">
        <w:pPr>
          <w:pStyle w:val="Footer"/>
          <w:jc w:val="right"/>
        </w:pPr>
        <w:r>
          <w:fldChar w:fldCharType="begin"/>
        </w:r>
        <w:r>
          <w:instrText xml:space="preserve"> PAGE   \* MERGEFORMAT </w:instrText>
        </w:r>
        <w:r>
          <w:fldChar w:fldCharType="separate"/>
        </w:r>
        <w:r w:rsidR="00C0605E">
          <w:rPr>
            <w:noProof/>
          </w:rPr>
          <w:t>3</w:t>
        </w:r>
        <w:r>
          <w:rPr>
            <w:noProof/>
          </w:rPr>
          <w:fldChar w:fldCharType="end"/>
        </w:r>
      </w:p>
    </w:sdtContent>
  </w:sdt>
  <w:p w:rsidR="00C55FA4" w:rsidRDefault="00C55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2C5" w:rsidRDefault="002232C5" w:rsidP="006F5306">
      <w:pPr>
        <w:spacing w:after="0" w:line="240" w:lineRule="auto"/>
      </w:pPr>
      <w:r>
        <w:separator/>
      </w:r>
    </w:p>
  </w:footnote>
  <w:footnote w:type="continuationSeparator" w:id="0">
    <w:p w:rsidR="002232C5" w:rsidRDefault="002232C5" w:rsidP="006F5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306" w:rsidRDefault="006F5306">
    <w:pPr>
      <w:pStyle w:val="Header"/>
    </w:pPr>
    <w:r>
      <w:t>Undergraduate project idea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F454D2"/>
    <w:multiLevelType w:val="hybridMultilevel"/>
    <w:tmpl w:val="C9463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306"/>
    <w:rsid w:val="000E2659"/>
    <w:rsid w:val="001126EF"/>
    <w:rsid w:val="00125C99"/>
    <w:rsid w:val="0015066F"/>
    <w:rsid w:val="002232C5"/>
    <w:rsid w:val="002A424D"/>
    <w:rsid w:val="002D3002"/>
    <w:rsid w:val="0032136C"/>
    <w:rsid w:val="003311A8"/>
    <w:rsid w:val="003E3218"/>
    <w:rsid w:val="0056532A"/>
    <w:rsid w:val="006954AA"/>
    <w:rsid w:val="006F5306"/>
    <w:rsid w:val="007A3D24"/>
    <w:rsid w:val="007C130F"/>
    <w:rsid w:val="00834816"/>
    <w:rsid w:val="00881B3A"/>
    <w:rsid w:val="009364EA"/>
    <w:rsid w:val="009504B3"/>
    <w:rsid w:val="00A40F56"/>
    <w:rsid w:val="00B41AA9"/>
    <w:rsid w:val="00BE4430"/>
    <w:rsid w:val="00C0605E"/>
    <w:rsid w:val="00C07522"/>
    <w:rsid w:val="00C25D52"/>
    <w:rsid w:val="00C55FA4"/>
    <w:rsid w:val="00C653DF"/>
    <w:rsid w:val="00CB700E"/>
    <w:rsid w:val="00CE666B"/>
    <w:rsid w:val="00DB6435"/>
    <w:rsid w:val="00E47486"/>
    <w:rsid w:val="00E50717"/>
    <w:rsid w:val="00EA76ED"/>
    <w:rsid w:val="00EF1DA2"/>
    <w:rsid w:val="00F20BA6"/>
    <w:rsid w:val="00F365F9"/>
    <w:rsid w:val="00FB4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cience Table"/>
    <w:basedOn w:val="TableNormal"/>
    <w:uiPriority w:val="59"/>
    <w:rsid w:val="00881B3A"/>
    <w:pPr>
      <w:spacing w:after="0" w:line="240" w:lineRule="auto"/>
    </w:pPr>
    <w:tblPr>
      <w:tblInd w:w="0" w:type="dxa"/>
      <w:tblCellMar>
        <w:top w:w="0" w:type="dxa"/>
        <w:left w:w="108" w:type="dxa"/>
        <w:bottom w:w="0" w:type="dxa"/>
        <w:right w:w="108" w:type="dxa"/>
      </w:tblCellMar>
    </w:tblPr>
    <w:tblStylePr w:type="firstRow">
      <w:tblPr/>
      <w:tcPr>
        <w:tcBorders>
          <w:top w:val="single" w:sz="12" w:space="0" w:color="auto"/>
          <w:bottom w:val="single" w:sz="12" w:space="0" w:color="auto"/>
          <w:insideH w:val="nil"/>
        </w:tcBorders>
      </w:tcPr>
    </w:tblStylePr>
  </w:style>
  <w:style w:type="table" w:customStyle="1" w:styleId="Science2">
    <w:name w:val="Science 2"/>
    <w:basedOn w:val="TableNormal"/>
    <w:uiPriority w:val="99"/>
    <w:rsid w:val="0032136C"/>
    <w:pPr>
      <w:spacing w:after="0" w:line="240" w:lineRule="auto"/>
    </w:p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tblStylePr w:type="firstRow">
      <w:tblPr/>
      <w:tcPr>
        <w:tcBorders>
          <w:top w:val="single" w:sz="12" w:space="0" w:color="auto"/>
          <w:bottom w:val="single" w:sz="12" w:space="0" w:color="auto"/>
          <w:insideH w:val="nil"/>
        </w:tcBorders>
      </w:tcPr>
    </w:tblStylePr>
  </w:style>
  <w:style w:type="paragraph" w:styleId="Header">
    <w:name w:val="header"/>
    <w:basedOn w:val="Normal"/>
    <w:link w:val="HeaderChar"/>
    <w:uiPriority w:val="99"/>
    <w:unhideWhenUsed/>
    <w:rsid w:val="006F5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306"/>
  </w:style>
  <w:style w:type="paragraph" w:styleId="Footer">
    <w:name w:val="footer"/>
    <w:basedOn w:val="Normal"/>
    <w:link w:val="FooterChar"/>
    <w:uiPriority w:val="99"/>
    <w:unhideWhenUsed/>
    <w:rsid w:val="006F5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306"/>
  </w:style>
  <w:style w:type="paragraph" w:styleId="BalloonText">
    <w:name w:val="Balloon Text"/>
    <w:basedOn w:val="Normal"/>
    <w:link w:val="BalloonTextChar"/>
    <w:uiPriority w:val="99"/>
    <w:semiHidden/>
    <w:unhideWhenUsed/>
    <w:rsid w:val="00950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4B3"/>
    <w:rPr>
      <w:rFonts w:ascii="Tahoma" w:hAnsi="Tahoma" w:cs="Tahoma"/>
      <w:sz w:val="16"/>
      <w:szCs w:val="16"/>
    </w:rPr>
  </w:style>
  <w:style w:type="paragraph" w:styleId="NoSpacing">
    <w:name w:val="No Spacing"/>
    <w:uiPriority w:val="1"/>
    <w:qFormat/>
    <w:rsid w:val="00C07522"/>
    <w:pPr>
      <w:spacing w:after="0" w:line="240" w:lineRule="auto"/>
    </w:pPr>
  </w:style>
  <w:style w:type="character" w:styleId="Emphasis">
    <w:name w:val="Emphasis"/>
    <w:basedOn w:val="DefaultParagraphFont"/>
    <w:uiPriority w:val="20"/>
    <w:qFormat/>
    <w:rsid w:val="00DB6435"/>
    <w:rPr>
      <w:i/>
      <w:iCs/>
    </w:rPr>
  </w:style>
  <w:style w:type="character" w:customStyle="1" w:styleId="apple-converted-space">
    <w:name w:val="apple-converted-space"/>
    <w:basedOn w:val="DefaultParagraphFont"/>
    <w:rsid w:val="00DB6435"/>
  </w:style>
  <w:style w:type="character" w:styleId="Hyperlink">
    <w:name w:val="Hyperlink"/>
    <w:basedOn w:val="DefaultParagraphFont"/>
    <w:uiPriority w:val="99"/>
    <w:semiHidden/>
    <w:unhideWhenUsed/>
    <w:rsid w:val="002D30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cience Table"/>
    <w:basedOn w:val="TableNormal"/>
    <w:uiPriority w:val="59"/>
    <w:rsid w:val="00881B3A"/>
    <w:pPr>
      <w:spacing w:after="0" w:line="240" w:lineRule="auto"/>
    </w:pPr>
    <w:tblPr>
      <w:tblInd w:w="0" w:type="dxa"/>
      <w:tblCellMar>
        <w:top w:w="0" w:type="dxa"/>
        <w:left w:w="108" w:type="dxa"/>
        <w:bottom w:w="0" w:type="dxa"/>
        <w:right w:w="108" w:type="dxa"/>
      </w:tblCellMar>
    </w:tblPr>
    <w:tblStylePr w:type="firstRow">
      <w:tblPr/>
      <w:tcPr>
        <w:tcBorders>
          <w:top w:val="single" w:sz="12" w:space="0" w:color="auto"/>
          <w:bottom w:val="single" w:sz="12" w:space="0" w:color="auto"/>
          <w:insideH w:val="nil"/>
        </w:tcBorders>
      </w:tcPr>
    </w:tblStylePr>
  </w:style>
  <w:style w:type="table" w:customStyle="1" w:styleId="Science2">
    <w:name w:val="Science 2"/>
    <w:basedOn w:val="TableNormal"/>
    <w:uiPriority w:val="99"/>
    <w:rsid w:val="0032136C"/>
    <w:pPr>
      <w:spacing w:after="0" w:line="240" w:lineRule="auto"/>
    </w:p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tblStylePr w:type="firstRow">
      <w:tblPr/>
      <w:tcPr>
        <w:tcBorders>
          <w:top w:val="single" w:sz="12" w:space="0" w:color="auto"/>
          <w:bottom w:val="single" w:sz="12" w:space="0" w:color="auto"/>
          <w:insideH w:val="nil"/>
        </w:tcBorders>
      </w:tcPr>
    </w:tblStylePr>
  </w:style>
  <w:style w:type="paragraph" w:styleId="Header">
    <w:name w:val="header"/>
    <w:basedOn w:val="Normal"/>
    <w:link w:val="HeaderChar"/>
    <w:uiPriority w:val="99"/>
    <w:unhideWhenUsed/>
    <w:rsid w:val="006F5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306"/>
  </w:style>
  <w:style w:type="paragraph" w:styleId="Footer">
    <w:name w:val="footer"/>
    <w:basedOn w:val="Normal"/>
    <w:link w:val="FooterChar"/>
    <w:uiPriority w:val="99"/>
    <w:unhideWhenUsed/>
    <w:rsid w:val="006F5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306"/>
  </w:style>
  <w:style w:type="paragraph" w:styleId="BalloonText">
    <w:name w:val="Balloon Text"/>
    <w:basedOn w:val="Normal"/>
    <w:link w:val="BalloonTextChar"/>
    <w:uiPriority w:val="99"/>
    <w:semiHidden/>
    <w:unhideWhenUsed/>
    <w:rsid w:val="00950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4B3"/>
    <w:rPr>
      <w:rFonts w:ascii="Tahoma" w:hAnsi="Tahoma" w:cs="Tahoma"/>
      <w:sz w:val="16"/>
      <w:szCs w:val="16"/>
    </w:rPr>
  </w:style>
  <w:style w:type="paragraph" w:styleId="NoSpacing">
    <w:name w:val="No Spacing"/>
    <w:uiPriority w:val="1"/>
    <w:qFormat/>
    <w:rsid w:val="00C07522"/>
    <w:pPr>
      <w:spacing w:after="0" w:line="240" w:lineRule="auto"/>
    </w:pPr>
  </w:style>
  <w:style w:type="character" w:styleId="Emphasis">
    <w:name w:val="Emphasis"/>
    <w:basedOn w:val="DefaultParagraphFont"/>
    <w:uiPriority w:val="20"/>
    <w:qFormat/>
    <w:rsid w:val="00DB6435"/>
    <w:rPr>
      <w:i/>
      <w:iCs/>
    </w:rPr>
  </w:style>
  <w:style w:type="character" w:customStyle="1" w:styleId="apple-converted-space">
    <w:name w:val="apple-converted-space"/>
    <w:basedOn w:val="DefaultParagraphFont"/>
    <w:rsid w:val="00DB6435"/>
  </w:style>
  <w:style w:type="character" w:styleId="Hyperlink">
    <w:name w:val="Hyperlink"/>
    <w:basedOn w:val="DefaultParagraphFont"/>
    <w:uiPriority w:val="99"/>
    <w:semiHidden/>
    <w:unhideWhenUsed/>
    <w:rsid w:val="002D30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21682">
      <w:bodyDiv w:val="1"/>
      <w:marLeft w:val="0"/>
      <w:marRight w:val="0"/>
      <w:marTop w:val="0"/>
      <w:marBottom w:val="0"/>
      <w:divBdr>
        <w:top w:val="none" w:sz="0" w:space="0" w:color="auto"/>
        <w:left w:val="none" w:sz="0" w:space="0" w:color="auto"/>
        <w:bottom w:val="none" w:sz="0" w:space="0" w:color="auto"/>
        <w:right w:val="none" w:sz="0" w:space="0" w:color="auto"/>
      </w:divBdr>
    </w:div>
    <w:div w:id="637800606">
      <w:bodyDiv w:val="1"/>
      <w:marLeft w:val="0"/>
      <w:marRight w:val="0"/>
      <w:marTop w:val="0"/>
      <w:marBottom w:val="0"/>
      <w:divBdr>
        <w:top w:val="none" w:sz="0" w:space="0" w:color="auto"/>
        <w:left w:val="none" w:sz="0" w:space="0" w:color="auto"/>
        <w:bottom w:val="none" w:sz="0" w:space="0" w:color="auto"/>
        <w:right w:val="none" w:sz="0" w:space="0" w:color="auto"/>
      </w:divBdr>
    </w:div>
    <w:div w:id="723602085">
      <w:bodyDiv w:val="1"/>
      <w:marLeft w:val="0"/>
      <w:marRight w:val="0"/>
      <w:marTop w:val="0"/>
      <w:marBottom w:val="0"/>
      <w:divBdr>
        <w:top w:val="none" w:sz="0" w:space="0" w:color="auto"/>
        <w:left w:val="none" w:sz="0" w:space="0" w:color="auto"/>
        <w:bottom w:val="none" w:sz="0" w:space="0" w:color="auto"/>
        <w:right w:val="none" w:sz="0" w:space="0" w:color="auto"/>
      </w:divBdr>
    </w:div>
    <w:div w:id="213047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iff\Dropbox\Lab\Data\Disease%20Progress\fcs%20vs%20wt%20GMI1000%20on%20BB%20at%2028%20C%207-27-20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WT GMI1000</c:v>
          </c:tx>
          <c:errBars>
            <c:errDir val="y"/>
            <c:errBarType val="both"/>
            <c:errValType val="cust"/>
            <c:noEndCap val="0"/>
            <c:plus>
              <c:numRef>
                <c:f>Sheet1!$Q$4:$Q$23</c:f>
                <c:numCache>
                  <c:formatCode>General</c:formatCode>
                  <c:ptCount val="20"/>
                </c:numCache>
              </c:numRef>
            </c:plus>
            <c:minus>
              <c:numRef>
                <c:f>Sheet1!$Q$4:$Q$23</c:f>
                <c:numCache>
                  <c:formatCode>General</c:formatCode>
                  <c:ptCount val="20"/>
                </c:numCache>
              </c:numRef>
            </c:minus>
          </c:errBars>
          <c:xVal>
            <c:numRef>
              <c:f>Sheet1!$A$4:$A$23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Sheet1!$P$4:$P$23</c:f>
              <c:numCache>
                <c:formatCode>General</c:formatCode>
                <c:ptCount val="20"/>
                <c:pt idx="0">
                  <c:v>0</c:v>
                </c:pt>
                <c:pt idx="1">
                  <c:v>0</c:v>
                </c:pt>
                <c:pt idx="2">
                  <c:v>0</c:v>
                </c:pt>
                <c:pt idx="3">
                  <c:v>0.14285714285714285</c:v>
                </c:pt>
                <c:pt idx="4">
                  <c:v>0.42857142857142855</c:v>
                </c:pt>
                <c:pt idx="5">
                  <c:v>1.5</c:v>
                </c:pt>
                <c:pt idx="6">
                  <c:v>2.3571428571428572</c:v>
                </c:pt>
                <c:pt idx="7">
                  <c:v>2.9285714285714284</c:v>
                </c:pt>
                <c:pt idx="8">
                  <c:v>3.1428571428571428</c:v>
                </c:pt>
                <c:pt idx="9">
                  <c:v>3.5</c:v>
                </c:pt>
                <c:pt idx="10">
                  <c:v>3.9285714285714284</c:v>
                </c:pt>
                <c:pt idx="11">
                  <c:v>4</c:v>
                </c:pt>
              </c:numCache>
            </c:numRef>
          </c:yVal>
          <c:smooth val="0"/>
        </c:ser>
        <c:ser>
          <c:idx val="1"/>
          <c:order val="1"/>
          <c:tx>
            <c:v>fcs GMI1000</c:v>
          </c:tx>
          <c:errBars>
            <c:errDir val="y"/>
            <c:errBarType val="both"/>
            <c:errValType val="cust"/>
            <c:noEndCap val="0"/>
            <c:plus>
              <c:numRef>
                <c:f>Sheet1!$Q$29:$Q$48</c:f>
                <c:numCache>
                  <c:formatCode>General</c:formatCode>
                  <c:ptCount val="20"/>
                </c:numCache>
              </c:numRef>
            </c:plus>
            <c:minus>
              <c:numRef>
                <c:f>Sheet1!$Q$29:$Q$48</c:f>
                <c:numCache>
                  <c:formatCode>General</c:formatCode>
                  <c:ptCount val="20"/>
                </c:numCache>
              </c:numRef>
            </c:minus>
          </c:errBars>
          <c:xVal>
            <c:numRef>
              <c:f>Sheet1!$A$29:$A$48</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Sheet1!$P$29:$P$48</c:f>
              <c:numCache>
                <c:formatCode>General</c:formatCode>
                <c:ptCount val="20"/>
                <c:pt idx="0">
                  <c:v>0</c:v>
                </c:pt>
                <c:pt idx="1">
                  <c:v>0</c:v>
                </c:pt>
                <c:pt idx="2">
                  <c:v>0</c:v>
                </c:pt>
                <c:pt idx="3">
                  <c:v>0</c:v>
                </c:pt>
                <c:pt idx="4">
                  <c:v>0.14285714285714285</c:v>
                </c:pt>
                <c:pt idx="5">
                  <c:v>0.7142857142857143</c:v>
                </c:pt>
                <c:pt idx="6">
                  <c:v>1.3571428571428572</c:v>
                </c:pt>
                <c:pt idx="7">
                  <c:v>2.0714285714285716</c:v>
                </c:pt>
                <c:pt idx="8">
                  <c:v>2.5</c:v>
                </c:pt>
                <c:pt idx="9">
                  <c:v>3.2142857142857144</c:v>
                </c:pt>
                <c:pt idx="10">
                  <c:v>3.8571428571428572</c:v>
                </c:pt>
                <c:pt idx="11">
                  <c:v>4</c:v>
                </c:pt>
              </c:numCache>
            </c:numRef>
          </c:yVal>
          <c:smooth val="0"/>
        </c:ser>
        <c:dLbls>
          <c:showLegendKey val="0"/>
          <c:showVal val="0"/>
          <c:showCatName val="0"/>
          <c:showSerName val="0"/>
          <c:showPercent val="0"/>
          <c:showBubbleSize val="0"/>
        </c:dLbls>
        <c:axId val="262465216"/>
        <c:axId val="262465792"/>
      </c:scatterChart>
      <c:valAx>
        <c:axId val="262465216"/>
        <c:scaling>
          <c:orientation val="minMax"/>
          <c:max val="13"/>
          <c:min val="0"/>
        </c:scaling>
        <c:delete val="0"/>
        <c:axPos val="b"/>
        <c:title>
          <c:tx>
            <c:rich>
              <a:bodyPr/>
              <a:lstStyle/>
              <a:p>
                <a:pPr>
                  <a:defRPr/>
                </a:pPr>
                <a:r>
                  <a:rPr lang="en-US"/>
                  <a:t>Day post inoculation</a:t>
                </a:r>
              </a:p>
            </c:rich>
          </c:tx>
          <c:overlay val="0"/>
        </c:title>
        <c:numFmt formatCode="General" sourceLinked="1"/>
        <c:majorTickMark val="out"/>
        <c:minorTickMark val="in"/>
        <c:tickLblPos val="nextTo"/>
        <c:crossAx val="262465792"/>
        <c:crosses val="autoZero"/>
        <c:crossBetween val="midCat"/>
        <c:majorUnit val="4"/>
        <c:minorUnit val="1"/>
      </c:valAx>
      <c:valAx>
        <c:axId val="262465792"/>
        <c:scaling>
          <c:orientation val="minMax"/>
          <c:max val="4"/>
        </c:scaling>
        <c:delete val="0"/>
        <c:axPos val="l"/>
        <c:majorGridlines/>
        <c:title>
          <c:tx>
            <c:rich>
              <a:bodyPr rot="-5400000" vert="horz"/>
              <a:lstStyle/>
              <a:p>
                <a:pPr>
                  <a:defRPr sz="1200" b="0"/>
                </a:pPr>
                <a:r>
                  <a:rPr lang="en-US" sz="1200" b="0"/>
                  <a:t>Disease Index</a:t>
                </a:r>
              </a:p>
            </c:rich>
          </c:tx>
          <c:overlay val="0"/>
        </c:title>
        <c:numFmt formatCode="General" sourceLinked="1"/>
        <c:majorTickMark val="out"/>
        <c:minorTickMark val="in"/>
        <c:tickLblPos val="nextTo"/>
        <c:crossAx val="262465216"/>
        <c:crosses val="autoZero"/>
        <c:crossBetween val="midCat"/>
        <c:majorUnit val="1"/>
        <c:minorUnit val="0.25"/>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792</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Lowe</dc:creator>
  <cp:lastModifiedBy>Tiffany Lowe</cp:lastModifiedBy>
  <cp:revision>6</cp:revision>
  <dcterms:created xsi:type="dcterms:W3CDTF">2012-08-27T19:23:00Z</dcterms:created>
  <dcterms:modified xsi:type="dcterms:W3CDTF">2012-08-29T22:13:00Z</dcterms:modified>
</cp:coreProperties>
</file>