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596C" w14:textId="77777777" w:rsidR="009A02FA" w:rsidRDefault="009E03C0" w:rsidP="009E03C0">
      <w:bookmarkStart w:id="0" w:name="_Hlk483316390"/>
      <w:bookmarkEnd w:id="0"/>
      <w:r>
        <w:t>2017-05-30 Lab Meeting – Tiffany Lowe-Power</w:t>
      </w:r>
    </w:p>
    <w:p w14:paraId="06F62C53" w14:textId="77777777" w:rsidR="009E03C0" w:rsidRDefault="009E03C0" w:rsidP="009E03C0">
      <w:pPr>
        <w:pStyle w:val="Heading1"/>
      </w:pPr>
      <w:r>
        <w:t xml:space="preserve">Cloning case studies: </w:t>
      </w:r>
      <w:r w:rsidR="009B4560" w:rsidRPr="009B4560">
        <w:rPr>
          <w:i/>
        </w:rPr>
        <w:t xml:space="preserve">Rs </w:t>
      </w:r>
      <w:r w:rsidRPr="009B4560">
        <w:rPr>
          <w:i/>
        </w:rPr>
        <w:t>potADBC</w:t>
      </w:r>
      <w:r>
        <w:t xml:space="preserve"> </w:t>
      </w:r>
      <w:r w:rsidR="009B4560">
        <w:t>mutant</w:t>
      </w:r>
    </w:p>
    <w:p w14:paraId="2D0F2673" w14:textId="77777777" w:rsidR="00A72CC0" w:rsidRPr="00A72CC0" w:rsidRDefault="00A72CC0" w:rsidP="00A72CC0">
      <w:r>
        <w:t xml:space="preserve">Overall Goal: Identify the putrescine exporter in </w:t>
      </w:r>
      <w:r>
        <w:rPr>
          <w:i/>
        </w:rPr>
        <w:t xml:space="preserve">Rs </w:t>
      </w:r>
      <w:r>
        <w:t>strain GMI1000</w:t>
      </w:r>
    </w:p>
    <w:p w14:paraId="3942C964" w14:textId="77777777" w:rsidR="009E03C0" w:rsidRDefault="009E03C0" w:rsidP="009E03C0">
      <w:pPr>
        <w:pStyle w:val="Heading2"/>
      </w:pPr>
      <w:r>
        <w:t>Step 1: Background research on PotADBC</w:t>
      </w:r>
    </w:p>
    <w:p w14:paraId="5234E355" w14:textId="77777777" w:rsidR="009E03C0" w:rsidRDefault="009E03C0" w:rsidP="009E03C0">
      <w:r>
        <w:t xml:space="preserve">Best studied in </w:t>
      </w:r>
      <w:r>
        <w:rPr>
          <w:i/>
        </w:rPr>
        <w:t>E. coli</w:t>
      </w:r>
      <w:r>
        <w:t xml:space="preserve">. </w:t>
      </w:r>
      <w:r>
        <w:rPr>
          <w:i/>
        </w:rPr>
        <w:t>E. coli</w:t>
      </w:r>
      <w:r>
        <w:t xml:space="preserve"> has many polyamine transporters, including:</w:t>
      </w:r>
    </w:p>
    <w:p w14:paraId="52022432" w14:textId="77777777" w:rsidR="009E03C0" w:rsidRDefault="009E03C0" w:rsidP="009B4560">
      <w:r w:rsidRPr="009B4560">
        <w:rPr>
          <w:b/>
          <w:i/>
        </w:rPr>
        <w:t>potADBC</w:t>
      </w:r>
      <w:r w:rsidRPr="009B4560">
        <w:rPr>
          <w:b/>
        </w:rPr>
        <w:t>:</w:t>
      </w:r>
      <w:r>
        <w:t xml:space="preserve"> ATP-Binding Cassette (ABC)-type importer with preference for </w:t>
      </w:r>
      <w:r w:rsidR="009B4560">
        <w:t xml:space="preserve">Spd </w:t>
      </w:r>
      <w:r w:rsidR="009B4560">
        <w:rPr>
          <w:noProof/>
        </w:rPr>
        <w:drawing>
          <wp:inline distT="0" distB="0" distL="0" distR="0" wp14:anchorId="3354791C" wp14:editId="4AB70163">
            <wp:extent cx="945397" cy="43885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S4 - speC mutant.tif"/>
                    <pic:cNvPicPr/>
                  </pic:nvPicPr>
                  <pic:blipFill rotWithShape="1">
                    <a:blip r:embed="rId7" cstate="print">
                      <a:extLst>
                        <a:ext uri="{28A0092B-C50C-407E-A947-70E740481C1C}">
                          <a14:useLocalDpi xmlns:a14="http://schemas.microsoft.com/office/drawing/2010/main" val="0"/>
                        </a:ext>
                      </a:extLst>
                    </a:blip>
                    <a:srcRect l="81507" t="40158" r="228" b="53165"/>
                    <a:stretch/>
                  </pic:blipFill>
                  <pic:spPr bwMode="auto">
                    <a:xfrm>
                      <a:off x="0" y="0"/>
                      <a:ext cx="950564" cy="441254"/>
                    </a:xfrm>
                    <a:prstGeom prst="rect">
                      <a:avLst/>
                    </a:prstGeom>
                    <a:ln>
                      <a:noFill/>
                    </a:ln>
                    <a:extLst>
                      <a:ext uri="{53640926-AAD7-44D8-BBD7-CCE9431645EC}">
                        <a14:shadowObscured xmlns:a14="http://schemas.microsoft.com/office/drawing/2010/main"/>
                      </a:ext>
                    </a:extLst>
                  </pic:spPr>
                </pic:pic>
              </a:graphicData>
            </a:graphic>
          </wp:inline>
        </w:drawing>
      </w:r>
    </w:p>
    <w:p w14:paraId="373376B8" w14:textId="77777777" w:rsidR="009E03C0" w:rsidRDefault="009E03C0" w:rsidP="009B4560">
      <w:r w:rsidRPr="009B4560">
        <w:rPr>
          <w:b/>
          <w:i/>
        </w:rPr>
        <w:t>potFGHI</w:t>
      </w:r>
      <w:r w:rsidRPr="009B4560">
        <w:rPr>
          <w:b/>
        </w:rPr>
        <w:t>:</w:t>
      </w:r>
      <w:r>
        <w:t xml:space="preserve"> ABC-type importer with preference for Putrescine. </w:t>
      </w:r>
      <w:r w:rsidR="009B4560">
        <w:rPr>
          <w:noProof/>
        </w:rPr>
        <w:drawing>
          <wp:inline distT="0" distB="0" distL="0" distR="0" wp14:anchorId="4E8129AC" wp14:editId="4C288BFE">
            <wp:extent cx="774915" cy="48459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S4 - speC mutant.tif"/>
                    <pic:cNvPicPr/>
                  </pic:nvPicPr>
                  <pic:blipFill rotWithShape="1">
                    <a:blip r:embed="rId8" cstate="print">
                      <a:extLst>
                        <a:ext uri="{28A0092B-C50C-407E-A947-70E740481C1C}">
                          <a14:useLocalDpi xmlns:a14="http://schemas.microsoft.com/office/drawing/2010/main" val="0"/>
                        </a:ext>
                      </a:extLst>
                    </a:blip>
                    <a:srcRect l="65841" t="31317" r="19555" b="61491"/>
                    <a:stretch/>
                  </pic:blipFill>
                  <pic:spPr bwMode="auto">
                    <a:xfrm>
                      <a:off x="0" y="0"/>
                      <a:ext cx="776305" cy="485467"/>
                    </a:xfrm>
                    <a:prstGeom prst="rect">
                      <a:avLst/>
                    </a:prstGeom>
                    <a:ln>
                      <a:noFill/>
                    </a:ln>
                    <a:extLst>
                      <a:ext uri="{53640926-AAD7-44D8-BBD7-CCE9431645EC}">
                        <a14:shadowObscured xmlns:a14="http://schemas.microsoft.com/office/drawing/2010/main"/>
                      </a:ext>
                    </a:extLst>
                  </pic:spPr>
                </pic:pic>
              </a:graphicData>
            </a:graphic>
          </wp:inline>
        </w:drawing>
      </w:r>
    </w:p>
    <w:p w14:paraId="4C5E418B" w14:textId="77777777" w:rsidR="009B4560" w:rsidRDefault="009B4560" w:rsidP="009E03C0">
      <w:r>
        <w:rPr>
          <w:noProof/>
        </w:rPr>
        <w:drawing>
          <wp:inline distT="0" distB="0" distL="0" distR="0" wp14:anchorId="005D3C81" wp14:editId="13E6D491">
            <wp:extent cx="2703369" cy="127861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025" r="37419" b="7249"/>
                    <a:stretch/>
                  </pic:blipFill>
                  <pic:spPr bwMode="auto">
                    <a:xfrm>
                      <a:off x="0" y="0"/>
                      <a:ext cx="2742639" cy="1297183"/>
                    </a:xfrm>
                    <a:prstGeom prst="rect">
                      <a:avLst/>
                    </a:prstGeom>
                    <a:ln>
                      <a:noFill/>
                    </a:ln>
                    <a:extLst>
                      <a:ext uri="{53640926-AAD7-44D8-BBD7-CCE9431645EC}">
                        <a14:shadowObscured xmlns:a14="http://schemas.microsoft.com/office/drawing/2010/main"/>
                      </a:ext>
                    </a:extLst>
                  </pic:spPr>
                </pic:pic>
              </a:graphicData>
            </a:graphic>
          </wp:inline>
        </w:drawing>
      </w:r>
      <w:r w:rsidRPr="009B4560">
        <w:rPr>
          <w:sz w:val="18"/>
        </w:rPr>
        <w:t xml:space="preserve">Igarashi and Kashiwagi 1999 </w:t>
      </w:r>
      <w:r w:rsidRPr="009B4560">
        <w:rPr>
          <w:i/>
          <w:sz w:val="18"/>
        </w:rPr>
        <w:t>Biochem J.</w:t>
      </w:r>
      <w:r w:rsidRPr="009B4560">
        <w:rPr>
          <w:sz w:val="18"/>
        </w:rPr>
        <w:t xml:space="preserve"> </w:t>
      </w:r>
    </w:p>
    <w:p w14:paraId="57053D06" w14:textId="77777777" w:rsidR="009B4560" w:rsidRDefault="009B4560" w:rsidP="009E03C0">
      <w:pPr>
        <w:rPr>
          <w:b/>
        </w:rPr>
      </w:pPr>
      <w:r>
        <w:t xml:space="preserve">ABC transporters are usually </w:t>
      </w:r>
      <w:r w:rsidRPr="009B4560">
        <w:rPr>
          <w:b/>
        </w:rPr>
        <w:t>importers or exporters.</w:t>
      </w:r>
    </w:p>
    <w:p w14:paraId="7F02EC9D" w14:textId="77777777" w:rsidR="009B4560" w:rsidRDefault="009B4560" w:rsidP="009E03C0">
      <w:r>
        <w:t xml:space="preserve">Core components: </w:t>
      </w:r>
    </w:p>
    <w:p w14:paraId="2E3C3048" w14:textId="77777777" w:rsidR="009B4560" w:rsidRDefault="009B4560" w:rsidP="009B4560">
      <w:pPr>
        <w:pStyle w:val="ListParagraph"/>
        <w:numPr>
          <w:ilvl w:val="0"/>
          <w:numId w:val="2"/>
        </w:numPr>
      </w:pPr>
      <w:r>
        <w:t xml:space="preserve">cytoplasmic ATPase (e.g. PotA), which provides energy to transport against a concentration gradient. </w:t>
      </w:r>
    </w:p>
    <w:p w14:paraId="56150DB3" w14:textId="77777777" w:rsidR="009E03C0" w:rsidRDefault="009B4560" w:rsidP="009B4560">
      <w:pPr>
        <w:pStyle w:val="ListParagraph"/>
        <w:numPr>
          <w:ilvl w:val="0"/>
          <w:numId w:val="2"/>
        </w:numPr>
      </w:pPr>
      <w:r>
        <w:t xml:space="preserve">Permeases (e.g. PotB and PotC), which form the transmembrane channel. </w:t>
      </w:r>
    </w:p>
    <w:p w14:paraId="00BB7A2D" w14:textId="77777777" w:rsidR="009B4560" w:rsidRDefault="009B4560" w:rsidP="009B4560">
      <w:pPr>
        <w:pStyle w:val="ListParagraph"/>
        <w:numPr>
          <w:ilvl w:val="0"/>
          <w:numId w:val="2"/>
        </w:numPr>
      </w:pPr>
      <w:r>
        <w:t xml:space="preserve">Periplasmic substrate binding proteins (e.g. PotD), which bring the substrate to the channel. </w:t>
      </w:r>
      <w:r>
        <w:rPr>
          <w:b/>
        </w:rPr>
        <w:t>Only present in importers, not exporters</w:t>
      </w:r>
      <w:r>
        <w:t>.</w:t>
      </w:r>
    </w:p>
    <w:p w14:paraId="334AC446" w14:textId="77777777" w:rsidR="009B4560" w:rsidRDefault="009B4560" w:rsidP="009B4560">
      <w:r>
        <w:t xml:space="preserve">Note: ABC transporters have minor bidirectional transport according to Phil. Poole’s group </w:t>
      </w:r>
      <w:r w:rsidRPr="009B4560">
        <w:rPr>
          <w:sz w:val="18"/>
        </w:rPr>
        <w:t xml:space="preserve">(Hosie </w:t>
      </w:r>
      <w:r w:rsidRPr="009B4560">
        <w:rPr>
          <w:i/>
          <w:sz w:val="18"/>
        </w:rPr>
        <w:t>et al</w:t>
      </w:r>
      <w:r w:rsidRPr="009B4560">
        <w:rPr>
          <w:sz w:val="18"/>
        </w:rPr>
        <w:t xml:space="preserve">. 2001, </w:t>
      </w:r>
      <w:r w:rsidRPr="009B4560">
        <w:rPr>
          <w:i/>
          <w:sz w:val="18"/>
        </w:rPr>
        <w:t>Mol Micro</w:t>
      </w:r>
      <w:r w:rsidRPr="009B4560">
        <w:rPr>
          <w:sz w:val="18"/>
        </w:rPr>
        <w:t>)</w:t>
      </w:r>
      <w:r w:rsidR="00A72CC0">
        <w:t>. However, they have greater affinity for the substrate at the import face than the export end of the channel, and generally only transport in one direction.</w:t>
      </w:r>
    </w:p>
    <w:p w14:paraId="5658868C" w14:textId="77777777" w:rsidR="00A72CC0" w:rsidRDefault="00A72CC0" w:rsidP="00A72CC0">
      <w:pPr>
        <w:pStyle w:val="Heading3"/>
      </w:pPr>
      <w:r>
        <w:t xml:space="preserve">Is putrescine exporter via PotADBC in </w:t>
      </w:r>
      <w:r>
        <w:rPr>
          <w:i/>
        </w:rPr>
        <w:t>Rs</w:t>
      </w:r>
      <w:r>
        <w:t>?</w:t>
      </w:r>
    </w:p>
    <w:p w14:paraId="1D2E9B64" w14:textId="77777777" w:rsidR="00A72CC0" w:rsidRPr="00A72CC0" w:rsidRDefault="00A72CC0" w:rsidP="00A72CC0">
      <w:r>
        <w:t xml:space="preserve">Because </w:t>
      </w:r>
      <w:r>
        <w:rPr>
          <w:i/>
        </w:rPr>
        <w:t xml:space="preserve">Rs </w:t>
      </w:r>
      <w:r>
        <w:t xml:space="preserve">does not produce or accumulate spermidine, I hypothesize this PotADBC locus (Rsc1731-34) is a PotFGHI-type putrescine import system. </w:t>
      </w:r>
      <w:r>
        <w:rPr>
          <w:b/>
        </w:rPr>
        <w:t>I don’t think PotADBC</w:t>
      </w:r>
      <w:r>
        <w:rPr>
          <w:b/>
          <w:i/>
        </w:rPr>
        <w:t xml:space="preserve"> </w:t>
      </w:r>
      <w:r w:rsidRPr="00A72CC0">
        <w:t>is the putrescine exporter,</w:t>
      </w:r>
      <w:r>
        <w:t xml:space="preserve"> but </w:t>
      </w:r>
      <w:r>
        <w:rPr>
          <w:i/>
        </w:rPr>
        <w:t>Rs</w:t>
      </w:r>
      <w:r>
        <w:t xml:space="preserve"> lacks homologs of known polyamine export systems. </w:t>
      </w:r>
    </w:p>
    <w:p w14:paraId="200C0420" w14:textId="77777777" w:rsidR="00A72CC0" w:rsidRDefault="00A72CC0" w:rsidP="00A72CC0">
      <w:r>
        <w:t xml:space="preserve">Note: The crystal structures of </w:t>
      </w:r>
      <w:r>
        <w:rPr>
          <w:i/>
        </w:rPr>
        <w:t>E. coli</w:t>
      </w:r>
      <w:r>
        <w:t xml:space="preserve"> PotD and PotF protein bound to spermidine/putrescine are solved and the Igarashi 1999 review highlights which residues contribute most to substrate specificity. </w:t>
      </w:r>
      <w:r>
        <w:rPr>
          <w:b/>
        </w:rPr>
        <w:t>Future task:</w:t>
      </w:r>
      <w:r>
        <w:t xml:space="preserve"> Align </w:t>
      </w:r>
      <w:r>
        <w:rPr>
          <w:i/>
        </w:rPr>
        <w:t>Rs</w:t>
      </w:r>
      <w:r>
        <w:t xml:space="preserve"> PotD with these proteins and determine if these residues are conserved. Additionally, </w:t>
      </w:r>
      <w:r>
        <w:rPr>
          <w:i/>
        </w:rPr>
        <w:t xml:space="preserve">Rs </w:t>
      </w:r>
      <w:r>
        <w:t xml:space="preserve">PotD can be modeled onto the </w:t>
      </w:r>
      <w:r>
        <w:rPr>
          <w:i/>
        </w:rPr>
        <w:t>E. coli</w:t>
      </w:r>
      <w:r>
        <w:t xml:space="preserve"> PotD/F structures to look at the substrate binding pocket residues. </w:t>
      </w:r>
    </w:p>
    <w:p w14:paraId="08070D54" w14:textId="77777777" w:rsidR="00007604" w:rsidRDefault="00007604" w:rsidP="00A72CC0"/>
    <w:p w14:paraId="119710DB" w14:textId="77777777" w:rsidR="00A54D27" w:rsidRPr="00A54D27" w:rsidRDefault="00A54D27" w:rsidP="00A54D27">
      <w:pPr>
        <w:pStyle w:val="Heading2"/>
      </w:pPr>
      <w:r>
        <w:rPr>
          <w:i/>
        </w:rPr>
        <w:t xml:space="preserve">Rs potADBC </w:t>
      </w:r>
      <w:r>
        <w:t>genes</w:t>
      </w:r>
    </w:p>
    <w:p w14:paraId="6B6E6405" w14:textId="77777777" w:rsidR="00007604" w:rsidRPr="00007604" w:rsidRDefault="00007604" w:rsidP="00007604">
      <w:r>
        <w:t xml:space="preserve">The </w:t>
      </w:r>
      <w:r>
        <w:rPr>
          <w:i/>
        </w:rPr>
        <w:t xml:space="preserve">potADBC </w:t>
      </w:r>
      <w:r>
        <w:t>genes are in a single locus:</w:t>
      </w:r>
    </w:p>
    <w:p w14:paraId="04FFF215" w14:textId="77777777" w:rsidR="00007604" w:rsidRDefault="00366ECE" w:rsidP="00007604">
      <w:r>
        <w:rPr>
          <w:noProof/>
        </w:rPr>
        <w:lastRenderedPageBreak/>
        <w:drawing>
          <wp:inline distT="0" distB="0" distL="0" distR="0" wp14:anchorId="30C07D23" wp14:editId="43827ADB">
            <wp:extent cx="4476750" cy="1257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6750" cy="1257300"/>
                    </a:xfrm>
                    <a:prstGeom prst="rect">
                      <a:avLst/>
                    </a:prstGeom>
                  </pic:spPr>
                </pic:pic>
              </a:graphicData>
            </a:graphic>
          </wp:inline>
        </w:drawing>
      </w:r>
    </w:p>
    <w:p w14:paraId="69F6B038" w14:textId="77777777" w:rsidR="00A54D27" w:rsidRPr="00A54D27" w:rsidRDefault="00A54D27" w:rsidP="00007604">
      <w:pPr>
        <w:rPr>
          <w:sz w:val="18"/>
        </w:rPr>
      </w:pPr>
      <w:r>
        <w:rPr>
          <w:sz w:val="18"/>
        </w:rPr>
        <w:t xml:space="preserve">Protip: You can export chunks of the </w:t>
      </w:r>
      <w:r>
        <w:rPr>
          <w:i/>
          <w:sz w:val="18"/>
        </w:rPr>
        <w:t xml:space="preserve">Rs </w:t>
      </w:r>
      <w:r>
        <w:rPr>
          <w:sz w:val="18"/>
        </w:rPr>
        <w:t xml:space="preserve">genome </w:t>
      </w:r>
      <w:r w:rsidR="002434F6">
        <w:rPr>
          <w:sz w:val="18"/>
        </w:rPr>
        <w:t xml:space="preserve">sequence from NCBI into a .FLAT file, which you can import into Benchling. I then tidy up annotations and change colors to highlight the important information. I recommend displaying the DNA strand that is SENSE to your gene of interest (ie, generate a reverse complement if you need to) so you don’t mix up upstream &amp; downstream genes. </w:t>
      </w:r>
    </w:p>
    <w:p w14:paraId="37D35512" w14:textId="77777777" w:rsidR="00366ECE" w:rsidRDefault="00366ECE" w:rsidP="00366ECE">
      <w:r>
        <w:rPr>
          <w:b/>
        </w:rPr>
        <w:t xml:space="preserve">Operon? </w:t>
      </w:r>
      <w:r>
        <w:t xml:space="preserve">The </w:t>
      </w:r>
      <w:r w:rsidRPr="00366ECE">
        <w:rPr>
          <w:i/>
        </w:rPr>
        <w:t>potADBC</w:t>
      </w:r>
      <w:r>
        <w:t xml:space="preserve"> gene organization is consistent with operon structure, and the RSc1730 ORF cannot be on the same mRNA transcript because it is divergent. </w:t>
      </w:r>
    </w:p>
    <w:p w14:paraId="41736FA0" w14:textId="77777777" w:rsidR="00366ECE" w:rsidRDefault="00366ECE" w:rsidP="00366ECE">
      <w:r>
        <w:rPr>
          <w:b/>
        </w:rPr>
        <w:t xml:space="preserve">Promoter? </w:t>
      </w:r>
      <w:r>
        <w:t xml:space="preserve">There is a 469 bp gap between RSc1735 and </w:t>
      </w:r>
      <w:r w:rsidRPr="00366ECE">
        <w:rPr>
          <w:i/>
        </w:rPr>
        <w:t>potA</w:t>
      </w:r>
      <w:r>
        <w:t xml:space="preserve">, which suggests these genes are on different transcripts despite the same direction. However, it’s possible they’re on the same transcript. </w:t>
      </w:r>
    </w:p>
    <w:p w14:paraId="048E3009" w14:textId="77777777" w:rsidR="00366ECE" w:rsidRDefault="00366ECE" w:rsidP="00366ECE">
      <w:r>
        <w:t xml:space="preserve">&gt;Bprom algorithm to detect </w:t>
      </w:r>
      <w:r>
        <w:rPr>
          <w:i/>
        </w:rPr>
        <w:t>E. coli</w:t>
      </w:r>
      <w:r w:rsidRPr="00366ECE">
        <w:t xml:space="preserve"> Sigma</w:t>
      </w:r>
      <w:r>
        <w:t>-</w:t>
      </w:r>
      <w:r w:rsidRPr="00366ECE">
        <w:t>70 type promo</w:t>
      </w:r>
      <w:r>
        <w:t xml:space="preserve">ters (annotated above in </w:t>
      </w:r>
      <w:r w:rsidRPr="00366ECE">
        <w:rPr>
          <w:color w:val="FF00FF"/>
        </w:rPr>
        <w:t>pink</w:t>
      </w:r>
      <w:r>
        <w:t>)</w:t>
      </w:r>
    </w:p>
    <w:p w14:paraId="5DD573C1" w14:textId="77777777" w:rsidR="00366ECE" w:rsidRPr="00366ECE" w:rsidRDefault="00366ECE" w:rsidP="00366ECE">
      <w:pPr>
        <w:pStyle w:val="HTMLPreformatted"/>
        <w:rPr>
          <w:rFonts w:ascii="Courier" w:hAnsi="Courier"/>
          <w:color w:val="000000"/>
          <w:sz w:val="19"/>
          <w:szCs w:val="27"/>
        </w:rPr>
      </w:pPr>
      <w:r w:rsidRPr="00366ECE">
        <w:rPr>
          <w:rFonts w:ascii="Courier" w:hAnsi="Courier"/>
          <w:color w:val="000000"/>
          <w:sz w:val="19"/>
          <w:szCs w:val="27"/>
        </w:rPr>
        <w:t>Promoter Pos:   3142 LDF-  1.39</w:t>
      </w:r>
    </w:p>
    <w:p w14:paraId="60C68C93" w14:textId="77777777" w:rsidR="00366ECE" w:rsidRPr="00366ECE" w:rsidRDefault="00366ECE" w:rsidP="00366ECE">
      <w:pPr>
        <w:pStyle w:val="HTMLPreformatted"/>
        <w:rPr>
          <w:rFonts w:ascii="Courier" w:hAnsi="Courier"/>
          <w:color w:val="000000"/>
          <w:sz w:val="19"/>
          <w:szCs w:val="27"/>
        </w:rPr>
      </w:pPr>
      <w:r w:rsidRPr="00366ECE">
        <w:rPr>
          <w:rFonts w:ascii="Courier" w:hAnsi="Courier"/>
          <w:color w:val="000000"/>
          <w:sz w:val="19"/>
          <w:szCs w:val="27"/>
        </w:rPr>
        <w:t xml:space="preserve"> -10 box at pos.   3127 GCCTACACT Score    45</w:t>
      </w:r>
    </w:p>
    <w:p w14:paraId="3C0BDEF6" w14:textId="77777777" w:rsidR="00366ECE" w:rsidRPr="00366ECE" w:rsidRDefault="00366ECE" w:rsidP="00366ECE">
      <w:pPr>
        <w:pStyle w:val="HTMLPreformatted"/>
        <w:rPr>
          <w:rFonts w:ascii="Courier" w:hAnsi="Courier"/>
          <w:color w:val="000000"/>
          <w:sz w:val="19"/>
          <w:szCs w:val="27"/>
        </w:rPr>
      </w:pPr>
      <w:r w:rsidRPr="00366ECE">
        <w:rPr>
          <w:rFonts w:ascii="Courier" w:hAnsi="Courier"/>
          <w:color w:val="000000"/>
          <w:sz w:val="19"/>
          <w:szCs w:val="27"/>
        </w:rPr>
        <w:t xml:space="preserve"> -35 box at pos.   3104 TTGACG    Score    60</w:t>
      </w:r>
    </w:p>
    <w:p w14:paraId="2E754B00" w14:textId="77777777" w:rsidR="00A54D27" w:rsidRDefault="00A54D27" w:rsidP="00A54D27">
      <w:pPr>
        <w:pStyle w:val="Heading2"/>
        <w:rPr>
          <w:b w:val="0"/>
        </w:rPr>
      </w:pPr>
      <w:r>
        <w:t>Decide which genes to delete</w:t>
      </w:r>
      <w:r>
        <w:rPr>
          <w:b w:val="0"/>
        </w:rPr>
        <w:t>:</w:t>
      </w:r>
    </w:p>
    <w:p w14:paraId="64CB0B5A" w14:textId="77777777" w:rsidR="00007604" w:rsidRDefault="002434F6" w:rsidP="00007604">
      <w:r>
        <w:t>It’s</w:t>
      </w:r>
      <w:r w:rsidR="00007604">
        <w:t xml:space="preserve"> possible to create </w:t>
      </w:r>
      <w:r w:rsidR="00007604" w:rsidRPr="002434F6">
        <w:rPr>
          <w:b/>
        </w:rPr>
        <w:t xml:space="preserve">a </w:t>
      </w:r>
      <w:r w:rsidR="00007604" w:rsidRPr="002434F6">
        <w:rPr>
          <w:rFonts w:cstheme="minorHAnsi"/>
          <w:b/>
        </w:rPr>
        <w:t>Δ</w:t>
      </w:r>
      <w:r w:rsidR="00007604" w:rsidRPr="002434F6">
        <w:rPr>
          <w:b/>
          <w:i/>
        </w:rPr>
        <w:t xml:space="preserve">potADBC </w:t>
      </w:r>
      <w:r w:rsidR="00007604" w:rsidRPr="002434F6">
        <w:rPr>
          <w:b/>
        </w:rPr>
        <w:t>mutant</w:t>
      </w:r>
      <w:r w:rsidR="00007604">
        <w:t xml:space="preserve"> lacking the entire transporter. </w:t>
      </w:r>
    </w:p>
    <w:p w14:paraId="5C7F590E" w14:textId="77777777" w:rsidR="00007604" w:rsidRDefault="00007604" w:rsidP="00007604">
      <w:r>
        <w:t xml:space="preserve">My first attempt to create a vector to replace the </w:t>
      </w:r>
      <w:r>
        <w:rPr>
          <w:i/>
        </w:rPr>
        <w:t>potADBC</w:t>
      </w:r>
      <w:r>
        <w:t xml:space="preserve"> locus with the gentamycin cassette hasn’t been successful (ie, Gibson reaction yielded </w:t>
      </w:r>
      <w:r>
        <w:rPr>
          <w:i/>
        </w:rPr>
        <w:t>E. coli</w:t>
      </w:r>
      <w:r>
        <w:t xml:space="preserve"> clones with incorrect vectors. Vectors had upstream region, but no downstream region by PCR screen. In case the downstream PCR reaction failed, I digest screened a few Upstream</w:t>
      </w:r>
      <w:r>
        <w:rPr>
          <w:vertAlign w:val="superscript"/>
        </w:rPr>
        <w:t>+</w:t>
      </w:r>
      <w:r>
        <w:t xml:space="preserve"> vectors, and the DNA bands were the wrong sizes).   </w:t>
      </w:r>
    </w:p>
    <w:p w14:paraId="1C88545E" w14:textId="77777777" w:rsidR="00007604" w:rsidRDefault="00007604" w:rsidP="00007604">
      <w:r>
        <w:t>So I’m trying two things:</w:t>
      </w:r>
    </w:p>
    <w:p w14:paraId="35194B4D" w14:textId="77777777" w:rsidR="00007604" w:rsidRDefault="00007604" w:rsidP="00007604">
      <w:r w:rsidRPr="00007604">
        <w:rPr>
          <w:b/>
        </w:rPr>
        <w:t>pUFR80-potADBC</w:t>
      </w:r>
      <w:r>
        <w:t xml:space="preserve"> (using different primers for the upstream/downstream region)</w:t>
      </w:r>
    </w:p>
    <w:p w14:paraId="266AA8CF" w14:textId="77777777" w:rsidR="00007604" w:rsidRDefault="00007604" w:rsidP="00007604">
      <w:r w:rsidRPr="00007604">
        <w:rPr>
          <w:b/>
        </w:rPr>
        <w:t>pUFR80-potC</w:t>
      </w:r>
      <w:r w:rsidR="003C4F9F">
        <w:rPr>
          <w:b/>
        </w:rPr>
        <w:t xml:space="preserve"> </w:t>
      </w:r>
      <w:r w:rsidR="003C4F9F">
        <w:t>(I thought this permase mutant might be biochemically cleaner than a potD substrate binding protein mutant...)</w:t>
      </w:r>
    </w:p>
    <w:p w14:paraId="64DACCE3" w14:textId="77777777" w:rsidR="003C4F9F" w:rsidRPr="003C4F9F" w:rsidRDefault="003C4F9F" w:rsidP="002434F6">
      <w:pPr>
        <w:pStyle w:val="Heading2"/>
      </w:pPr>
      <w:r>
        <w:t>Choosing Upstream/downstream regions for homologous recombination:</w:t>
      </w:r>
    </w:p>
    <w:p w14:paraId="38F30971" w14:textId="77777777" w:rsidR="00366ECE" w:rsidRDefault="00366ECE" w:rsidP="00366ECE">
      <w:pPr>
        <w:pStyle w:val="ListParagraph"/>
        <w:numPr>
          <w:ilvl w:val="0"/>
          <w:numId w:val="4"/>
        </w:numPr>
      </w:pPr>
      <w:r w:rsidRPr="003C4F9F">
        <w:rPr>
          <w:b/>
        </w:rPr>
        <w:t>Worry about polarity</w:t>
      </w:r>
      <w:r>
        <w:t xml:space="preserve">... you want to make sure you don’t affect expression/translation of neighboring genes. </w:t>
      </w:r>
    </w:p>
    <w:p w14:paraId="5EBDF9E2" w14:textId="77777777" w:rsidR="00366ECE" w:rsidRDefault="002434F6" w:rsidP="00366ECE">
      <w:pPr>
        <w:pStyle w:val="ListParagraph"/>
        <w:numPr>
          <w:ilvl w:val="1"/>
          <w:numId w:val="4"/>
        </w:numPr>
      </w:pPr>
      <w:r>
        <w:t xml:space="preserve">We should be good for both the </w:t>
      </w:r>
      <w:r>
        <w:rPr>
          <w:i/>
        </w:rPr>
        <w:t xml:space="preserve">potC </w:t>
      </w:r>
      <w:r>
        <w:t xml:space="preserve">and </w:t>
      </w:r>
      <w:r>
        <w:rPr>
          <w:i/>
        </w:rPr>
        <w:t xml:space="preserve">potADBC </w:t>
      </w:r>
      <w:r>
        <w:t>genes</w:t>
      </w:r>
    </w:p>
    <w:p w14:paraId="39283808" w14:textId="77777777" w:rsidR="002434F6" w:rsidRDefault="002434F6" w:rsidP="00366ECE">
      <w:pPr>
        <w:pStyle w:val="ListParagraph"/>
        <w:numPr>
          <w:ilvl w:val="1"/>
          <w:numId w:val="4"/>
        </w:numPr>
      </w:pPr>
      <w:r>
        <w:t>No genes are overlapping our GOIs (genes of interest)</w:t>
      </w:r>
      <w:r>
        <w:rPr>
          <w:noProof/>
        </w:rPr>
        <w:t>. This isn’t always the case:</w:t>
      </w:r>
      <w:r>
        <w:rPr>
          <w:noProof/>
        </w:rPr>
        <w:drawing>
          <wp:inline distT="0" distB="0" distL="0" distR="0" wp14:anchorId="22F9D56A" wp14:editId="1FD4CA71">
            <wp:extent cx="1812844" cy="8834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 b="8475"/>
                    <a:stretch/>
                  </pic:blipFill>
                  <pic:spPr bwMode="auto">
                    <a:xfrm>
                      <a:off x="0" y="0"/>
                      <a:ext cx="1841830" cy="897528"/>
                    </a:xfrm>
                    <a:prstGeom prst="rect">
                      <a:avLst/>
                    </a:prstGeom>
                    <a:ln>
                      <a:noFill/>
                    </a:ln>
                    <a:extLst>
                      <a:ext uri="{53640926-AAD7-44D8-BBD7-CCE9431645EC}">
                        <a14:shadowObscured xmlns:a14="http://schemas.microsoft.com/office/drawing/2010/main"/>
                      </a:ext>
                    </a:extLst>
                  </pic:spPr>
                </pic:pic>
              </a:graphicData>
            </a:graphic>
          </wp:inline>
        </w:drawing>
      </w:r>
    </w:p>
    <w:p w14:paraId="56FA5815" w14:textId="77777777" w:rsidR="002434F6" w:rsidRDefault="002434F6" w:rsidP="002434F6">
      <w:pPr>
        <w:pStyle w:val="Heading2"/>
      </w:pPr>
      <w:r>
        <w:lastRenderedPageBreak/>
        <w:t>Primerblast to identify primer binding sites:</w:t>
      </w:r>
    </w:p>
    <w:p w14:paraId="5D11FAEA" w14:textId="77777777" w:rsidR="000F55B3" w:rsidRDefault="000F55B3" w:rsidP="000F55B3">
      <w:r>
        <w:rPr>
          <w:noProof/>
        </w:rPr>
        <w:drawing>
          <wp:inline distT="0" distB="0" distL="0" distR="0" wp14:anchorId="035E92FE" wp14:editId="071A6A75">
            <wp:extent cx="4819973" cy="2373472"/>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48" t="15771" r="46259" b="40290"/>
                    <a:stretch/>
                  </pic:blipFill>
                  <pic:spPr bwMode="auto">
                    <a:xfrm>
                      <a:off x="0" y="0"/>
                      <a:ext cx="4835059" cy="2380900"/>
                    </a:xfrm>
                    <a:prstGeom prst="rect">
                      <a:avLst/>
                    </a:prstGeom>
                    <a:ln>
                      <a:noFill/>
                    </a:ln>
                    <a:extLst>
                      <a:ext uri="{53640926-AAD7-44D8-BBD7-CCE9431645EC}">
                        <a14:shadowObscured xmlns:a14="http://schemas.microsoft.com/office/drawing/2010/main"/>
                      </a:ext>
                    </a:extLst>
                  </pic:spPr>
                </pic:pic>
              </a:graphicData>
            </a:graphic>
          </wp:inline>
        </w:drawing>
      </w:r>
    </w:p>
    <w:p w14:paraId="15D3C252" w14:textId="77777777" w:rsidR="000F55B3" w:rsidRPr="000F55B3" w:rsidRDefault="000F55B3" w:rsidP="000F55B3">
      <w:r>
        <w:rPr>
          <w:noProof/>
        </w:rPr>
        <w:drawing>
          <wp:inline distT="0" distB="0" distL="0" distR="0" wp14:anchorId="49C97D19" wp14:editId="51D10DD5">
            <wp:extent cx="4207790" cy="12429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802" t="38298" r="55008" b="40072"/>
                    <a:stretch/>
                  </pic:blipFill>
                  <pic:spPr bwMode="auto">
                    <a:xfrm>
                      <a:off x="0" y="0"/>
                      <a:ext cx="4217758" cy="124586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8F5A76" wp14:editId="2D4B4194">
            <wp:extent cx="2898183" cy="3099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330" t="83250" r="70979" b="12055"/>
                    <a:stretch/>
                  </pic:blipFill>
                  <pic:spPr bwMode="auto">
                    <a:xfrm>
                      <a:off x="0" y="0"/>
                      <a:ext cx="2913162" cy="311568"/>
                    </a:xfrm>
                    <a:prstGeom prst="rect">
                      <a:avLst/>
                    </a:prstGeom>
                    <a:ln>
                      <a:noFill/>
                    </a:ln>
                    <a:extLst>
                      <a:ext uri="{53640926-AAD7-44D8-BBD7-CCE9431645EC}">
                        <a14:shadowObscured xmlns:a14="http://schemas.microsoft.com/office/drawing/2010/main"/>
                      </a:ext>
                    </a:extLst>
                  </pic:spPr>
                </pic:pic>
              </a:graphicData>
            </a:graphic>
          </wp:inline>
        </w:drawing>
      </w:r>
    </w:p>
    <w:p w14:paraId="77D2790F" w14:textId="77777777" w:rsidR="002434F6" w:rsidRDefault="002434F6" w:rsidP="002434F6">
      <w:pPr>
        <w:pStyle w:val="ListParagraph"/>
        <w:numPr>
          <w:ilvl w:val="0"/>
          <w:numId w:val="5"/>
        </w:numPr>
      </w:pPr>
      <w:r>
        <w:t xml:space="preserve">Copy sequence from Benchling into Primerblast ( </w:t>
      </w:r>
      <w:hyperlink r:id="rId14" w:history="1">
        <w:r w:rsidRPr="009C5FC6">
          <w:rPr>
            <w:rStyle w:val="Hyperlink"/>
          </w:rPr>
          <w:t>www.ncbi.nlm.nih.gov/tools/primer-blast/</w:t>
        </w:r>
      </w:hyperlink>
      <w:r>
        <w:t xml:space="preserve"> )</w:t>
      </w:r>
    </w:p>
    <w:p w14:paraId="607B3A45" w14:textId="77777777" w:rsidR="002434F6" w:rsidRPr="000F55B3" w:rsidRDefault="002434F6" w:rsidP="002434F6">
      <w:pPr>
        <w:pStyle w:val="ListParagraph"/>
        <w:numPr>
          <w:ilvl w:val="0"/>
          <w:numId w:val="5"/>
        </w:numPr>
      </w:pPr>
      <w:r>
        <w:t>For Upstream region, set a range for the Reverse primer that won’t disrupt RSc1735</w:t>
      </w:r>
      <w:r w:rsidR="000F55B3">
        <w:t>, ie region 2905 to 3373</w:t>
      </w:r>
      <w:r>
        <w:t>.</w:t>
      </w:r>
      <w:r w:rsidRPr="000F55B3">
        <w:rPr>
          <w:sz w:val="18"/>
        </w:rPr>
        <w:t xml:space="preserve"> </w:t>
      </w:r>
      <w:r w:rsidR="000F55B3">
        <w:rPr>
          <w:sz w:val="18"/>
        </w:rPr>
        <w:br/>
      </w:r>
      <w:r w:rsidRPr="000F55B3">
        <w:rPr>
          <w:i/>
          <w:sz w:val="18"/>
        </w:rPr>
        <w:t xml:space="preserve">If the genes are packed tight like the pink example on page 2, manually </w:t>
      </w:r>
      <w:r w:rsidR="000F55B3" w:rsidRPr="000F55B3">
        <w:rPr>
          <w:i/>
          <w:sz w:val="18"/>
        </w:rPr>
        <w:t xml:space="preserve">choose the reverse primer, ie 18-21 bases with Tm 55-66 C. </w:t>
      </w:r>
    </w:p>
    <w:p w14:paraId="727752CA" w14:textId="77777777" w:rsidR="000F55B3" w:rsidRDefault="000F55B3" w:rsidP="002434F6">
      <w:pPr>
        <w:pStyle w:val="ListParagraph"/>
        <w:numPr>
          <w:ilvl w:val="0"/>
          <w:numId w:val="5"/>
        </w:numPr>
      </w:pPr>
      <w:r>
        <w:t xml:space="preserve">Set </w:t>
      </w:r>
      <w:r w:rsidRPr="000F55B3">
        <w:rPr>
          <w:b/>
        </w:rPr>
        <w:t>PCR product size</w:t>
      </w:r>
      <w:r>
        <w:t xml:space="preserve"> to 700-1100</w:t>
      </w:r>
    </w:p>
    <w:p w14:paraId="66AFF489" w14:textId="77777777" w:rsidR="000F55B3" w:rsidRDefault="000F55B3" w:rsidP="002434F6">
      <w:pPr>
        <w:pStyle w:val="ListParagraph"/>
        <w:numPr>
          <w:ilvl w:val="0"/>
          <w:numId w:val="5"/>
        </w:numPr>
      </w:pPr>
      <w:r>
        <w:t xml:space="preserve">Set Specificity to </w:t>
      </w:r>
      <w:r w:rsidRPr="000F55B3">
        <w:rPr>
          <w:b/>
        </w:rPr>
        <w:t>Database</w:t>
      </w:r>
      <w:r>
        <w:t xml:space="preserve"> = all Genomes / </w:t>
      </w:r>
      <w:r w:rsidRPr="000F55B3">
        <w:rPr>
          <w:b/>
        </w:rPr>
        <w:t>Organism</w:t>
      </w:r>
      <w:r>
        <w:t xml:space="preserve"> = GMI1000</w:t>
      </w:r>
    </w:p>
    <w:p w14:paraId="07450E01" w14:textId="77777777" w:rsidR="000F55B3" w:rsidRDefault="000F55B3" w:rsidP="002434F6">
      <w:pPr>
        <w:pStyle w:val="ListParagraph"/>
        <w:numPr>
          <w:ilvl w:val="0"/>
          <w:numId w:val="5"/>
        </w:numPr>
      </w:pPr>
      <w:r>
        <w:t xml:space="preserve">Check the </w:t>
      </w:r>
      <w:r w:rsidRPr="000F55B3">
        <w:rPr>
          <w:b/>
        </w:rPr>
        <w:t>“show results in new window”</w:t>
      </w:r>
      <w:r>
        <w:t xml:space="preserve"> button.</w:t>
      </w:r>
    </w:p>
    <w:p w14:paraId="7F36F4DB" w14:textId="77777777" w:rsidR="002434F6" w:rsidRDefault="000F55B3" w:rsidP="002434F6">
      <w:pPr>
        <w:pStyle w:val="ListParagraph"/>
        <w:numPr>
          <w:ilvl w:val="0"/>
          <w:numId w:val="5"/>
        </w:numPr>
      </w:pPr>
      <w:r>
        <w:t xml:space="preserve">While that chugs, I usually will change the </w:t>
      </w:r>
      <w:r>
        <w:rPr>
          <w:b/>
        </w:rPr>
        <w:t>Opt</w:t>
      </w:r>
      <w:r>
        <w:t>imal primer Tm from 60C to 61 and 62 (opening new windows on each. (Less down time)</w:t>
      </w:r>
    </w:p>
    <w:p w14:paraId="7A5C741C" w14:textId="77777777" w:rsidR="000F55B3" w:rsidRDefault="000F55B3" w:rsidP="003C4F9F">
      <w:pPr>
        <w:pStyle w:val="ListParagraph"/>
        <w:numPr>
          <w:ilvl w:val="0"/>
          <w:numId w:val="5"/>
        </w:numPr>
      </w:pPr>
      <w:r>
        <w:t xml:space="preserve">In Advanced I have used some features. The </w:t>
      </w:r>
      <w:r w:rsidRPr="000F55B3">
        <w:rPr>
          <w:b/>
        </w:rPr>
        <w:t>Excluded regions</w:t>
      </w:r>
      <w:r>
        <w:t xml:space="preserve"> feature is useful if you’re redesigning primers after PCR/cloning was unsuccessful. </w:t>
      </w:r>
    </w:p>
    <w:p w14:paraId="47DF4E6E" w14:textId="77777777" w:rsidR="000F55B3" w:rsidRPr="003C4F9F" w:rsidRDefault="000F55B3" w:rsidP="000F55B3">
      <w:pPr>
        <w:ind w:left="-630"/>
      </w:pPr>
      <w:r>
        <w:rPr>
          <w:noProof/>
        </w:rPr>
        <w:drawing>
          <wp:inline distT="0" distB="0" distL="0" distR="0" wp14:anchorId="65650992" wp14:editId="22DA18A1">
            <wp:extent cx="3363132" cy="1467136"/>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9637" cy="1469974"/>
                    </a:xfrm>
                    <a:prstGeom prst="rect">
                      <a:avLst/>
                    </a:prstGeom>
                  </pic:spPr>
                </pic:pic>
              </a:graphicData>
            </a:graphic>
          </wp:inline>
        </w:drawing>
      </w:r>
      <w:r>
        <w:rPr>
          <w:noProof/>
        </w:rPr>
        <w:drawing>
          <wp:inline distT="0" distB="0" distL="0" distR="0" wp14:anchorId="79EA9C0C" wp14:editId="602993EB">
            <wp:extent cx="3378630" cy="15874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703" t="35369" r="48983" b="26781"/>
                    <a:stretch/>
                  </pic:blipFill>
                  <pic:spPr bwMode="auto">
                    <a:xfrm>
                      <a:off x="0" y="0"/>
                      <a:ext cx="3448723" cy="1620422"/>
                    </a:xfrm>
                    <a:prstGeom prst="rect">
                      <a:avLst/>
                    </a:prstGeom>
                    <a:ln>
                      <a:noFill/>
                    </a:ln>
                    <a:extLst>
                      <a:ext uri="{53640926-AAD7-44D8-BBD7-CCE9431645EC}">
                        <a14:shadowObscured xmlns:a14="http://schemas.microsoft.com/office/drawing/2010/main"/>
                      </a:ext>
                    </a:extLst>
                  </pic:spPr>
                </pic:pic>
              </a:graphicData>
            </a:graphic>
          </wp:inline>
        </w:drawing>
      </w:r>
    </w:p>
    <w:p w14:paraId="5CD0C054" w14:textId="77777777" w:rsidR="003C4F9F" w:rsidRDefault="00AE7949" w:rsidP="003C4F9F">
      <w:r>
        <w:lastRenderedPageBreak/>
        <w:t xml:space="preserve">Do the same for the downstream side, Add benchling annotations for the target Upstream/downstream products. </w:t>
      </w:r>
    </w:p>
    <w:p w14:paraId="4F6F45B5" w14:textId="77777777" w:rsidR="00AE7949" w:rsidRDefault="00AE7949" w:rsidP="003C4F9F">
      <w:r>
        <w:rPr>
          <w:noProof/>
        </w:rPr>
        <w:drawing>
          <wp:inline distT="0" distB="0" distL="0" distR="0" wp14:anchorId="7A84EE39" wp14:editId="12B920FC">
            <wp:extent cx="5029200" cy="1381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200" cy="1381125"/>
                    </a:xfrm>
                    <a:prstGeom prst="rect">
                      <a:avLst/>
                    </a:prstGeom>
                  </pic:spPr>
                </pic:pic>
              </a:graphicData>
            </a:graphic>
          </wp:inline>
        </w:drawing>
      </w:r>
    </w:p>
    <w:p w14:paraId="7AD21FDF" w14:textId="77777777" w:rsidR="00AE7949" w:rsidRDefault="00AE7949" w:rsidP="003C4F9F">
      <w:r>
        <w:rPr>
          <w:noProof/>
        </w:rPr>
        <w:drawing>
          <wp:inline distT="0" distB="0" distL="0" distR="0" wp14:anchorId="51203CB0" wp14:editId="2A607A12">
            <wp:extent cx="3998563" cy="1916616"/>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4275" cy="1919354"/>
                    </a:xfrm>
                    <a:prstGeom prst="rect">
                      <a:avLst/>
                    </a:prstGeom>
                  </pic:spPr>
                </pic:pic>
              </a:graphicData>
            </a:graphic>
          </wp:inline>
        </w:drawing>
      </w:r>
    </w:p>
    <w:p w14:paraId="6A1D9629" w14:textId="77777777" w:rsidR="00AE7949" w:rsidRDefault="00AE7949" w:rsidP="003C4F9F">
      <w:r>
        <w:t xml:space="preserve">Note: My downstream region will leave 50 bp of the end of </w:t>
      </w:r>
      <w:r>
        <w:rPr>
          <w:i/>
        </w:rPr>
        <w:t>potC</w:t>
      </w:r>
      <w:r>
        <w:t xml:space="preserve">. However, without a start codon, we shouldn’t have any protein expression. The region after </w:t>
      </w:r>
      <w:r>
        <w:rPr>
          <w:i/>
        </w:rPr>
        <w:t>potC</w:t>
      </w:r>
      <w:r>
        <w:t xml:space="preserve"> is highly GC rich, and I suspect it encodes a transcriptional stop stemloop. Either way, it was a poor </w:t>
      </w:r>
      <w:r w:rsidR="00B46F29">
        <w:t>region for primers (Primer blast results hit 4-10 regions in the genome)</w:t>
      </w:r>
    </w:p>
    <w:p w14:paraId="0C168F52" w14:textId="77777777" w:rsidR="00B46F29" w:rsidRDefault="00B46F29">
      <w:pPr>
        <w:rPr>
          <w:rFonts w:asciiTheme="majorHAnsi" w:eastAsiaTheme="majorEastAsia" w:hAnsiTheme="majorHAnsi" w:cstheme="majorBidi"/>
          <w:b/>
          <w:color w:val="1F3864" w:themeColor="accent1" w:themeShade="80"/>
          <w:sz w:val="24"/>
          <w:szCs w:val="26"/>
        </w:rPr>
      </w:pPr>
      <w:r>
        <w:br w:type="page"/>
      </w:r>
    </w:p>
    <w:p w14:paraId="5884E9E5" w14:textId="77777777" w:rsidR="00B46F29" w:rsidRDefault="00B46F29" w:rsidP="00B46F29">
      <w:pPr>
        <w:pStyle w:val="Heading2"/>
      </w:pPr>
      <w:r>
        <w:lastRenderedPageBreak/>
        <w:t>Design overlaps for Gibson Assembly:</w:t>
      </w:r>
    </w:p>
    <w:p w14:paraId="7E0DDD5D" w14:textId="77777777" w:rsidR="00B46F29" w:rsidRDefault="00B46F29" w:rsidP="00B46F29">
      <w:r>
        <w:t xml:space="preserve">Copy/Paste the Upstream product, Downstream product, and pUFR80 vector sequence into NEBuilder. </w:t>
      </w:r>
    </w:p>
    <w:p w14:paraId="74F23D8E" w14:textId="77777777" w:rsidR="00B46F29" w:rsidRPr="00B46F29" w:rsidRDefault="00B46F29" w:rsidP="00B46F29">
      <w:r>
        <w:t xml:space="preserve">Settings: </w:t>
      </w:r>
      <w:commentRangeStart w:id="1"/>
      <w:r>
        <w:t xml:space="preserve">Set pUFR80 as vector backbone, linearize with </w:t>
      </w:r>
      <w:r>
        <w:rPr>
          <w:i/>
        </w:rPr>
        <w:t>HindIII</w:t>
      </w:r>
      <w:r>
        <w:t xml:space="preserve"> digest (No real reason for this other than </w:t>
      </w:r>
      <w:r>
        <w:rPr>
          <w:i/>
        </w:rPr>
        <w:t xml:space="preserve">HindIII </w:t>
      </w:r>
      <w:r>
        <w:t xml:space="preserve">is a cheap RE, is present in the </w:t>
      </w:r>
      <w:r>
        <w:rPr>
          <w:i/>
        </w:rPr>
        <w:t>lacZ</w:t>
      </w:r>
      <w:r>
        <w:t xml:space="preserve"> ORF in pUFR80 (enables blue/white screening for inserts), and it’s convenient to always use the same insertion site so you can keep a tube of linearized vector to use for multiple projects. </w:t>
      </w:r>
      <w:commentRangeEnd w:id="1"/>
      <w:r w:rsidR="00ED5D40" w:rsidRPr="00B46F29">
        <w:rPr>
          <w:rStyle w:val="CommentReference"/>
          <w:sz w:val="22"/>
          <w:szCs w:val="22"/>
        </w:rPr>
        <w:commentReference w:id="1"/>
      </w:r>
    </w:p>
    <w:p w14:paraId="0C306BB2" w14:textId="77777777" w:rsidR="00B46F29" w:rsidRDefault="00B46F29" w:rsidP="00007604">
      <w:r>
        <w:rPr>
          <w:noProof/>
        </w:rPr>
        <w:drawing>
          <wp:inline distT="0" distB="0" distL="0" distR="0" wp14:anchorId="17B708A6" wp14:editId="63D38AFD">
            <wp:extent cx="4815840" cy="1725813"/>
            <wp:effectExtent l="0" t="0" r="381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3205" t="13903" r="49231" b="62165"/>
                    <a:stretch/>
                  </pic:blipFill>
                  <pic:spPr bwMode="auto">
                    <a:xfrm>
                      <a:off x="0" y="0"/>
                      <a:ext cx="4815840" cy="1725813"/>
                    </a:xfrm>
                    <a:prstGeom prst="rect">
                      <a:avLst/>
                    </a:prstGeom>
                    <a:ln>
                      <a:noFill/>
                    </a:ln>
                    <a:extLst>
                      <a:ext uri="{53640926-AAD7-44D8-BBD7-CCE9431645EC}">
                        <a14:shadowObscured xmlns:a14="http://schemas.microsoft.com/office/drawing/2010/main"/>
                      </a:ext>
                    </a:extLst>
                  </pic:spPr>
                </pic:pic>
              </a:graphicData>
            </a:graphic>
          </wp:inline>
        </w:drawing>
      </w:r>
    </w:p>
    <w:p w14:paraId="38A04FED" w14:textId="77777777" w:rsidR="00B46F29" w:rsidRDefault="00B46F29" w:rsidP="00007604">
      <w:r>
        <w:t xml:space="preserve">Copy table into your cloning document, add a column to name your primer. </w:t>
      </w:r>
    </w:p>
    <w:tbl>
      <w:tblPr>
        <w:tblW w:w="0" w:type="auto"/>
        <w:shd w:val="clear" w:color="auto" w:fill="FAFAFA"/>
        <w:tblCellMar>
          <w:top w:w="15" w:type="dxa"/>
          <w:left w:w="15" w:type="dxa"/>
          <w:bottom w:w="15" w:type="dxa"/>
          <w:right w:w="15" w:type="dxa"/>
        </w:tblCellMar>
        <w:tblLook w:val="04A0" w:firstRow="1" w:lastRow="0" w:firstColumn="1" w:lastColumn="0" w:noHBand="0" w:noVBand="1"/>
      </w:tblPr>
      <w:tblGrid>
        <w:gridCol w:w="1660"/>
        <w:gridCol w:w="1484"/>
        <w:gridCol w:w="4954"/>
        <w:gridCol w:w="1484"/>
        <w:gridCol w:w="588"/>
      </w:tblGrid>
      <w:tr w:rsidR="00B46F29" w:rsidRPr="00E83E13" w14:paraId="19EEE5A4" w14:textId="77777777" w:rsidTr="0042543B">
        <w:trPr>
          <w:trHeight w:val="360"/>
        </w:trPr>
        <w:tc>
          <w:tcPr>
            <w:tcW w:w="0" w:type="auto"/>
            <w:shd w:val="clear" w:color="auto" w:fill="FAFAFA"/>
          </w:tcPr>
          <w:p w14:paraId="7926FCC7" w14:textId="77777777" w:rsidR="00B46F29" w:rsidRPr="00E83E13" w:rsidRDefault="00B46F29" w:rsidP="0042543B">
            <w:pPr>
              <w:spacing w:after="0" w:line="240" w:lineRule="auto"/>
              <w:rPr>
                <w:rFonts w:ascii="Verdana" w:eastAsia="Times New Roman" w:hAnsi="Verdana" w:cs="Times New Roman"/>
                <w:sz w:val="18"/>
                <w:szCs w:val="18"/>
              </w:rPr>
            </w:pPr>
            <w:r>
              <w:rPr>
                <w:rFonts w:ascii="Verdana" w:eastAsia="Times New Roman" w:hAnsi="Verdana" w:cs="Times New Roman"/>
                <w:sz w:val="18"/>
                <w:szCs w:val="18"/>
              </w:rPr>
              <w:t>Primer Name</w:t>
            </w:r>
          </w:p>
        </w:tc>
        <w:tc>
          <w:tcPr>
            <w:tcW w:w="0" w:type="auto"/>
            <w:shd w:val="clear" w:color="auto" w:fill="FAFAFA"/>
            <w:tcMar>
              <w:top w:w="0" w:type="dxa"/>
              <w:left w:w="0" w:type="dxa"/>
              <w:bottom w:w="30" w:type="dxa"/>
              <w:right w:w="225" w:type="dxa"/>
            </w:tcMar>
            <w:vAlign w:val="center"/>
            <w:hideMark/>
          </w:tcPr>
          <w:p w14:paraId="67BC5BA5" w14:textId="77777777" w:rsidR="00B46F29" w:rsidRPr="00E83E13" w:rsidRDefault="00B46F29" w:rsidP="0042543B">
            <w:pPr>
              <w:spacing w:after="0" w:line="240" w:lineRule="auto"/>
              <w:rPr>
                <w:rFonts w:ascii="Verdana" w:eastAsia="Times New Roman" w:hAnsi="Verdana" w:cs="Times New Roman"/>
                <w:sz w:val="18"/>
                <w:szCs w:val="18"/>
              </w:rPr>
            </w:pPr>
            <w:r w:rsidRPr="00E83E13">
              <w:rPr>
                <w:rFonts w:ascii="Verdana" w:eastAsia="Times New Roman" w:hAnsi="Verdana" w:cs="Times New Roman"/>
                <w:sz w:val="18"/>
                <w:szCs w:val="18"/>
              </w:rPr>
              <w:t>Overlaps</w:t>
            </w:r>
          </w:p>
        </w:tc>
        <w:tc>
          <w:tcPr>
            <w:tcW w:w="0" w:type="auto"/>
            <w:shd w:val="clear" w:color="auto" w:fill="FAFAFA"/>
            <w:tcMar>
              <w:top w:w="0" w:type="dxa"/>
              <w:left w:w="0" w:type="dxa"/>
              <w:bottom w:w="30" w:type="dxa"/>
              <w:right w:w="225" w:type="dxa"/>
            </w:tcMar>
            <w:vAlign w:val="center"/>
            <w:hideMark/>
          </w:tcPr>
          <w:p w14:paraId="4014C4CC" w14:textId="77777777" w:rsidR="00B46F29" w:rsidRPr="00E83E13" w:rsidRDefault="00B46F29" w:rsidP="0042543B">
            <w:pPr>
              <w:spacing w:after="0" w:line="240" w:lineRule="auto"/>
              <w:rPr>
                <w:rFonts w:ascii="Verdana" w:eastAsia="Times New Roman" w:hAnsi="Verdana" w:cs="Times New Roman"/>
                <w:sz w:val="18"/>
                <w:szCs w:val="18"/>
              </w:rPr>
            </w:pPr>
            <w:r w:rsidRPr="00E83E13">
              <w:rPr>
                <w:rFonts w:ascii="Verdana" w:eastAsia="Times New Roman" w:hAnsi="Verdana" w:cs="Times New Roman"/>
                <w:sz w:val="18"/>
                <w:szCs w:val="18"/>
              </w:rPr>
              <w:t>Oligo (Uppercase = gene-specific primer)</w:t>
            </w:r>
          </w:p>
        </w:tc>
        <w:tc>
          <w:tcPr>
            <w:tcW w:w="0" w:type="auto"/>
            <w:shd w:val="clear" w:color="auto" w:fill="FAFAFA"/>
            <w:tcMar>
              <w:top w:w="0" w:type="dxa"/>
              <w:left w:w="0" w:type="dxa"/>
              <w:bottom w:w="30" w:type="dxa"/>
              <w:right w:w="225" w:type="dxa"/>
            </w:tcMar>
            <w:vAlign w:val="center"/>
            <w:hideMark/>
          </w:tcPr>
          <w:p w14:paraId="77CEA99C" w14:textId="77777777" w:rsidR="00B46F29" w:rsidRPr="00E83E13" w:rsidRDefault="00B46F29" w:rsidP="0042543B">
            <w:pPr>
              <w:spacing w:after="0" w:line="240" w:lineRule="auto"/>
              <w:rPr>
                <w:rFonts w:ascii="Verdana" w:eastAsia="Times New Roman" w:hAnsi="Verdana" w:cs="Times New Roman"/>
                <w:sz w:val="18"/>
                <w:szCs w:val="18"/>
              </w:rPr>
            </w:pPr>
            <w:r w:rsidRPr="00E83E13">
              <w:rPr>
                <w:rFonts w:ascii="Verdana" w:eastAsia="Times New Roman" w:hAnsi="Verdana" w:cs="Times New Roman"/>
                <w:sz w:val="18"/>
                <w:szCs w:val="18"/>
              </w:rPr>
              <w:t>Anneals</w:t>
            </w:r>
          </w:p>
        </w:tc>
        <w:tc>
          <w:tcPr>
            <w:tcW w:w="0" w:type="auto"/>
            <w:shd w:val="clear" w:color="auto" w:fill="FAFAFA"/>
            <w:tcMar>
              <w:top w:w="0" w:type="dxa"/>
              <w:left w:w="0" w:type="dxa"/>
              <w:bottom w:w="30" w:type="dxa"/>
              <w:right w:w="225" w:type="dxa"/>
            </w:tcMar>
            <w:vAlign w:val="center"/>
            <w:hideMark/>
          </w:tcPr>
          <w:p w14:paraId="4E4DCE44" w14:textId="77777777" w:rsidR="00B46F29" w:rsidRPr="00E83E13" w:rsidRDefault="00B46F29" w:rsidP="0042543B">
            <w:pPr>
              <w:spacing w:after="0" w:line="240" w:lineRule="auto"/>
              <w:rPr>
                <w:rFonts w:ascii="Verdana" w:eastAsia="Times New Roman" w:hAnsi="Verdana" w:cs="Times New Roman"/>
                <w:sz w:val="18"/>
                <w:szCs w:val="18"/>
              </w:rPr>
            </w:pPr>
            <w:r w:rsidRPr="00E83E13">
              <w:rPr>
                <w:rFonts w:ascii="Verdana" w:eastAsia="Times New Roman" w:hAnsi="Verdana" w:cs="Times New Roman"/>
                <w:sz w:val="18"/>
                <w:szCs w:val="18"/>
              </w:rPr>
              <w:t>F/R</w:t>
            </w:r>
          </w:p>
        </w:tc>
      </w:tr>
      <w:tr w:rsidR="00B46F29" w:rsidRPr="00E83E13" w14:paraId="6B9E4086" w14:textId="77777777" w:rsidTr="0042543B">
        <w:trPr>
          <w:trHeight w:val="360"/>
        </w:trPr>
        <w:tc>
          <w:tcPr>
            <w:tcW w:w="0" w:type="auto"/>
            <w:tcBorders>
              <w:top w:val="single" w:sz="2" w:space="0" w:color="CCCCCC"/>
              <w:left w:val="single" w:sz="2" w:space="0" w:color="CCCCCC"/>
              <w:bottom w:val="single" w:sz="2" w:space="0" w:color="CCCCCC"/>
              <w:right w:val="single" w:sz="2" w:space="0" w:color="CCCCCC"/>
            </w:tcBorders>
            <w:shd w:val="clear" w:color="auto" w:fill="FAFAFA"/>
          </w:tcPr>
          <w:p w14:paraId="7CEC7D5F" w14:textId="77777777" w:rsidR="00B46F29" w:rsidRPr="00B46F29" w:rsidRDefault="00B46F29" w:rsidP="0042543B">
            <w:pPr>
              <w:spacing w:after="0" w:line="240" w:lineRule="auto"/>
              <w:rPr>
                <w:rFonts w:ascii="Verdana" w:eastAsia="Times New Roman" w:hAnsi="Verdana" w:cs="Times New Roman"/>
                <w:color w:val="1E1F20"/>
                <w:sz w:val="18"/>
                <w:szCs w:val="18"/>
              </w:rPr>
            </w:pPr>
            <w:r w:rsidRPr="00B46F29">
              <w:rPr>
                <w:rFonts w:ascii="Verdana" w:eastAsia="Times New Roman" w:hAnsi="Verdana" w:cs="Times New Roman"/>
                <w:color w:val="1E1F20"/>
                <w:sz w:val="18"/>
                <w:szCs w:val="18"/>
              </w:rPr>
              <w:t>TLP13-potADBCup2F</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17929994"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pUFR80</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6E1A842D" w14:textId="77777777" w:rsidR="00B46F29" w:rsidRPr="00E83E13" w:rsidRDefault="00B46F29" w:rsidP="0042543B">
            <w:pPr>
              <w:spacing w:after="0" w:line="240" w:lineRule="auto"/>
              <w:jc w:val="right"/>
              <w:rPr>
                <w:rFonts w:ascii="Verdana" w:eastAsia="Times New Roman" w:hAnsi="Verdana" w:cs="Times New Roman"/>
                <w:color w:val="1E1F20"/>
                <w:sz w:val="18"/>
                <w:szCs w:val="18"/>
              </w:rPr>
            </w:pPr>
            <w:r w:rsidRPr="00E83E13">
              <w:rPr>
                <w:rFonts w:ascii="Verdana" w:eastAsia="Times New Roman" w:hAnsi="Verdana" w:cs="Times New Roman"/>
                <w:color w:val="6D6E71"/>
                <w:sz w:val="18"/>
                <w:szCs w:val="18"/>
                <w:bdr w:val="single" w:sz="2" w:space="0" w:color="808080" w:frame="1"/>
              </w:rPr>
              <w:t>taaaacgacggccagtgcca</w:t>
            </w:r>
            <w:r w:rsidRPr="00E83E13">
              <w:rPr>
                <w:rFonts w:ascii="Verdana" w:eastAsia="Times New Roman" w:hAnsi="Verdana" w:cs="Times New Roman"/>
                <w:color w:val="7E923F"/>
                <w:sz w:val="18"/>
                <w:szCs w:val="18"/>
                <w:bdr w:val="single" w:sz="2" w:space="0" w:color="808080" w:frame="1"/>
              </w:rPr>
              <w:t>CAATGGCTGCAGGAACTG</w:t>
            </w:r>
            <w:r>
              <w:rPr>
                <w:rFonts w:ascii="Verdana" w:eastAsia="Times New Roman" w:hAnsi="Verdana" w:cs="Times New Roman"/>
                <w:color w:val="7E923F"/>
                <w:sz w:val="18"/>
                <w:szCs w:val="18"/>
                <w:bdr w:val="single" w:sz="2" w:space="0" w:color="808080" w:frame="1"/>
              </w:rPr>
              <w:t>G</w:t>
            </w:r>
            <w:r w:rsidRPr="00B46F29">
              <w:rPr>
                <w:rFonts w:ascii="Verdana" w:eastAsia="Times New Roman" w:hAnsi="Verdana" w:cs="Times New Roman"/>
                <w:b/>
                <w:color w:val="7E923F"/>
                <w:sz w:val="18"/>
                <w:szCs w:val="18"/>
                <w:bdr w:val="single" w:sz="2" w:space="0" w:color="808080" w:frame="1"/>
              </w:rPr>
              <w:t>TG</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0A4DA225"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potADBC_up2</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5F521937"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Fwd</w:t>
            </w:r>
          </w:p>
        </w:tc>
      </w:tr>
      <w:tr w:rsidR="00B46F29" w:rsidRPr="00E83E13" w14:paraId="4CBC48BE" w14:textId="77777777" w:rsidTr="0042543B">
        <w:trPr>
          <w:trHeight w:val="360"/>
        </w:trPr>
        <w:tc>
          <w:tcPr>
            <w:tcW w:w="0" w:type="auto"/>
            <w:tcBorders>
              <w:top w:val="single" w:sz="2" w:space="0" w:color="CCCCCC"/>
              <w:left w:val="single" w:sz="2" w:space="0" w:color="CCCCCC"/>
              <w:bottom w:val="single" w:sz="2" w:space="0" w:color="CCCCCC"/>
              <w:right w:val="single" w:sz="2" w:space="0" w:color="CCCCCC"/>
            </w:tcBorders>
            <w:shd w:val="clear" w:color="auto" w:fill="FAFAFA"/>
          </w:tcPr>
          <w:p w14:paraId="311E43F3" w14:textId="77777777" w:rsidR="00B46F29" w:rsidRPr="00B46F29" w:rsidRDefault="00B46F29" w:rsidP="0042543B">
            <w:pPr>
              <w:spacing w:after="0" w:line="240" w:lineRule="auto"/>
              <w:rPr>
                <w:rFonts w:ascii="Verdana" w:eastAsia="Times New Roman" w:hAnsi="Verdana" w:cs="Times New Roman"/>
                <w:color w:val="1E1F20"/>
                <w:sz w:val="18"/>
                <w:szCs w:val="18"/>
              </w:rPr>
            </w:pPr>
            <w:r w:rsidRPr="00B46F29">
              <w:rPr>
                <w:rFonts w:ascii="Verdana" w:eastAsia="Times New Roman" w:hAnsi="Verdana" w:cs="Times New Roman"/>
                <w:color w:val="1E1F20"/>
                <w:sz w:val="18"/>
                <w:szCs w:val="18"/>
              </w:rPr>
              <w:t>TLP16-potADBCup2R2</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71219113"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potCdwn2</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2FC770E7" w14:textId="77777777" w:rsidR="00B46F29" w:rsidRPr="00E83E13" w:rsidRDefault="00B46F29" w:rsidP="0042543B">
            <w:pPr>
              <w:spacing w:after="0" w:line="240" w:lineRule="auto"/>
              <w:jc w:val="right"/>
              <w:rPr>
                <w:rFonts w:ascii="Verdana" w:eastAsia="Times New Roman" w:hAnsi="Verdana" w:cs="Times New Roman"/>
                <w:color w:val="1E1F20"/>
                <w:sz w:val="18"/>
                <w:szCs w:val="18"/>
              </w:rPr>
            </w:pPr>
            <w:r w:rsidRPr="00E83E13">
              <w:rPr>
                <w:rFonts w:ascii="Verdana" w:eastAsia="Times New Roman" w:hAnsi="Verdana" w:cs="Times New Roman"/>
                <w:color w:val="007EA7"/>
                <w:sz w:val="18"/>
                <w:szCs w:val="18"/>
                <w:bdr w:val="single" w:sz="2" w:space="0" w:color="808080" w:frame="1"/>
              </w:rPr>
              <w:t>tcgaaggtca</w:t>
            </w:r>
            <w:r w:rsidRPr="00E83E13">
              <w:rPr>
                <w:rFonts w:ascii="Verdana" w:eastAsia="Times New Roman" w:hAnsi="Verdana" w:cs="Times New Roman"/>
                <w:color w:val="7E923F"/>
                <w:sz w:val="18"/>
                <w:szCs w:val="18"/>
                <w:bdr w:val="single" w:sz="2" w:space="0" w:color="808080" w:frame="1"/>
              </w:rPr>
              <w:t>ATAGCGGCTCATGGTCTTG</w:t>
            </w:r>
            <w:r w:rsidRPr="00B46F29">
              <w:rPr>
                <w:rFonts w:ascii="Verdana" w:eastAsia="Times New Roman" w:hAnsi="Verdana" w:cs="Times New Roman"/>
                <w:b/>
                <w:color w:val="7E923F"/>
                <w:sz w:val="18"/>
                <w:szCs w:val="18"/>
                <w:bdr w:val="single" w:sz="2" w:space="0" w:color="808080" w:frame="1"/>
              </w:rPr>
              <w:t>CC</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11431015"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potADBC_up2</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54CCB804"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Rev</w:t>
            </w:r>
          </w:p>
        </w:tc>
      </w:tr>
      <w:tr w:rsidR="00B46F29" w:rsidRPr="00E83E13" w14:paraId="33E51D86" w14:textId="77777777" w:rsidTr="0042543B">
        <w:trPr>
          <w:trHeight w:val="360"/>
        </w:trPr>
        <w:tc>
          <w:tcPr>
            <w:tcW w:w="0" w:type="auto"/>
            <w:tcBorders>
              <w:top w:val="single" w:sz="2" w:space="0" w:color="CCCCCC"/>
              <w:left w:val="single" w:sz="2" w:space="0" w:color="CCCCCC"/>
              <w:bottom w:val="single" w:sz="2" w:space="0" w:color="CCCCCC"/>
              <w:right w:val="single" w:sz="2" w:space="0" w:color="CCCCCC"/>
            </w:tcBorders>
            <w:shd w:val="clear" w:color="auto" w:fill="FAFAFA"/>
          </w:tcPr>
          <w:p w14:paraId="6E3F9250" w14:textId="77777777" w:rsidR="00B46F29" w:rsidRPr="00B46F29" w:rsidRDefault="00B46F29" w:rsidP="0042543B">
            <w:pPr>
              <w:spacing w:after="0" w:line="240" w:lineRule="auto"/>
              <w:rPr>
                <w:rFonts w:ascii="Verdana" w:eastAsia="Times New Roman" w:hAnsi="Verdana" w:cs="Times New Roman"/>
                <w:color w:val="1E1F20"/>
                <w:sz w:val="18"/>
                <w:szCs w:val="18"/>
              </w:rPr>
            </w:pPr>
            <w:r w:rsidRPr="00B46F29">
              <w:rPr>
                <w:rFonts w:ascii="Verdana" w:eastAsia="Times New Roman" w:hAnsi="Verdana" w:cs="Times New Roman"/>
                <w:color w:val="1E1F20"/>
                <w:sz w:val="18"/>
                <w:szCs w:val="18"/>
              </w:rPr>
              <w:t>TLP17-potCdwn2F3</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17DCF97B"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potADBC_up2</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135BA540" w14:textId="77777777" w:rsidR="00B46F29" w:rsidRPr="00E83E13" w:rsidRDefault="00B46F29" w:rsidP="0042543B">
            <w:pPr>
              <w:spacing w:after="0" w:line="240" w:lineRule="auto"/>
              <w:jc w:val="right"/>
              <w:rPr>
                <w:rFonts w:ascii="Verdana" w:eastAsia="Times New Roman" w:hAnsi="Verdana" w:cs="Times New Roman"/>
                <w:color w:val="1E1F20"/>
                <w:sz w:val="18"/>
                <w:szCs w:val="18"/>
              </w:rPr>
            </w:pPr>
            <w:r w:rsidRPr="00E83E13">
              <w:rPr>
                <w:rFonts w:ascii="Verdana" w:eastAsia="Times New Roman" w:hAnsi="Verdana" w:cs="Times New Roman"/>
                <w:color w:val="7E923F"/>
                <w:sz w:val="18"/>
                <w:szCs w:val="18"/>
                <w:bdr w:val="single" w:sz="2" w:space="0" w:color="808080" w:frame="1"/>
              </w:rPr>
              <w:t>gagccgctat</w:t>
            </w:r>
            <w:r w:rsidRPr="00E83E13">
              <w:rPr>
                <w:rFonts w:ascii="Verdana" w:eastAsia="Times New Roman" w:hAnsi="Verdana" w:cs="Times New Roman"/>
                <w:color w:val="007EA7"/>
                <w:sz w:val="18"/>
                <w:szCs w:val="18"/>
                <w:bdr w:val="single" w:sz="2" w:space="0" w:color="808080" w:frame="1"/>
              </w:rPr>
              <w:t>TGACCTTCGAATGGCTG</w:t>
            </w:r>
            <w:r w:rsidRPr="00B46F29">
              <w:rPr>
                <w:rFonts w:ascii="Verdana" w:eastAsia="Times New Roman" w:hAnsi="Verdana" w:cs="Times New Roman"/>
                <w:b/>
                <w:color w:val="007EA7"/>
                <w:sz w:val="18"/>
                <w:szCs w:val="18"/>
                <w:bdr w:val="single" w:sz="2" w:space="0" w:color="808080" w:frame="1"/>
              </w:rPr>
              <w:t>CG</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3DDF3941"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potCdwn2</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37A44483"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Fwd</w:t>
            </w:r>
          </w:p>
        </w:tc>
      </w:tr>
      <w:tr w:rsidR="00B46F29" w:rsidRPr="00E83E13" w14:paraId="5E1D458D" w14:textId="77777777" w:rsidTr="0042543B">
        <w:trPr>
          <w:trHeight w:val="360"/>
        </w:trPr>
        <w:tc>
          <w:tcPr>
            <w:tcW w:w="0" w:type="auto"/>
            <w:tcBorders>
              <w:top w:val="single" w:sz="2" w:space="0" w:color="CCCCCC"/>
              <w:left w:val="single" w:sz="2" w:space="0" w:color="CCCCCC"/>
              <w:bottom w:val="single" w:sz="2" w:space="0" w:color="CCCCCC"/>
              <w:right w:val="single" w:sz="2" w:space="0" w:color="CCCCCC"/>
            </w:tcBorders>
            <w:shd w:val="clear" w:color="auto" w:fill="FAFAFA"/>
          </w:tcPr>
          <w:p w14:paraId="77AA5F8A" w14:textId="77777777" w:rsidR="00B46F29" w:rsidRPr="00B46F29" w:rsidRDefault="00B46F29" w:rsidP="0042543B">
            <w:pPr>
              <w:spacing w:after="0" w:line="240" w:lineRule="auto"/>
              <w:rPr>
                <w:rFonts w:ascii="Verdana" w:eastAsia="Times New Roman" w:hAnsi="Verdana" w:cs="Times New Roman"/>
                <w:color w:val="1E1F20"/>
                <w:sz w:val="18"/>
                <w:szCs w:val="18"/>
              </w:rPr>
            </w:pPr>
            <w:r w:rsidRPr="00B46F29">
              <w:rPr>
                <w:rFonts w:ascii="Verdana" w:eastAsia="Times New Roman" w:hAnsi="Verdana" w:cs="Times New Roman"/>
                <w:color w:val="1E1F20"/>
                <w:sz w:val="18"/>
                <w:szCs w:val="18"/>
              </w:rPr>
              <w:t>TLP7-potCdwn2R</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5E20245F"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pUFR80</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12203871" w14:textId="77777777" w:rsidR="00B46F29" w:rsidRPr="00E83E13" w:rsidRDefault="00B46F29" w:rsidP="0042543B">
            <w:pPr>
              <w:spacing w:after="0" w:line="240" w:lineRule="auto"/>
              <w:jc w:val="right"/>
              <w:rPr>
                <w:rFonts w:ascii="Verdana" w:eastAsia="Times New Roman" w:hAnsi="Verdana" w:cs="Times New Roman"/>
                <w:color w:val="1E1F20"/>
                <w:sz w:val="18"/>
                <w:szCs w:val="18"/>
              </w:rPr>
            </w:pPr>
            <w:r w:rsidRPr="00E83E13">
              <w:rPr>
                <w:rFonts w:ascii="Verdana" w:eastAsia="Times New Roman" w:hAnsi="Verdana" w:cs="Times New Roman"/>
                <w:color w:val="6D6E71"/>
                <w:sz w:val="18"/>
                <w:szCs w:val="18"/>
                <w:bdr w:val="single" w:sz="2" w:space="0" w:color="808080" w:frame="1"/>
              </w:rPr>
              <w:t>agtcgacctgcaggcatgca</w:t>
            </w:r>
            <w:r w:rsidRPr="00E83E13">
              <w:rPr>
                <w:rFonts w:ascii="Verdana" w:eastAsia="Times New Roman" w:hAnsi="Verdana" w:cs="Times New Roman"/>
                <w:color w:val="007EA7"/>
                <w:sz w:val="18"/>
                <w:szCs w:val="18"/>
                <w:bdr w:val="single" w:sz="2" w:space="0" w:color="808080" w:frame="1"/>
              </w:rPr>
              <w:t>GGAACATCGTCTGCAGCT</w:t>
            </w:r>
            <w:r w:rsidRPr="00B46F29">
              <w:rPr>
                <w:rFonts w:ascii="Verdana" w:eastAsia="Times New Roman" w:hAnsi="Verdana" w:cs="Times New Roman"/>
                <w:b/>
                <w:color w:val="007EA7"/>
                <w:sz w:val="18"/>
                <w:szCs w:val="18"/>
                <w:bdr w:val="single" w:sz="2" w:space="0" w:color="808080" w:frame="1"/>
              </w:rPr>
              <w:t>CT</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7921F80D"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potCdwn2</w:t>
            </w:r>
          </w:p>
        </w:tc>
        <w:tc>
          <w:tcPr>
            <w:tcW w:w="0" w:type="auto"/>
            <w:tcBorders>
              <w:top w:val="single" w:sz="2" w:space="0" w:color="CCCCCC"/>
              <w:left w:val="single" w:sz="2" w:space="0" w:color="CCCCCC"/>
              <w:bottom w:val="single" w:sz="2" w:space="0" w:color="CCCCCC"/>
              <w:right w:val="single" w:sz="2" w:space="0" w:color="CCCCCC"/>
            </w:tcBorders>
            <w:shd w:val="clear" w:color="auto" w:fill="FAFAFA"/>
            <w:tcMar>
              <w:top w:w="0" w:type="dxa"/>
              <w:left w:w="0" w:type="dxa"/>
              <w:bottom w:w="30" w:type="dxa"/>
              <w:right w:w="225" w:type="dxa"/>
            </w:tcMar>
            <w:vAlign w:val="center"/>
            <w:hideMark/>
          </w:tcPr>
          <w:p w14:paraId="273602FC" w14:textId="77777777" w:rsidR="00B46F29" w:rsidRPr="00E83E13" w:rsidRDefault="00B46F29" w:rsidP="0042543B">
            <w:pPr>
              <w:spacing w:after="0" w:line="240" w:lineRule="auto"/>
              <w:rPr>
                <w:rFonts w:ascii="Verdana" w:eastAsia="Times New Roman" w:hAnsi="Verdana" w:cs="Times New Roman"/>
                <w:color w:val="1E1F20"/>
                <w:sz w:val="18"/>
                <w:szCs w:val="18"/>
              </w:rPr>
            </w:pPr>
            <w:r w:rsidRPr="00E83E13">
              <w:rPr>
                <w:rFonts w:ascii="Verdana" w:eastAsia="Times New Roman" w:hAnsi="Verdana" w:cs="Times New Roman"/>
                <w:color w:val="1E1F20"/>
                <w:sz w:val="18"/>
                <w:szCs w:val="18"/>
              </w:rPr>
              <w:t>Rev</w:t>
            </w:r>
          </w:p>
        </w:tc>
      </w:tr>
    </w:tbl>
    <w:p w14:paraId="2402216B" w14:textId="77777777" w:rsidR="00B46F29" w:rsidRDefault="00B46F29" w:rsidP="00007604">
      <w:r>
        <w:t xml:space="preserve">Primer sequence: colors correspond to which DNA fragment they are complementary to. Bold part of primers (my formatting):  NEBuilder usually doesn’t make the primers as long as the Primer blast recommended primers. So, I added a few bases back on.  (This isn’t something I thought about until recently, but the shorter “specific” region can lead to nonspecific bands. </w:t>
      </w:r>
    </w:p>
    <w:p w14:paraId="00C8CEA1" w14:textId="77777777" w:rsidR="00007604" w:rsidRDefault="00B46F29" w:rsidP="00007604">
      <w:r>
        <w:rPr>
          <w:noProof/>
        </w:rPr>
        <w:drawing>
          <wp:inline distT="0" distB="0" distL="0" distR="0" wp14:anchorId="0B313438" wp14:editId="79AD0D33">
            <wp:extent cx="1123627" cy="240224"/>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410" t="61521" r="87823" b="35147"/>
                    <a:stretch/>
                  </pic:blipFill>
                  <pic:spPr bwMode="auto">
                    <a:xfrm>
                      <a:off x="0" y="0"/>
                      <a:ext cx="1123964" cy="240296"/>
                    </a:xfrm>
                    <a:prstGeom prst="rect">
                      <a:avLst/>
                    </a:prstGeom>
                    <a:ln>
                      <a:noFill/>
                    </a:ln>
                    <a:extLst>
                      <a:ext uri="{53640926-AAD7-44D8-BBD7-CCE9431645EC}">
                        <a14:shadowObscured xmlns:a14="http://schemas.microsoft.com/office/drawing/2010/main"/>
                      </a:ext>
                    </a:extLst>
                  </pic:spPr>
                </pic:pic>
              </a:graphicData>
            </a:graphic>
          </wp:inline>
        </w:drawing>
      </w:r>
      <w:r>
        <w:sym w:font="Wingdings" w:char="F0DF"/>
      </w:r>
      <w:r>
        <w:t>Copy/paste the vector sequence into a new Benchling file. Add pUFR80 and your gene locus annotations with the “auto annotate” wizard.</w:t>
      </w:r>
    </w:p>
    <w:p w14:paraId="32ABB847" w14:textId="77777777" w:rsidR="00B46F29" w:rsidRDefault="00B46F29" w:rsidP="00B46F29">
      <w:pPr>
        <w:pStyle w:val="Heading1"/>
      </w:pPr>
      <w:r>
        <w:t>Order primers / do PCR</w:t>
      </w:r>
    </w:p>
    <w:p w14:paraId="00C941B5" w14:textId="77777777" w:rsidR="00B46F29" w:rsidRPr="00B46F29" w:rsidRDefault="00B46F29" w:rsidP="00B46F29">
      <w:r>
        <w:t xml:space="preserve">Use a high fidelity polymerase like Kapa HiFi or Q5. </w:t>
      </w:r>
    </w:p>
    <w:p w14:paraId="43EA676D" w14:textId="77777777" w:rsidR="00B46F29" w:rsidRDefault="00B46F29" w:rsidP="00B46F29">
      <w:pPr>
        <w:pStyle w:val="Heading1"/>
      </w:pPr>
      <w:r>
        <w:t xml:space="preserve">Run </w:t>
      </w:r>
      <w:r w:rsidR="001D77DC">
        <w:t>1-</w:t>
      </w:r>
      <w:r>
        <w:t>2 ul of PCR on gel to check for nonspecific bands</w:t>
      </w:r>
    </w:p>
    <w:p w14:paraId="128E984E" w14:textId="77777777" w:rsidR="00B46F29" w:rsidRDefault="00B46F29" w:rsidP="00B46F29">
      <w:r>
        <w:t xml:space="preserve">Decide whether to gel extract (Pros: cutting out band=1 DNA fragment. Cons: terrible yield) or </w:t>
      </w:r>
      <w:commentRangeStart w:id="2"/>
      <w:r>
        <w:t>directl</w:t>
      </w:r>
      <w:r w:rsidR="001D77DC">
        <w:t xml:space="preserve">y clean PCR reaction on column. </w:t>
      </w:r>
      <w:commentRangeEnd w:id="2"/>
      <w:r w:rsidR="00ED5D40">
        <w:rPr>
          <w:rStyle w:val="CommentReference"/>
          <w:sz w:val="22"/>
          <w:szCs w:val="22"/>
        </w:rPr>
        <w:commentReference w:id="2"/>
      </w:r>
    </w:p>
    <w:p w14:paraId="0375AB8D" w14:textId="77777777" w:rsidR="001D77DC" w:rsidRDefault="001D77DC" w:rsidP="001D77DC">
      <w:pPr>
        <w:pStyle w:val="Heading1"/>
      </w:pPr>
      <w:commentRangeStart w:id="3"/>
      <w:r>
        <w:t>Digest pUFR80 with HindIII</w:t>
      </w:r>
      <w:commentRangeEnd w:id="3"/>
      <w:r w:rsidR="00ED5D40">
        <w:rPr>
          <w:rStyle w:val="CommentReference"/>
          <w:sz w:val="28"/>
          <w:szCs w:val="32"/>
        </w:rPr>
        <w:commentReference w:id="3"/>
      </w:r>
    </w:p>
    <w:p w14:paraId="5442F113" w14:textId="77777777" w:rsidR="001D77DC" w:rsidRDefault="001D77DC" w:rsidP="001D77DC">
      <w:r>
        <w:t>Clean with Clean &amp; concentrator kit. (Keep extra in the freezer)</w:t>
      </w:r>
    </w:p>
    <w:p w14:paraId="2727503A" w14:textId="77777777" w:rsidR="001D77DC" w:rsidRDefault="001D77DC" w:rsidP="001D77DC">
      <w:pPr>
        <w:pStyle w:val="Heading1"/>
      </w:pPr>
      <w:commentRangeStart w:id="4"/>
      <w:r>
        <w:lastRenderedPageBreak/>
        <w:t>Nanodrop DNA fragments</w:t>
      </w:r>
      <w:commentRangeEnd w:id="4"/>
      <w:r w:rsidR="00ED5D40">
        <w:rPr>
          <w:rStyle w:val="CommentReference"/>
          <w:sz w:val="28"/>
          <w:szCs w:val="32"/>
        </w:rPr>
        <w:commentReference w:id="4"/>
      </w:r>
    </w:p>
    <w:p w14:paraId="2A3D913F" w14:textId="77777777" w:rsidR="001D77DC" w:rsidRDefault="001D77DC" w:rsidP="001D77DC">
      <w:pPr>
        <w:pStyle w:val="Heading1"/>
      </w:pPr>
      <w:r>
        <w:t>Gibson Assemble</w:t>
      </w:r>
    </w:p>
    <w:p w14:paraId="16F9DF01" w14:textId="77777777" w:rsidR="001D77DC" w:rsidRDefault="001D77DC" w:rsidP="001D77DC">
      <w:r>
        <w:sym w:font="Wingdings" w:char="F0E0"/>
      </w:r>
      <w:commentRangeStart w:id="5"/>
      <w:r>
        <w:t>Calculation spreadsheet is in box</w:t>
      </w:r>
      <w:commentRangeEnd w:id="5"/>
      <w:r w:rsidR="00ED5D40">
        <w:rPr>
          <w:rStyle w:val="CommentReference"/>
          <w:sz w:val="22"/>
          <w:szCs w:val="22"/>
        </w:rPr>
        <w:commentReference w:id="5"/>
      </w:r>
      <w:r>
        <w:t>. (Fancy... allows you to add the appropriate range of picomoles of differently sized DNAs)</w:t>
      </w:r>
    </w:p>
    <w:p w14:paraId="0AECD6EC" w14:textId="77777777" w:rsidR="001D77DC" w:rsidRPr="001D77DC" w:rsidRDefault="001D77DC" w:rsidP="001D77DC">
      <w:r>
        <w:sym w:font="Wingdings" w:char="F0E0"/>
      </w:r>
      <w:r>
        <w:t xml:space="preserve"> Protip: it can be helpful to start reaction without the vector (Gibson Mastermix + Upstream/downstream PCR fragments </w:t>
      </w:r>
      <w:r>
        <w:rPr>
          <w:i/>
        </w:rPr>
        <w:t>only</w:t>
      </w:r>
      <w:r>
        <w:t xml:space="preserve">). After 5 minutes, add the appropriate volume of vector. </w:t>
      </w:r>
    </w:p>
    <w:p w14:paraId="3AFDDFFF" w14:textId="77777777" w:rsidR="001D77DC" w:rsidRDefault="001D77DC" w:rsidP="001D77DC">
      <w:pPr>
        <w:pStyle w:val="Heading1"/>
      </w:pPr>
      <w:r>
        <w:t>Transform E. coli</w:t>
      </w:r>
    </w:p>
    <w:p w14:paraId="3886FF52" w14:textId="77777777" w:rsidR="001D77DC" w:rsidRDefault="001D77DC" w:rsidP="00B46F29">
      <w:pPr>
        <w:rPr>
          <w:rFonts w:cstheme="minorHAnsi"/>
        </w:rPr>
      </w:pPr>
      <w:commentRangeStart w:id="6"/>
      <w:r>
        <w:t xml:space="preserve">Devanshi’s protocol for chemically competent </w:t>
      </w:r>
      <w:r>
        <w:rPr>
          <w:i/>
        </w:rPr>
        <w:t>E. coli</w:t>
      </w:r>
      <w:r>
        <w:t xml:space="preserve"> is on Box. </w:t>
      </w:r>
      <w:commentRangeEnd w:id="6"/>
      <w:r w:rsidR="00ED5D40">
        <w:rPr>
          <w:rStyle w:val="CommentReference"/>
          <w:sz w:val="22"/>
          <w:szCs w:val="22"/>
        </w:rPr>
        <w:commentReference w:id="6"/>
      </w:r>
      <w:r>
        <w:t>DH5</w:t>
      </w:r>
      <w:r>
        <w:rPr>
          <w:rFonts w:cstheme="minorHAnsi"/>
        </w:rPr>
        <w:t xml:space="preserve">α is a common cloning strain of </w:t>
      </w:r>
      <w:r>
        <w:rPr>
          <w:rFonts w:cstheme="minorHAnsi"/>
          <w:i/>
        </w:rPr>
        <w:t>E. coli</w:t>
      </w:r>
      <w:r>
        <w:rPr>
          <w:rFonts w:cstheme="minorHAnsi"/>
        </w:rPr>
        <w:t xml:space="preserve">. </w:t>
      </w:r>
    </w:p>
    <w:p w14:paraId="2DFDC3C8" w14:textId="77777777" w:rsidR="001D77DC" w:rsidRDefault="001D77DC" w:rsidP="001D77DC">
      <w:pPr>
        <w:pStyle w:val="Heading1"/>
      </w:pPr>
      <w:r>
        <w:t>Plate E. coli for blue/white screening</w:t>
      </w:r>
    </w:p>
    <w:p w14:paraId="7B4CA512" w14:textId="77777777" w:rsidR="001D77DC" w:rsidRPr="001D77DC" w:rsidRDefault="001D77DC" w:rsidP="00B46F29">
      <w:r>
        <w:t xml:space="preserve">If you’re inserting into the </w:t>
      </w:r>
      <w:r>
        <w:rPr>
          <w:i/>
        </w:rPr>
        <w:t xml:space="preserve">lacZ </w:t>
      </w:r>
      <w:r>
        <w:t>of a plasmid, you can use blue/white screening if you add IPTG and XGal to your plates. Blue colonies = empty vector, white = something is inserted.</w:t>
      </w:r>
    </w:p>
    <w:p w14:paraId="4665A670" w14:textId="77777777" w:rsidR="00B46F29" w:rsidRDefault="001D77DC" w:rsidP="00B46F29">
      <w:pPr>
        <w:pStyle w:val="Heading1"/>
      </w:pPr>
      <w:r>
        <w:t xml:space="preserve">PCR screening </w:t>
      </w:r>
      <w:r>
        <w:rPr>
          <w:i/>
        </w:rPr>
        <w:t>E. coli</w:t>
      </w:r>
      <w:r>
        <w:t xml:space="preserve"> clones</w:t>
      </w:r>
    </w:p>
    <w:p w14:paraId="44AEFD1D" w14:textId="77777777" w:rsidR="001D77DC" w:rsidRDefault="001D77DC" w:rsidP="001D77DC">
      <w:pPr>
        <w:pStyle w:val="ListParagraph"/>
        <w:numPr>
          <w:ilvl w:val="0"/>
          <w:numId w:val="6"/>
        </w:numPr>
      </w:pPr>
      <w:r>
        <w:t xml:space="preserve">M13F/R primers bind to the </w:t>
      </w:r>
      <w:r w:rsidRPr="001D77DC">
        <w:rPr>
          <w:i/>
        </w:rPr>
        <w:t xml:space="preserve">lacZ </w:t>
      </w:r>
      <w:r>
        <w:t>region around your inserts. You can screen for band sizes</w:t>
      </w:r>
    </w:p>
    <w:p w14:paraId="083126FE" w14:textId="77777777" w:rsidR="001D77DC" w:rsidRDefault="001D77DC" w:rsidP="001D77DC">
      <w:pPr>
        <w:pStyle w:val="ListParagraph"/>
        <w:numPr>
          <w:ilvl w:val="0"/>
          <w:numId w:val="6"/>
        </w:numPr>
      </w:pPr>
      <w:r>
        <w:t xml:space="preserve">Or use your gene specific primers – maybe UpstreamF with Downstream R. </w:t>
      </w:r>
    </w:p>
    <w:p w14:paraId="60B18F80" w14:textId="77777777" w:rsidR="001D77DC" w:rsidRPr="001D77DC" w:rsidRDefault="001D77DC" w:rsidP="001D77DC">
      <w:pPr>
        <w:pStyle w:val="ListParagraph"/>
        <w:numPr>
          <w:ilvl w:val="0"/>
          <w:numId w:val="6"/>
        </w:numPr>
      </w:pPr>
      <w:r>
        <w:rPr>
          <w:b/>
        </w:rPr>
        <w:t>Colony PCR</w:t>
      </w:r>
      <w:r>
        <w:t xml:space="preserve">: Use a toothpick to select a colony. Submerge it in 20 ul water in PCR strip tube. Then use same toothpick to patch to a new LB plate. Boil the colony in the water (10-15 min at &gt;95C). Add 2-3 ul to GoTaq PCR reaction (or other cheap polymerase). </w:t>
      </w:r>
    </w:p>
    <w:p w14:paraId="16DB084E" w14:textId="77777777" w:rsidR="001D77DC" w:rsidRDefault="001D77DC" w:rsidP="001D77DC">
      <w:pPr>
        <w:pStyle w:val="Heading1"/>
      </w:pPr>
      <w:r>
        <w:t xml:space="preserve">Digest screening </w:t>
      </w:r>
      <w:r>
        <w:rPr>
          <w:i/>
        </w:rPr>
        <w:t>E. coli</w:t>
      </w:r>
      <w:r>
        <w:t xml:space="preserve"> clones</w:t>
      </w:r>
    </w:p>
    <w:p w14:paraId="6BDA53E7" w14:textId="77777777" w:rsidR="00B46F29" w:rsidRDefault="001D77DC" w:rsidP="00007604">
      <w:r>
        <w:t>Identify E. coli clones with PCR product of expected size. Start overnights and miniprep (</w:t>
      </w:r>
      <w:r w:rsidR="00A024CF">
        <w:t xml:space="preserve">it’s often </w:t>
      </w:r>
      <w:r>
        <w:t xml:space="preserve">possible to start the </w:t>
      </w:r>
      <w:r w:rsidR="00A024CF">
        <w:t xml:space="preserve">overnight on the </w:t>
      </w:r>
      <w:r>
        <w:t xml:space="preserve">same day as the PCR screen). </w:t>
      </w:r>
      <w:r w:rsidR="00A024CF">
        <w:t xml:space="preserve">Protip: If you don’t have time to miniprep the next day, you can pellet the cells from the overnight culture &amp; freeze them until miniprep. </w:t>
      </w:r>
    </w:p>
    <w:p w14:paraId="31D1AE45" w14:textId="77777777" w:rsidR="00A024CF" w:rsidRDefault="00A024CF" w:rsidP="00007604">
      <w:r>
        <w:t>Design Restriction Digest Screen in Benchling:</w:t>
      </w:r>
    </w:p>
    <w:p w14:paraId="54174F87" w14:textId="77777777" w:rsidR="00A024CF" w:rsidRDefault="00A024CF" w:rsidP="00007604">
      <w:r>
        <w:rPr>
          <w:noProof/>
        </w:rPr>
        <w:drawing>
          <wp:inline distT="0" distB="0" distL="0" distR="0" wp14:anchorId="1B124C57" wp14:editId="746F9D9C">
            <wp:extent cx="419100" cy="428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9100" cy="428625"/>
                    </a:xfrm>
                    <a:prstGeom prst="rect">
                      <a:avLst/>
                    </a:prstGeom>
                  </pic:spPr>
                </pic:pic>
              </a:graphicData>
            </a:graphic>
          </wp:inline>
        </w:drawing>
      </w:r>
      <w:r>
        <w:t>(Thumbnail for restriction digest tools)</w:t>
      </w:r>
    </w:p>
    <w:p w14:paraId="1D52CC4E" w14:textId="77777777" w:rsidR="00A024CF" w:rsidRDefault="00A024CF" w:rsidP="00007604">
      <w:r>
        <w:t>Things I look for</w:t>
      </w:r>
    </w:p>
    <w:p w14:paraId="0C749326" w14:textId="77777777" w:rsidR="00A024CF" w:rsidRPr="00A024CF" w:rsidRDefault="00A024CF" w:rsidP="00A024CF">
      <w:pPr>
        <w:pStyle w:val="ListParagraph"/>
        <w:numPr>
          <w:ilvl w:val="0"/>
          <w:numId w:val="7"/>
        </w:numPr>
      </w:pPr>
      <w:r>
        <w:t>Enzymes that cut the inserts</w:t>
      </w:r>
      <w:r w:rsidRPr="00A024CF">
        <w:rPr>
          <w:sz w:val="18"/>
        </w:rPr>
        <w:t xml:space="preserve"> (Protip: Use the “Show enzymes that cut... in the current selection” option)</w:t>
      </w:r>
    </w:p>
    <w:p w14:paraId="6F3DBEDE" w14:textId="77777777" w:rsidR="00A024CF" w:rsidRPr="00A024CF" w:rsidRDefault="00A024CF" w:rsidP="00A024CF">
      <w:pPr>
        <w:pStyle w:val="ListParagraph"/>
        <w:numPr>
          <w:ilvl w:val="0"/>
          <w:numId w:val="7"/>
        </w:numPr>
        <w:rPr>
          <w:sz w:val="28"/>
        </w:rPr>
      </w:pPr>
      <w:r>
        <w:t xml:space="preserve">Enzymes that cut more than once, but not too many times </w:t>
      </w:r>
      <w:r w:rsidRPr="00A024CF">
        <w:t>(2-4 bands depending on plasmid size)</w:t>
      </w:r>
    </w:p>
    <w:p w14:paraId="2ED02EFB" w14:textId="77777777" w:rsidR="00A024CF" w:rsidRDefault="00A024CF" w:rsidP="00A024CF">
      <w:pPr>
        <w:pStyle w:val="ListParagraph"/>
        <w:numPr>
          <w:ilvl w:val="0"/>
          <w:numId w:val="7"/>
        </w:numPr>
      </w:pPr>
      <w:r>
        <w:t>DNA fragment patterns you can resolve on a gel (ie, avoid enzymes that will yield 2 bands of the near same size)</w:t>
      </w:r>
    </w:p>
    <w:p w14:paraId="03A70F0E" w14:textId="77777777" w:rsidR="00A024CF" w:rsidRDefault="00A024CF" w:rsidP="00A024CF">
      <w:pPr>
        <w:pStyle w:val="ListParagraph"/>
        <w:numPr>
          <w:ilvl w:val="0"/>
          <w:numId w:val="7"/>
        </w:numPr>
      </w:pPr>
      <w:r>
        <w:t xml:space="preserve">Run the virtual digest &amp; benchling will let you know what size bands to look for. </w:t>
      </w:r>
    </w:p>
    <w:p w14:paraId="3AF94495" w14:textId="77777777" w:rsidR="00A024CF" w:rsidRDefault="00A024CF" w:rsidP="00A024CF">
      <w:pPr>
        <w:pStyle w:val="ListParagraph"/>
      </w:pPr>
    </w:p>
    <w:p w14:paraId="07C8E053" w14:textId="77777777" w:rsidR="00A024CF" w:rsidRDefault="00A024CF" w:rsidP="00A024CF">
      <w:pPr>
        <w:ind w:left="-720"/>
      </w:pPr>
      <w:r>
        <w:rPr>
          <w:noProof/>
        </w:rPr>
        <w:lastRenderedPageBreak/>
        <w:drawing>
          <wp:inline distT="0" distB="0" distL="0" distR="0" wp14:anchorId="70748E34" wp14:editId="428053E8">
            <wp:extent cx="3523516" cy="2774197"/>
            <wp:effectExtent l="0" t="0" r="127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28553" cy="2778163"/>
                    </a:xfrm>
                    <a:prstGeom prst="rect">
                      <a:avLst/>
                    </a:prstGeom>
                  </pic:spPr>
                </pic:pic>
              </a:graphicData>
            </a:graphic>
          </wp:inline>
        </w:drawing>
      </w:r>
      <w:r w:rsidRPr="00A024CF">
        <w:rPr>
          <w:noProof/>
        </w:rPr>
        <w:t xml:space="preserve"> </w:t>
      </w:r>
      <w:r>
        <w:rPr>
          <w:noProof/>
        </w:rPr>
        <w:drawing>
          <wp:inline distT="0" distB="0" distL="0" distR="0" wp14:anchorId="6BCFB79B" wp14:editId="1AC3AE65">
            <wp:extent cx="2705100" cy="1352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5100" cy="1352550"/>
                    </a:xfrm>
                    <a:prstGeom prst="rect">
                      <a:avLst/>
                    </a:prstGeom>
                  </pic:spPr>
                </pic:pic>
              </a:graphicData>
            </a:graphic>
          </wp:inline>
        </w:drawing>
      </w:r>
    </w:p>
    <w:p w14:paraId="40527B9C" w14:textId="77777777" w:rsidR="00A024CF" w:rsidRDefault="00A024CF" w:rsidP="00A024CF">
      <w:pPr>
        <w:ind w:left="360"/>
      </w:pPr>
    </w:p>
    <w:p w14:paraId="375CF700" w14:textId="77777777" w:rsidR="00A024CF" w:rsidRPr="00007604" w:rsidRDefault="00A024CF" w:rsidP="00007604"/>
    <w:p w14:paraId="047C80FD" w14:textId="77777777" w:rsidR="00A024CF" w:rsidRDefault="00A024CF" w:rsidP="00A024CF">
      <w:pPr>
        <w:pStyle w:val="Heading1"/>
      </w:pPr>
      <w:r>
        <w:t>Sequence the inserts</w:t>
      </w:r>
    </w:p>
    <w:p w14:paraId="376D100D" w14:textId="77777777" w:rsidR="00007604" w:rsidRPr="00007604" w:rsidRDefault="00A024CF" w:rsidP="00007604">
      <w:r>
        <w:t xml:space="preserve">Only if the PCR screen and Digest screen look good. Select 2-3 plasmids to sequence. You can get 0.8-1 kb sequence from the BioTech center. You won’t see the sequence in the first 20-50 bp after the sequencing primer, so M13F/R primers are great to use if you can.  </w:t>
      </w:r>
    </w:p>
    <w:sectPr w:rsidR="00007604" w:rsidRPr="00007604" w:rsidSect="000F55B3">
      <w:headerReference w:type="default" r:id="rId27"/>
      <w:pgSz w:w="12240" w:h="15840"/>
      <w:pgMar w:top="1440" w:right="630" w:bottom="108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ffany Lowe-Power" w:date="2026-08-17T08:44:00Z" w:initials="TL">
    <w:p w14:paraId="79DEF920" w14:textId="77777777" w:rsidR="00ED5D40" w:rsidRDefault="00ED5D40" w:rsidP="00ED5D40">
      <w:pPr>
        <w:pStyle w:val="CommentText"/>
      </w:pPr>
      <w:r>
        <w:rPr>
          <w:rStyle w:val="CommentReference"/>
        </w:rPr>
        <w:annotationRef/>
      </w:r>
      <w:r>
        <w:t xml:space="preserve">In my postdoc, I realized a better way to choose what to cut. Be CAREFUL to not have any Gibson overhangs that are GC-rich palindromes. Choose your REs based in part on what is nearby. Ask Tiffany if you don’t understand this.  </w:t>
      </w:r>
    </w:p>
  </w:comment>
  <w:comment w:id="2" w:author="Tiffany Lowe-Power" w:date="2026-08-17T08:46:00Z" w:initials="TL">
    <w:p w14:paraId="6F540664" w14:textId="77777777" w:rsidR="00ED5D40" w:rsidRDefault="00ED5D40" w:rsidP="00ED5D40">
      <w:pPr>
        <w:pStyle w:val="CommentText"/>
      </w:pPr>
      <w:r>
        <w:rPr>
          <w:rStyle w:val="CommentReference"/>
        </w:rPr>
        <w:annotationRef/>
      </w:r>
      <w:r>
        <w:t xml:space="preserve">Later I learned that you can directly use PCR products in an assembly reaction. This means of course that you cannot control for molar equivalents of inserts vs. backbone. But the reactions worked usually. So only purify if you are having issues, I suppose. </w:t>
      </w:r>
    </w:p>
  </w:comment>
  <w:comment w:id="3" w:author="Tiffany Lowe-Power" w:date="2026-08-17T08:48:00Z" w:initials="TL">
    <w:p w14:paraId="572F3B9A" w14:textId="77777777" w:rsidR="00ED5D40" w:rsidRDefault="00ED5D40" w:rsidP="00ED5D40">
      <w:pPr>
        <w:pStyle w:val="CommentText"/>
      </w:pPr>
      <w:r>
        <w:rPr>
          <w:rStyle w:val="CommentReference"/>
        </w:rPr>
        <w:annotationRef/>
      </w:r>
      <w:r>
        <w:t xml:space="preserve">Make sure you have a complete digest. I usually aimed for a 4 hour digest. When you transform E. coli with the Gibson assembly, also transform a “digested vector only” with the same amount of vector in E. coli as would be in the 1:4 diluted Gibson reaction. This is a “no insert” control that will let you know if you had a lot of non-digested circular plasmid remaining. </w:t>
      </w:r>
    </w:p>
  </w:comment>
  <w:comment w:id="4" w:author="Tiffany Lowe-Power" w:date="2026-08-17T08:48:00Z" w:initials="TL">
    <w:p w14:paraId="7A98D8DB" w14:textId="77777777" w:rsidR="00ED5D40" w:rsidRDefault="00ED5D40" w:rsidP="00ED5D40">
      <w:pPr>
        <w:pStyle w:val="CommentText"/>
      </w:pPr>
      <w:r>
        <w:rPr>
          <w:rStyle w:val="CommentReference"/>
        </w:rPr>
        <w:annotationRef/>
      </w:r>
      <w:r>
        <w:t>Only if you purified them. Cannot nanodrop a PCR product directly</w:t>
      </w:r>
    </w:p>
  </w:comment>
  <w:comment w:id="5" w:author="Tiffany Lowe-Power" w:date="2026-08-17T08:48:00Z" w:initials="TL">
    <w:p w14:paraId="2A0024AB" w14:textId="77777777" w:rsidR="00ED5D40" w:rsidRDefault="00ED5D40" w:rsidP="00ED5D40">
      <w:pPr>
        <w:pStyle w:val="CommentText"/>
      </w:pPr>
      <w:r>
        <w:rPr>
          <w:rStyle w:val="CommentReference"/>
        </w:rPr>
        <w:annotationRef/>
      </w:r>
      <w:r>
        <w:t>On GitHub now. See the “Workbooks” folder</w:t>
      </w:r>
    </w:p>
  </w:comment>
  <w:comment w:id="6" w:author="Tiffany Lowe-Power" w:date="2026-08-17T08:49:00Z" w:initials="TL">
    <w:p w14:paraId="23D3615E" w14:textId="77777777" w:rsidR="00ED5D40" w:rsidRDefault="00ED5D40" w:rsidP="00ED5D40">
      <w:pPr>
        <w:pStyle w:val="CommentText"/>
      </w:pPr>
      <w:r>
        <w:rPr>
          <w:rStyle w:val="CommentReference"/>
        </w:rPr>
        <w:annotationRef/>
      </w:r>
      <w:r>
        <w:t xml:space="preserve">Use the Zymo Mix &amp; Go kit instead. It’s excellent. Make sure to read the protocol carefully, including a skim of the papers the protocol references.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EF920" w15:done="0"/>
  <w15:commentEx w15:paraId="6F540664" w15:done="0"/>
  <w15:commentEx w15:paraId="572F3B9A" w15:done="0"/>
  <w15:commentEx w15:paraId="7A98D8DB" w15:done="0"/>
  <w15:commentEx w15:paraId="2A0024AB" w15:done="0"/>
  <w15:commentEx w15:paraId="23D361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FCBE98" w16cex:dateUtc="2026-08-17T15:44:00Z"/>
  <w16cex:commentExtensible w16cex:durableId="662458E0" w16cex:dateUtc="2026-08-17T15:46:00Z"/>
  <w16cex:commentExtensible w16cex:durableId="15E7B823" w16cex:dateUtc="2026-08-17T15:48:00Z"/>
  <w16cex:commentExtensible w16cex:durableId="5A0B88B3" w16cex:dateUtc="2026-08-17T15:48:00Z"/>
  <w16cex:commentExtensible w16cex:durableId="28263A03" w16cex:dateUtc="2026-08-17T15:48:00Z"/>
  <w16cex:commentExtensible w16cex:durableId="5B0C7EDD" w16cex:dateUtc="2026-08-17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EF920" w16cid:durableId="4EFCBE98"/>
  <w16cid:commentId w16cid:paraId="6F540664" w16cid:durableId="662458E0"/>
  <w16cid:commentId w16cid:paraId="572F3B9A" w16cid:durableId="15E7B823"/>
  <w16cid:commentId w16cid:paraId="7A98D8DB" w16cid:durableId="5A0B88B3"/>
  <w16cid:commentId w16cid:paraId="2A0024AB" w16cid:durableId="28263A03"/>
  <w16cid:commentId w16cid:paraId="23D3615E" w16cid:durableId="5B0C7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0447" w14:textId="77777777" w:rsidR="00317183" w:rsidRDefault="00317183" w:rsidP="00007604">
      <w:pPr>
        <w:spacing w:after="0" w:line="240" w:lineRule="auto"/>
      </w:pPr>
      <w:r>
        <w:separator/>
      </w:r>
    </w:p>
  </w:endnote>
  <w:endnote w:type="continuationSeparator" w:id="0">
    <w:p w14:paraId="3A215F0F" w14:textId="77777777" w:rsidR="00317183" w:rsidRDefault="00317183" w:rsidP="00007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CF88E" w14:textId="77777777" w:rsidR="00317183" w:rsidRDefault="00317183" w:rsidP="00007604">
      <w:pPr>
        <w:spacing w:after="0" w:line="240" w:lineRule="auto"/>
      </w:pPr>
      <w:r>
        <w:separator/>
      </w:r>
    </w:p>
  </w:footnote>
  <w:footnote w:type="continuationSeparator" w:id="0">
    <w:p w14:paraId="7A6E2CF7" w14:textId="77777777" w:rsidR="00317183" w:rsidRDefault="00317183" w:rsidP="00007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930315"/>
      <w:docPartObj>
        <w:docPartGallery w:val="Page Numbers (Top of Page)"/>
        <w:docPartUnique/>
      </w:docPartObj>
    </w:sdtPr>
    <w:sdtEndPr>
      <w:rPr>
        <w:noProof/>
      </w:rPr>
    </w:sdtEndPr>
    <w:sdtContent>
      <w:p w14:paraId="6EA0591D" w14:textId="77777777" w:rsidR="00571529" w:rsidRDefault="00571529">
        <w:pPr>
          <w:pStyle w:val="Header"/>
          <w:jc w:val="right"/>
        </w:pPr>
        <w:r>
          <w:fldChar w:fldCharType="begin"/>
        </w:r>
        <w:r>
          <w:instrText xml:space="preserve"> PAGE   \* MERGEFORMAT </w:instrText>
        </w:r>
        <w:r>
          <w:fldChar w:fldCharType="separate"/>
        </w:r>
        <w:r>
          <w:rPr>
            <w:noProof/>
          </w:rPr>
          <w:t>7</w:t>
        </w:r>
        <w:r>
          <w:rPr>
            <w:noProof/>
          </w:rPr>
          <w:fldChar w:fldCharType="end"/>
        </w:r>
      </w:p>
    </w:sdtContent>
  </w:sdt>
  <w:p w14:paraId="188797F9" w14:textId="77777777" w:rsidR="00571529" w:rsidRDefault="00571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E594A"/>
    <w:multiLevelType w:val="hybridMultilevel"/>
    <w:tmpl w:val="4E64B1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D6448"/>
    <w:multiLevelType w:val="hybridMultilevel"/>
    <w:tmpl w:val="EC38D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363AF2"/>
    <w:multiLevelType w:val="hybridMultilevel"/>
    <w:tmpl w:val="487AC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85DA2"/>
    <w:multiLevelType w:val="hybridMultilevel"/>
    <w:tmpl w:val="4E64B1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8A7E44"/>
    <w:multiLevelType w:val="hybridMultilevel"/>
    <w:tmpl w:val="88AA7684"/>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5" w15:restartNumberingAfterBreak="0">
    <w:nsid w:val="69A945FA"/>
    <w:multiLevelType w:val="hybridMultilevel"/>
    <w:tmpl w:val="80D4E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915A8E"/>
    <w:multiLevelType w:val="hybridMultilevel"/>
    <w:tmpl w:val="221C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4163538">
    <w:abstractNumId w:val="4"/>
  </w:num>
  <w:num w:numId="2" w16cid:durableId="291402591">
    <w:abstractNumId w:val="2"/>
  </w:num>
  <w:num w:numId="3" w16cid:durableId="879971306">
    <w:abstractNumId w:val="0"/>
  </w:num>
  <w:num w:numId="4" w16cid:durableId="1307392735">
    <w:abstractNumId w:val="3"/>
  </w:num>
  <w:num w:numId="5" w16cid:durableId="413940498">
    <w:abstractNumId w:val="6"/>
  </w:num>
  <w:num w:numId="6" w16cid:durableId="827130299">
    <w:abstractNumId w:val="5"/>
  </w:num>
  <w:num w:numId="7" w16cid:durableId="16327135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ffany Lowe-Power">
    <w15:presenceInfo w15:providerId="None" w15:userId="Tiffany Lowe-Po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3C0"/>
    <w:rsid w:val="00007604"/>
    <w:rsid w:val="000F55B3"/>
    <w:rsid w:val="001D77DC"/>
    <w:rsid w:val="002434F6"/>
    <w:rsid w:val="00317183"/>
    <w:rsid w:val="00366ECE"/>
    <w:rsid w:val="003C4F9F"/>
    <w:rsid w:val="00571529"/>
    <w:rsid w:val="006A0AE3"/>
    <w:rsid w:val="00845AA5"/>
    <w:rsid w:val="008E7595"/>
    <w:rsid w:val="009A02FA"/>
    <w:rsid w:val="009B4560"/>
    <w:rsid w:val="009E03C0"/>
    <w:rsid w:val="00A024CF"/>
    <w:rsid w:val="00A54D27"/>
    <w:rsid w:val="00A72CC0"/>
    <w:rsid w:val="00AE7949"/>
    <w:rsid w:val="00B46F29"/>
    <w:rsid w:val="00C552B2"/>
    <w:rsid w:val="00C719C7"/>
    <w:rsid w:val="00C85697"/>
    <w:rsid w:val="00DC2EE5"/>
    <w:rsid w:val="00ED5D40"/>
    <w:rsid w:val="00F32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7100"/>
  <w15:chartTrackingRefBased/>
  <w15:docId w15:val="{230F00CC-60D6-486D-9345-DBC8D846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595"/>
    <w:pPr>
      <w:keepNext/>
      <w:keepLines/>
      <w:spacing w:before="240" w:after="0"/>
      <w:outlineLvl w:val="0"/>
    </w:pPr>
    <w:rPr>
      <w:rFonts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DC2EE5"/>
    <w:pPr>
      <w:keepNext/>
      <w:keepLines/>
      <w:spacing w:before="40" w:after="0"/>
      <w:outlineLvl w:val="1"/>
    </w:pPr>
    <w:rPr>
      <w:rFonts w:asciiTheme="majorHAnsi" w:eastAsiaTheme="majorEastAsia" w:hAnsiTheme="majorHAnsi" w:cstheme="majorBidi"/>
      <w:b/>
      <w:color w:val="1F3864" w:themeColor="accent1" w:themeShade="80"/>
      <w:sz w:val="24"/>
      <w:szCs w:val="26"/>
    </w:rPr>
  </w:style>
  <w:style w:type="paragraph" w:styleId="Heading3">
    <w:name w:val="heading 3"/>
    <w:basedOn w:val="Normal"/>
    <w:next w:val="Normal"/>
    <w:link w:val="Heading3Char"/>
    <w:uiPriority w:val="9"/>
    <w:unhideWhenUsed/>
    <w:qFormat/>
    <w:rsid w:val="00DC2EE5"/>
    <w:pPr>
      <w:keepNext/>
      <w:keepLines/>
      <w:spacing w:before="40" w:after="0"/>
      <w:outlineLvl w:val="2"/>
    </w:pPr>
    <w:rPr>
      <w:rFonts w:asciiTheme="majorHAnsi" w:eastAsiaTheme="majorEastAsia" w:hAnsiTheme="majorHAnsi" w:cstheme="majorBidi"/>
      <w:color w:val="4472C4"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595"/>
    <w:rPr>
      <w:rFonts w:eastAsiaTheme="majorEastAsia" w:cstheme="majorBidi"/>
      <w:b/>
      <w:color w:val="2F5496" w:themeColor="accent1" w:themeShade="BF"/>
      <w:sz w:val="28"/>
      <w:szCs w:val="32"/>
    </w:rPr>
  </w:style>
  <w:style w:type="character" w:customStyle="1" w:styleId="Heading2Char">
    <w:name w:val="Heading 2 Char"/>
    <w:basedOn w:val="DefaultParagraphFont"/>
    <w:link w:val="Heading2"/>
    <w:uiPriority w:val="9"/>
    <w:rsid w:val="00DC2EE5"/>
    <w:rPr>
      <w:rFonts w:asciiTheme="majorHAnsi" w:eastAsiaTheme="majorEastAsia" w:hAnsiTheme="majorHAnsi" w:cstheme="majorBidi"/>
      <w:b/>
      <w:color w:val="1F3864" w:themeColor="accent1" w:themeShade="80"/>
      <w:sz w:val="24"/>
      <w:szCs w:val="26"/>
    </w:rPr>
  </w:style>
  <w:style w:type="character" w:customStyle="1" w:styleId="Heading3Char">
    <w:name w:val="Heading 3 Char"/>
    <w:basedOn w:val="DefaultParagraphFont"/>
    <w:link w:val="Heading3"/>
    <w:uiPriority w:val="9"/>
    <w:rsid w:val="00DC2EE5"/>
    <w:rPr>
      <w:rFonts w:asciiTheme="majorHAnsi" w:eastAsiaTheme="majorEastAsia" w:hAnsiTheme="majorHAnsi" w:cstheme="majorBidi"/>
      <w:color w:val="4472C4" w:themeColor="accent1"/>
      <w:sz w:val="24"/>
      <w:szCs w:val="24"/>
    </w:rPr>
  </w:style>
  <w:style w:type="paragraph" w:styleId="ListParagraph">
    <w:name w:val="List Paragraph"/>
    <w:basedOn w:val="Normal"/>
    <w:uiPriority w:val="34"/>
    <w:qFormat/>
    <w:rsid w:val="009E03C0"/>
    <w:pPr>
      <w:ind w:left="720"/>
      <w:contextualSpacing/>
    </w:pPr>
  </w:style>
  <w:style w:type="paragraph" w:styleId="Header">
    <w:name w:val="header"/>
    <w:basedOn w:val="Normal"/>
    <w:link w:val="HeaderChar"/>
    <w:uiPriority w:val="99"/>
    <w:unhideWhenUsed/>
    <w:rsid w:val="00007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604"/>
  </w:style>
  <w:style w:type="paragraph" w:styleId="Footer">
    <w:name w:val="footer"/>
    <w:basedOn w:val="Normal"/>
    <w:link w:val="FooterChar"/>
    <w:uiPriority w:val="99"/>
    <w:unhideWhenUsed/>
    <w:rsid w:val="00007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604"/>
  </w:style>
  <w:style w:type="paragraph" w:styleId="HTMLPreformatted">
    <w:name w:val="HTML Preformatted"/>
    <w:basedOn w:val="Normal"/>
    <w:link w:val="HTMLPreformattedChar"/>
    <w:uiPriority w:val="99"/>
    <w:semiHidden/>
    <w:unhideWhenUsed/>
    <w:rsid w:val="0036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6ECE"/>
    <w:rPr>
      <w:rFonts w:ascii="Courier New" w:eastAsia="Times New Roman" w:hAnsi="Courier New" w:cs="Courier New"/>
      <w:sz w:val="20"/>
      <w:szCs w:val="20"/>
    </w:rPr>
  </w:style>
  <w:style w:type="character" w:styleId="Hyperlink">
    <w:name w:val="Hyperlink"/>
    <w:basedOn w:val="DefaultParagraphFont"/>
    <w:uiPriority w:val="99"/>
    <w:unhideWhenUsed/>
    <w:rsid w:val="002434F6"/>
    <w:rPr>
      <w:color w:val="0563C1" w:themeColor="hyperlink"/>
      <w:u w:val="single"/>
    </w:rPr>
  </w:style>
  <w:style w:type="character" w:styleId="Mention">
    <w:name w:val="Mention"/>
    <w:basedOn w:val="DefaultParagraphFont"/>
    <w:uiPriority w:val="99"/>
    <w:semiHidden/>
    <w:unhideWhenUsed/>
    <w:rsid w:val="002434F6"/>
    <w:rPr>
      <w:color w:val="2B579A"/>
      <w:shd w:val="clear" w:color="auto" w:fill="E6E6E6"/>
    </w:rPr>
  </w:style>
  <w:style w:type="character" w:styleId="CommentReference">
    <w:name w:val="annotation reference"/>
    <w:basedOn w:val="DefaultParagraphFont"/>
    <w:uiPriority w:val="99"/>
    <w:semiHidden/>
    <w:unhideWhenUsed/>
    <w:rsid w:val="00ED5D40"/>
    <w:rPr>
      <w:sz w:val="16"/>
      <w:szCs w:val="16"/>
    </w:rPr>
  </w:style>
  <w:style w:type="paragraph" w:styleId="CommentText">
    <w:name w:val="annotation text"/>
    <w:basedOn w:val="Normal"/>
    <w:link w:val="CommentTextChar"/>
    <w:uiPriority w:val="99"/>
    <w:unhideWhenUsed/>
    <w:rsid w:val="00ED5D40"/>
    <w:pPr>
      <w:spacing w:line="240" w:lineRule="auto"/>
    </w:pPr>
    <w:rPr>
      <w:sz w:val="20"/>
      <w:szCs w:val="20"/>
    </w:rPr>
  </w:style>
  <w:style w:type="character" w:customStyle="1" w:styleId="CommentTextChar">
    <w:name w:val="Comment Text Char"/>
    <w:basedOn w:val="DefaultParagraphFont"/>
    <w:link w:val="CommentText"/>
    <w:uiPriority w:val="99"/>
    <w:rsid w:val="00ED5D40"/>
    <w:rPr>
      <w:sz w:val="20"/>
      <w:szCs w:val="20"/>
    </w:rPr>
  </w:style>
  <w:style w:type="paragraph" w:styleId="CommentSubject">
    <w:name w:val="annotation subject"/>
    <w:basedOn w:val="CommentText"/>
    <w:next w:val="CommentText"/>
    <w:link w:val="CommentSubjectChar"/>
    <w:uiPriority w:val="99"/>
    <w:semiHidden/>
    <w:unhideWhenUsed/>
    <w:rsid w:val="00ED5D40"/>
    <w:rPr>
      <w:b/>
      <w:bCs/>
    </w:rPr>
  </w:style>
  <w:style w:type="character" w:customStyle="1" w:styleId="CommentSubjectChar">
    <w:name w:val="Comment Subject Char"/>
    <w:basedOn w:val="CommentTextChar"/>
    <w:link w:val="CommentSubject"/>
    <w:uiPriority w:val="99"/>
    <w:semiHidden/>
    <w:rsid w:val="00ED5D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10245">
      <w:bodyDiv w:val="1"/>
      <w:marLeft w:val="0"/>
      <w:marRight w:val="0"/>
      <w:marTop w:val="0"/>
      <w:marBottom w:val="0"/>
      <w:divBdr>
        <w:top w:val="none" w:sz="0" w:space="0" w:color="auto"/>
        <w:left w:val="none" w:sz="0" w:space="0" w:color="auto"/>
        <w:bottom w:val="none" w:sz="0" w:space="0" w:color="auto"/>
        <w:right w:val="none" w:sz="0" w:space="0" w:color="auto"/>
      </w:divBdr>
    </w:div>
    <w:div w:id="120903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ettings" Target="settings.xml"/><Relationship Id="rId21" Type="http://schemas.microsoft.com/office/2016/09/relationships/commentsIds" Target="commentsIds.xml"/><Relationship Id="rId7" Type="http://schemas.openxmlformats.org/officeDocument/2006/relationships/image" Target="media/image1.tiff"/><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9.png"/><Relationship Id="rId20" Type="http://schemas.microsoft.com/office/2011/relationships/commentsExtended" Target="commentsExtended.xm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ncbi.nlm.nih.gov/tools/primer-blast/" TargetMode="External"/><Relationship Id="rId22" Type="http://schemas.microsoft.com/office/2018/08/relationships/commentsExtensible" Target="commentsExtensible.xm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1287</Words>
  <Characters>7986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tiff.lowe@gmail.com</dc:creator>
  <cp:keywords/>
  <dc:description/>
  <cp:lastModifiedBy>Tiffany Lowe-Power</cp:lastModifiedBy>
  <cp:revision>4</cp:revision>
  <dcterms:created xsi:type="dcterms:W3CDTF">2017-05-23T20:14:00Z</dcterms:created>
  <dcterms:modified xsi:type="dcterms:W3CDTF">2026-08-17T15:50:00Z</dcterms:modified>
</cp:coreProperties>
</file>