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59264" behindDoc="0" locked="0" layoutInCell="1" allowOverlap="1">
            <wp:simplePos x="0" y="0"/>
            <wp:positionH relativeFrom="column">
              <wp:posOffset>1426845</wp:posOffset>
            </wp:positionH>
            <wp:positionV relativeFrom="paragraph">
              <wp:posOffset>50165</wp:posOffset>
            </wp:positionV>
            <wp:extent cx="2933700" cy="488950"/>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33700" cy="488950"/>
                    </a:xfrm>
                    <a:prstGeom prst="rect">
                      <a:avLst/>
                    </a:prstGeom>
                    <a:noFill/>
                  </pic:spPr>
                </pic:pic>
              </a:graphicData>
            </a:graphic>
          </wp:anchor>
        </w:drawing>
      </w:r>
    </w:p>
    <w:p/>
    <w:p/>
    <w:p/>
    <w:p>
      <w:pPr>
        <w:jc w:val="center"/>
        <w:rPr>
          <w:rFonts w:ascii="宋体" w:hAnsi="宋体" w:eastAsia="宋体" w:cs="宋体"/>
          <w:w w:val="90"/>
          <w:sz w:val="52"/>
        </w:rPr>
      </w:pPr>
      <w:r>
        <w:rPr>
          <w:rFonts w:hint="eastAsia" w:ascii="宋体" w:hAnsi="宋体" w:eastAsia="宋体" w:cs="宋体"/>
          <w:w w:val="90"/>
          <w:sz w:val="52"/>
        </w:rPr>
        <w:t>本科生毕业论文(设计)</w:t>
      </w:r>
    </w:p>
    <w:p>
      <w:pPr>
        <w:rPr>
          <w:rFonts w:ascii="宋体" w:hAnsi="宋体" w:eastAsia="宋体" w:cs="宋体"/>
          <w:w w:val="90"/>
          <w:sz w:val="52"/>
        </w:rPr>
      </w:pPr>
    </w:p>
    <w:p>
      <w:pPr>
        <w:jc w:val="center"/>
        <w:rPr>
          <w:rFonts w:ascii="宋体" w:hAnsi="宋体" w:eastAsia="宋体" w:cs="宋体"/>
          <w:sz w:val="84"/>
        </w:rPr>
      </w:pPr>
      <w:r>
        <w:rPr>
          <w:rFonts w:hint="eastAsia" w:ascii="宋体" w:hAnsi="宋体" w:eastAsia="宋体" w:cs="宋体"/>
          <w:sz w:val="84"/>
        </w:rPr>
        <w:t>开题报告</w:t>
      </w:r>
    </w:p>
    <w:p>
      <w:pPr>
        <w:jc w:val="center"/>
        <w:rPr>
          <w:rFonts w:ascii="宋体" w:hAnsi="宋体" w:eastAsia="宋体" w:cs="宋体"/>
          <w:sz w:val="84"/>
        </w:rPr>
      </w:pPr>
    </w:p>
    <w:p>
      <w:pPr>
        <w:jc w:val="center"/>
        <w:rPr>
          <w:rFonts w:ascii="宋体" w:hAnsi="宋体" w:eastAsia="宋体" w:cs="宋体"/>
          <w:sz w:val="84"/>
        </w:rPr>
      </w:pPr>
    </w:p>
    <w:p/>
    <w:p/>
    <w:p>
      <w:pPr>
        <w:spacing w:line="760" w:lineRule="exact"/>
        <w:rPr>
          <w:rFonts w:ascii="宋体" w:hAnsi="宋体" w:eastAsia="宋体" w:cs="宋体"/>
          <w:bCs/>
          <w:sz w:val="32"/>
          <w:u w:val="single"/>
        </w:rPr>
      </w:pPr>
      <w:r>
        <w:rPr>
          <w:rFonts w:hint="eastAsia" w:ascii="宋体" w:hAnsi="宋体" w:eastAsia="宋体" w:cs="宋体"/>
          <w:sz w:val="36"/>
        </w:rPr>
        <w:t xml:space="preserve">  题    目：</w:t>
      </w:r>
      <w:r>
        <w:rPr>
          <w:rFonts w:hint="eastAsia" w:eastAsia="宋体"/>
          <w:sz w:val="36"/>
          <w:u w:val="single"/>
        </w:rPr>
        <w:t xml:space="preserve">基于NB-IoT的智能水表终端系统研究与设计 </w:t>
      </w:r>
    </w:p>
    <w:p>
      <w:pPr>
        <w:adjustRightInd w:val="0"/>
        <w:snapToGrid w:val="0"/>
        <w:spacing w:line="760" w:lineRule="exact"/>
        <w:rPr>
          <w:rFonts w:eastAsia="宋体"/>
          <w:sz w:val="36"/>
          <w:u w:val="single"/>
        </w:rPr>
      </w:pPr>
      <w:r>
        <w:rPr>
          <w:rFonts w:hint="eastAsia" w:eastAsia="宋体"/>
          <w:sz w:val="36"/>
        </w:rPr>
        <w:t xml:space="preserve">  </w:t>
      </w:r>
      <w:r>
        <w:rPr>
          <w:rFonts w:eastAsia="宋体"/>
          <w:sz w:val="36"/>
        </w:rPr>
        <w:t>学生姓名：</w:t>
      </w:r>
      <w:r>
        <w:rPr>
          <w:rFonts w:eastAsia="宋体"/>
          <w:sz w:val="36"/>
          <w:u w:val="single"/>
        </w:rPr>
        <w:t xml:space="preserve">        </w:t>
      </w:r>
      <w:r>
        <w:rPr>
          <w:rFonts w:hint="eastAsia" w:eastAsia="宋体"/>
          <w:sz w:val="36"/>
          <w:u w:val="single"/>
        </w:rPr>
        <w:t xml:space="preserve">     张 </w:t>
      </w:r>
      <w:r>
        <w:rPr>
          <w:rFonts w:eastAsia="宋体"/>
          <w:sz w:val="36"/>
          <w:u w:val="single"/>
        </w:rPr>
        <w:t xml:space="preserve"> </w:t>
      </w:r>
      <w:r>
        <w:rPr>
          <w:rFonts w:hint="eastAsia" w:eastAsia="宋体"/>
          <w:sz w:val="36"/>
          <w:u w:val="single"/>
        </w:rPr>
        <w:t>斌</w:t>
      </w:r>
      <w:r>
        <w:rPr>
          <w:rFonts w:eastAsia="宋体"/>
          <w:sz w:val="36"/>
          <w:u w:val="single"/>
        </w:rPr>
        <w:t xml:space="preserve">  </w:t>
      </w:r>
      <w:r>
        <w:rPr>
          <w:rFonts w:hint="eastAsia" w:eastAsia="宋体"/>
          <w:sz w:val="36"/>
          <w:u w:val="single"/>
        </w:rPr>
        <w:t xml:space="preserve">    </w:t>
      </w:r>
      <w:r>
        <w:rPr>
          <w:rFonts w:eastAsia="宋体"/>
          <w:sz w:val="36"/>
          <w:u w:val="single"/>
        </w:rPr>
        <w:t xml:space="preserve">  </w:t>
      </w:r>
      <w:r>
        <w:rPr>
          <w:rFonts w:hint="eastAsia" w:eastAsia="宋体"/>
          <w:sz w:val="36"/>
          <w:u w:val="single"/>
        </w:rPr>
        <w:t xml:space="preserve">  </w:t>
      </w:r>
      <w:r>
        <w:rPr>
          <w:rFonts w:eastAsia="宋体"/>
          <w:sz w:val="36"/>
          <w:u w:val="single"/>
        </w:rPr>
        <w:t xml:space="preserve"> </w:t>
      </w:r>
      <w:r>
        <w:rPr>
          <w:rFonts w:hint="eastAsia" w:eastAsia="宋体"/>
          <w:sz w:val="36"/>
          <w:u w:val="single"/>
        </w:rPr>
        <w:t xml:space="preserve">      </w:t>
      </w:r>
    </w:p>
    <w:p>
      <w:pPr>
        <w:adjustRightInd w:val="0"/>
        <w:snapToGrid w:val="0"/>
        <w:spacing w:line="760" w:lineRule="exact"/>
        <w:rPr>
          <w:rFonts w:eastAsia="宋体"/>
          <w:sz w:val="36"/>
          <w:u w:val="single"/>
        </w:rPr>
      </w:pPr>
      <w:r>
        <w:rPr>
          <w:rFonts w:hint="eastAsia" w:eastAsia="宋体"/>
          <w:sz w:val="36"/>
        </w:rPr>
        <w:t xml:space="preserve">  </w:t>
      </w:r>
      <w:r>
        <w:rPr>
          <w:rFonts w:eastAsia="宋体"/>
          <w:sz w:val="36"/>
        </w:rPr>
        <w:t>学    号：</w:t>
      </w:r>
      <w:r>
        <w:rPr>
          <w:rFonts w:eastAsia="宋体"/>
          <w:sz w:val="36"/>
          <w:u w:val="single"/>
        </w:rPr>
        <w:t xml:space="preserve">     </w:t>
      </w:r>
      <w:r>
        <w:rPr>
          <w:rFonts w:hint="eastAsia" w:eastAsia="宋体"/>
          <w:sz w:val="36"/>
          <w:u w:val="single"/>
        </w:rPr>
        <w:t xml:space="preserve">    </w:t>
      </w:r>
      <w:r>
        <w:rPr>
          <w:rFonts w:eastAsia="宋体"/>
          <w:sz w:val="36"/>
          <w:u w:val="single"/>
        </w:rPr>
        <w:t xml:space="preserve"> 201516030233 </w:t>
      </w:r>
      <w:r>
        <w:rPr>
          <w:rFonts w:hint="eastAsia" w:eastAsia="宋体"/>
          <w:sz w:val="36"/>
          <w:u w:val="single"/>
        </w:rPr>
        <w:t xml:space="preserve">  </w:t>
      </w:r>
      <w:r>
        <w:rPr>
          <w:rFonts w:eastAsia="宋体"/>
          <w:sz w:val="36"/>
          <w:u w:val="single"/>
        </w:rPr>
        <w:t xml:space="preserve">    </w:t>
      </w:r>
      <w:r>
        <w:rPr>
          <w:rFonts w:hint="eastAsia" w:eastAsia="宋体"/>
          <w:sz w:val="36"/>
          <w:u w:val="single"/>
        </w:rPr>
        <w:t xml:space="preserve">       </w:t>
      </w:r>
    </w:p>
    <w:p>
      <w:pPr>
        <w:adjustRightInd w:val="0"/>
        <w:snapToGrid w:val="0"/>
        <w:spacing w:line="760" w:lineRule="exact"/>
        <w:rPr>
          <w:rFonts w:eastAsia="宋体"/>
          <w:sz w:val="36"/>
          <w:u w:val="single"/>
        </w:rPr>
      </w:pPr>
      <w:r>
        <w:rPr>
          <w:rFonts w:hint="eastAsia" w:eastAsia="宋体"/>
          <w:sz w:val="36"/>
        </w:rPr>
        <w:t xml:space="preserve">  </w:t>
      </w:r>
      <w:r>
        <w:rPr>
          <w:rFonts w:eastAsia="宋体"/>
          <w:sz w:val="36"/>
        </w:rPr>
        <w:t>专业班级：</w:t>
      </w:r>
      <w:r>
        <w:rPr>
          <w:rFonts w:eastAsia="宋体"/>
          <w:sz w:val="36"/>
          <w:u w:val="single"/>
        </w:rPr>
        <w:t xml:space="preserve">    </w:t>
      </w:r>
      <w:r>
        <w:rPr>
          <w:rFonts w:hint="eastAsia" w:eastAsia="宋体"/>
          <w:sz w:val="36"/>
          <w:u w:val="single"/>
        </w:rPr>
        <w:t xml:space="preserve">      建智15102班</w:t>
      </w:r>
      <w:r>
        <w:rPr>
          <w:rFonts w:eastAsia="宋体"/>
          <w:sz w:val="36"/>
          <w:u w:val="single"/>
        </w:rPr>
        <w:t xml:space="preserve"> </w:t>
      </w:r>
      <w:r>
        <w:rPr>
          <w:rFonts w:hint="eastAsia" w:eastAsia="宋体"/>
          <w:sz w:val="36"/>
          <w:u w:val="single"/>
        </w:rPr>
        <w:t xml:space="preserve">  </w:t>
      </w:r>
      <w:r>
        <w:rPr>
          <w:rFonts w:eastAsia="宋体"/>
          <w:sz w:val="36"/>
          <w:u w:val="single"/>
        </w:rPr>
        <w:t xml:space="preserve">   </w:t>
      </w:r>
      <w:r>
        <w:rPr>
          <w:rFonts w:hint="eastAsia" w:eastAsia="宋体"/>
          <w:sz w:val="36"/>
          <w:u w:val="single"/>
        </w:rPr>
        <w:t xml:space="preserve">        </w:t>
      </w:r>
    </w:p>
    <w:p>
      <w:pPr>
        <w:adjustRightInd w:val="0"/>
        <w:snapToGrid w:val="0"/>
        <w:spacing w:line="760" w:lineRule="exact"/>
        <w:rPr>
          <w:rFonts w:eastAsia="宋体"/>
          <w:sz w:val="36"/>
          <w:u w:val="single"/>
        </w:rPr>
      </w:pPr>
      <w:r>
        <w:rPr>
          <w:rFonts w:hint="eastAsia" w:eastAsia="宋体"/>
          <w:sz w:val="36"/>
        </w:rPr>
        <w:t xml:space="preserve">  </w:t>
      </w:r>
      <w:r>
        <w:rPr>
          <w:rFonts w:eastAsia="宋体"/>
          <w:sz w:val="36"/>
        </w:rPr>
        <w:t>指导教师：</w:t>
      </w:r>
      <w:r>
        <w:rPr>
          <w:rFonts w:eastAsia="宋体"/>
          <w:sz w:val="36"/>
          <w:u w:val="single"/>
        </w:rPr>
        <w:t xml:space="preserve">      </w:t>
      </w:r>
      <w:r>
        <w:rPr>
          <w:rFonts w:hint="eastAsia" w:eastAsia="宋体"/>
          <w:sz w:val="36"/>
          <w:u w:val="single"/>
        </w:rPr>
        <w:t xml:space="preserve">       </w:t>
      </w:r>
      <w:r>
        <w:rPr>
          <w:rFonts w:eastAsia="宋体"/>
          <w:sz w:val="36"/>
          <w:u w:val="single"/>
        </w:rPr>
        <w:t xml:space="preserve">李建奇  </w:t>
      </w:r>
      <w:r>
        <w:rPr>
          <w:rFonts w:hint="eastAsia" w:eastAsia="宋体"/>
          <w:sz w:val="36"/>
          <w:u w:val="single"/>
        </w:rPr>
        <w:t xml:space="preserve">    </w:t>
      </w:r>
      <w:r>
        <w:rPr>
          <w:rFonts w:eastAsia="宋体"/>
          <w:sz w:val="36"/>
          <w:u w:val="single"/>
        </w:rPr>
        <w:t xml:space="preserve">     </w:t>
      </w:r>
      <w:r>
        <w:rPr>
          <w:rFonts w:hint="eastAsia" w:eastAsia="宋体"/>
          <w:sz w:val="36"/>
          <w:u w:val="single"/>
        </w:rPr>
        <w:t xml:space="preserve">      </w:t>
      </w:r>
    </w:p>
    <w:p>
      <w:pPr>
        <w:rPr>
          <w:rFonts w:eastAsia="宋体"/>
          <w:sz w:val="36"/>
          <w:u w:val="single"/>
        </w:rPr>
      </w:pPr>
    </w:p>
    <w:p>
      <w:pPr>
        <w:rPr>
          <w:rFonts w:eastAsia="宋体"/>
          <w:sz w:val="36"/>
          <w:u w:val="single"/>
        </w:rPr>
      </w:pPr>
    </w:p>
    <w:p>
      <w:pPr>
        <w:rPr>
          <w:rFonts w:eastAsia="宋体"/>
          <w:sz w:val="36"/>
          <w:u w:val="single"/>
        </w:rPr>
      </w:pPr>
    </w:p>
    <w:p>
      <w:pPr>
        <w:rPr>
          <w:rFonts w:eastAsia="宋体"/>
          <w:sz w:val="36"/>
          <w:u w:val="single"/>
        </w:rPr>
      </w:pPr>
    </w:p>
    <w:p/>
    <w:p>
      <w:pPr>
        <w:spacing w:line="480" w:lineRule="auto"/>
        <w:ind w:left="1260" w:firstLine="540" w:firstLineChars="150"/>
        <w:rPr>
          <w:rFonts w:eastAsia="宋体"/>
          <w:sz w:val="36"/>
          <w:u w:val="single"/>
        </w:rPr>
      </w:pPr>
      <w:r>
        <w:rPr>
          <w:rFonts w:eastAsia="宋体"/>
          <w:sz w:val="36"/>
        </w:rPr>
        <w:t>完成时间：</w:t>
      </w:r>
      <w:r>
        <w:rPr>
          <w:rFonts w:eastAsia="宋体"/>
          <w:sz w:val="36"/>
          <w:u w:val="single"/>
        </w:rPr>
        <w:t xml:space="preserve">  20</w:t>
      </w:r>
      <w:r>
        <w:rPr>
          <w:rFonts w:hint="eastAsia" w:eastAsia="宋体"/>
          <w:sz w:val="36"/>
          <w:u w:val="single"/>
        </w:rPr>
        <w:t>18</w:t>
      </w:r>
      <w:r>
        <w:rPr>
          <w:rFonts w:eastAsia="宋体"/>
          <w:sz w:val="36"/>
          <w:u w:val="single"/>
        </w:rPr>
        <w:t>年1</w:t>
      </w:r>
      <w:r>
        <w:rPr>
          <w:rFonts w:hint="eastAsia" w:eastAsia="宋体"/>
          <w:sz w:val="36"/>
          <w:u w:val="single"/>
        </w:rPr>
        <w:t>2</w:t>
      </w:r>
      <w:r>
        <w:rPr>
          <w:rFonts w:eastAsia="宋体"/>
          <w:sz w:val="36"/>
          <w:u w:val="single"/>
        </w:rPr>
        <w:t>月</w:t>
      </w:r>
      <w:r>
        <w:rPr>
          <w:rFonts w:hint="eastAsia" w:eastAsia="宋体"/>
          <w:sz w:val="36"/>
          <w:u w:val="single"/>
        </w:rPr>
        <w:t>12</w:t>
      </w:r>
      <w:r>
        <w:rPr>
          <w:rFonts w:eastAsia="宋体"/>
          <w:sz w:val="36"/>
          <w:u w:val="single"/>
        </w:rPr>
        <w:t xml:space="preserve">日   </w:t>
      </w:r>
    </w:p>
    <w:p>
      <w:pPr>
        <w:rPr>
          <w:rFonts w:eastAsia="宋体"/>
          <w:sz w:val="36"/>
          <w:u w:val="single"/>
        </w:rPr>
      </w:pPr>
    </w:p>
    <w:p>
      <w:r>
        <w:br w:type="page"/>
      </w:r>
    </w:p>
    <w:tbl>
      <w:tblPr>
        <w:tblStyle w:val="5"/>
        <w:tblW w:w="84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jc w:val="center"/>
        </w:trPr>
        <w:tc>
          <w:tcPr>
            <w:tcW w:w="18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rPr>
            </w:pPr>
            <w:r>
              <w:rPr>
                <w:rFonts w:ascii="Times New Roman" w:hAnsi="Times New Roman" w:cs="Times New Roman"/>
              </w:rPr>
              <w:t>论文（设计）题目</w:t>
            </w:r>
          </w:p>
        </w:tc>
        <w:tc>
          <w:tcPr>
            <w:tcW w:w="661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Cs w:val="21"/>
              </w:rPr>
            </w:pPr>
            <w:r>
              <w:rPr>
                <w:rFonts w:hint="eastAsia" w:ascii="Times New Roman" w:hAnsi="Times New Roman" w:cs="Times New Roman"/>
                <w:szCs w:val="21"/>
              </w:rPr>
              <w:t>基于NB-IoT的智能水表终端系统研究与设计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0" w:hRule="atLeast"/>
          <w:jc w:val="center"/>
        </w:trPr>
        <w:tc>
          <w:tcPr>
            <w:tcW w:w="8414" w:type="dxa"/>
            <w:gridSpan w:val="2"/>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zCs w:val="21"/>
              </w:rPr>
            </w:pPr>
            <w:r>
              <w:rPr>
                <w:rFonts w:asciiTheme="minorEastAsia" w:hAnsiTheme="minorEastAsia"/>
                <w:szCs w:val="21"/>
              </w:rPr>
              <w:t>课题目的、意义、国内外有关研究动态：</w:t>
            </w:r>
          </w:p>
          <w:p>
            <w:pPr>
              <w:adjustRightInd w:val="0"/>
              <w:snapToGrid w:val="0"/>
              <w:spacing w:line="360" w:lineRule="auto"/>
              <w:rPr>
                <w:rFonts w:asciiTheme="minorEastAsia" w:hAnsiTheme="minorEastAsia"/>
                <w:szCs w:val="21"/>
              </w:rPr>
            </w:pPr>
            <w:r>
              <w:rPr>
                <w:rFonts w:asciiTheme="minorEastAsia" w:hAnsiTheme="minorEastAsia"/>
                <w:szCs w:val="21"/>
              </w:rPr>
              <w:t>1）</w:t>
            </w:r>
            <w:r>
              <w:rPr>
                <w:rFonts w:ascii="Times New Roman" w:hAnsi="Times New Roman" w:cs="Times New Roman"/>
                <w:b/>
                <w:szCs w:val="21"/>
              </w:rPr>
              <w:t>目的与意义</w:t>
            </w:r>
          </w:p>
          <w:p>
            <w:pPr>
              <w:spacing w:line="360" w:lineRule="auto"/>
              <w:ind w:firstLine="422" w:firstLineChars="200"/>
              <w:rPr>
                <w:rFonts w:hint="eastAsia" w:asciiTheme="minorEastAsia" w:hAnsiTheme="minorEastAsia"/>
                <w:szCs w:val="21"/>
              </w:rPr>
            </w:pPr>
            <w:r>
              <w:rPr>
                <w:rFonts w:ascii="Times New Roman" w:hAnsi="Times New Roman" w:cs="Times New Roman"/>
                <w:b/>
                <w:szCs w:val="21"/>
              </w:rPr>
              <w:t>目的</w:t>
            </w:r>
            <w:r>
              <w:rPr>
                <w:rFonts w:asciiTheme="minorEastAsia" w:hAnsiTheme="minorEastAsia"/>
                <w:szCs w:val="21"/>
              </w:rPr>
              <w:t>：</w:t>
            </w:r>
            <w:r>
              <w:rPr>
                <w:rFonts w:hint="eastAsia" w:asciiTheme="minorEastAsia" w:hAnsiTheme="minorEastAsia"/>
                <w:szCs w:val="21"/>
              </w:rPr>
              <w:t>随着供电自动化以及城乡电网、水网改造的不断深入，涉及到千家万户的水电管理和抄表计费已成为相关部门关心和重视的热点问题。受安装环境、测量介质等诸多因素影响,如智能水表长期运行在潮湿、生锈环境中,电控模块极易发生故障。南、北水质,地表水、地下水等检测指标，水表口径、安装方式和安装环境都不尽相同，因此无法建立统-的技术路线和标准,智能水表在物理层和协议层都呈现高度的不统一,严重影响智能水表的覆盖率。随着社会的快速发展，居民生活用电水急剧攀升，水表抄表量逐渐增大，用水管理成本增加,管理难度越来越复杂，现阶段的人工抄表等方式存在诸多的缺陷不便，不但抄读效率低、费时费力,而且准确性和及时性得不到有力保障，进而导致生产管理和技术决策方面得不到详细准确的原始数据。如果现有的技术不能用来改善传统的人工抄表方式的不合理之处,而人工抄表造成的错误，势必对供电供水企业管理极坏的社会影响，并造成巨大的经济损失。现代计量及收费的方法日新月异，传统的计量仪表及人工上门抄表收费的方法正逐步被淘汰。随着电表“一户一表抄表到户”工程的实施，光电直读水表的应用，计算机联网集中抄收,集中控制,集中收费的管理方法,正被越来越多的人接受。</w:t>
            </w:r>
          </w:p>
          <w:p>
            <w:pPr>
              <w:spacing w:line="360" w:lineRule="auto"/>
              <w:ind w:firstLine="420" w:firstLineChars="200"/>
              <w:rPr>
                <w:rFonts w:asciiTheme="minorEastAsia" w:hAnsiTheme="minorEastAsia"/>
                <w:szCs w:val="21"/>
              </w:rPr>
            </w:pPr>
            <w:r>
              <w:rPr>
                <w:rFonts w:hint="eastAsia" w:asciiTheme="minorEastAsia" w:hAnsiTheme="minorEastAsia"/>
                <w:szCs w:val="21"/>
              </w:rPr>
              <w:t>目前已有通过485网线、电力载波、红外、GPRS远程无线等通讯方式，对水电气表进行抄录管理。相比较而言, GPRS远程抄表技术更先进.效率更高、更安全，但也存在诸多问题，如通讯基站用户容量小、功耗高、信号覆盖较差、成本较高等。</w:t>
            </w:r>
          </w:p>
          <w:p>
            <w:pPr>
              <w:spacing w:line="360" w:lineRule="auto"/>
              <w:ind w:firstLine="422" w:firstLineChars="200"/>
              <w:rPr>
                <w:rFonts w:hint="eastAsia" w:asciiTheme="minorEastAsia" w:hAnsiTheme="minorEastAsia"/>
                <w:szCs w:val="21"/>
              </w:rPr>
            </w:pPr>
            <w:r>
              <w:rPr>
                <w:rFonts w:hint="eastAsia" w:ascii="Times New Roman" w:hAnsi="Times New Roman" w:cs="Times New Roman"/>
                <w:b/>
                <w:szCs w:val="21"/>
              </w:rPr>
              <w:t>意义</w:t>
            </w:r>
            <w:r>
              <w:rPr>
                <w:rFonts w:hint="eastAsia" w:asciiTheme="minorEastAsia" w:hAnsiTheme="minorEastAsia"/>
                <w:szCs w:val="21"/>
              </w:rPr>
              <w:t>：基于物联网系统设计的智能抄表系统，实现了远程抄表的功能,摒除了传统抄表的费时、费力的缺点，而是采用无线传感网络对居民的水、电、气信息智能采集，不仅使抄表的准确性有所提高，而且还提高了抄表效率。基于NB-IOT远程抄表在继承了GPRS远程抄表功能优点的同时还拥有海量容量，相同基站通讯用户容量是GPRS远程抄表的10倍。NB-IOT拥有更低功耗,在相同的使用环境条件下NB-IOT终端模块的待机时间可长达十年以上、信号覆盖更强(可覆盖到室内与地下室)。</w:t>
            </w:r>
          </w:p>
          <w:p>
            <w:pPr>
              <w:spacing w:line="360" w:lineRule="auto"/>
              <w:ind w:firstLine="420" w:firstLineChars="200"/>
              <w:rPr>
                <w:rFonts w:asciiTheme="minorEastAsia" w:hAnsiTheme="minorEastAsia"/>
                <w:szCs w:val="21"/>
              </w:rPr>
            </w:pPr>
            <w:r>
              <w:rPr>
                <w:rFonts w:hint="eastAsia" w:asciiTheme="minorEastAsia" w:hAnsiTheme="minorEastAsia"/>
                <w:szCs w:val="21"/>
              </w:rPr>
              <w:t xml:space="preserve">   NB-IOT，是基于蜂窝的窄带物联网(Narrow Band Internet of</w:t>
            </w:r>
            <w:r>
              <w:rPr>
                <w:rFonts w:asciiTheme="minorEastAsia" w:hAnsiTheme="minorEastAsia"/>
                <w:szCs w:val="21"/>
              </w:rPr>
              <w:t xml:space="preserve"> </w:t>
            </w:r>
            <w:r>
              <w:rPr>
                <w:rFonts w:hint="eastAsia" w:asciiTheme="minorEastAsia" w:hAnsiTheme="minorEastAsia"/>
                <w:szCs w:val="21"/>
              </w:rPr>
              <w:t>Things, NB-IoT)通讯模式可直接部署于GSM网络、UMTS网络或LTE网络，大量降低了部署成本,可支持低功耗设备在广域网的峰窝数据连接。NB-IOT聚焦于低功耗广覆盖(LPWA)物联网市场,是一种可在全球范围内广泛应用的新兴技术。具有覆盖广、连接多、速率低、成本低、功耗低.架构优等特点。NB-IOT使用</w:t>
            </w:r>
            <w:r>
              <w:rPr>
                <w:rFonts w:asciiTheme="minorEastAsia" w:hAnsiTheme="minorEastAsia"/>
                <w:szCs w:val="21"/>
              </w:rPr>
              <w:t>License</w:t>
            </w:r>
            <w:r>
              <w:rPr>
                <w:rFonts w:hint="eastAsia" w:asciiTheme="minorEastAsia" w:hAnsiTheme="minorEastAsia"/>
                <w:szCs w:val="21"/>
              </w:rPr>
              <w:t>频段，可采取带内、保护带或独立载波等三种部署方式，与现有网络共存。</w:t>
            </w:r>
            <w:r>
              <w:rPr>
                <w:rFonts w:asciiTheme="minorEastAsia" w:hAnsiTheme="minorEastAsia"/>
                <w:szCs w:val="21"/>
              </w:rPr>
              <w:t xml:space="preserve"> </w:t>
            </w:r>
          </w:p>
          <w:p>
            <w:pPr>
              <w:rPr>
                <w:rFonts w:asciiTheme="minorEastAsia" w:hAnsiTheme="minorEastAsia"/>
                <w:szCs w:val="21"/>
              </w:rPr>
            </w:pPr>
            <w:r>
              <w:rPr>
                <w:rFonts w:asciiTheme="minorEastAsia" w:hAnsiTheme="minorEastAsia"/>
                <w:szCs w:val="21"/>
              </w:rPr>
              <w:t>2）</w:t>
            </w:r>
            <w:r>
              <w:rPr>
                <w:rFonts w:ascii="Times New Roman" w:hAnsi="Times New Roman" w:cs="Times New Roman"/>
                <w:b/>
                <w:szCs w:val="21"/>
              </w:rPr>
              <w:t>研究动态：</w:t>
            </w:r>
          </w:p>
          <w:p>
            <w:pPr>
              <w:spacing w:line="360" w:lineRule="auto"/>
              <w:ind w:firstLine="422" w:firstLineChars="200"/>
              <w:rPr>
                <w:rFonts w:asciiTheme="minorEastAsia" w:hAnsiTheme="minorEastAsia"/>
                <w:szCs w:val="21"/>
              </w:rPr>
            </w:pPr>
            <w:r>
              <w:rPr>
                <w:rFonts w:hint="eastAsia" w:ascii="Times New Roman" w:hAnsi="Times New Roman" w:cs="Times New Roman"/>
                <w:b/>
                <w:szCs w:val="21"/>
              </w:rPr>
              <w:t>国外</w:t>
            </w:r>
            <w:r>
              <w:rPr>
                <w:rFonts w:hint="eastAsia" w:asciiTheme="minorEastAsia" w:hAnsiTheme="minorEastAsia"/>
                <w:szCs w:val="21"/>
              </w:rPr>
              <w:t>：第二章国内外研究现状及相关技术理论的发展物联网，东南亚地区，亚太经济区亦不甘落后，紧跟形势；2000年，日本提出了U-Japan构想，韩国也制定了U-Korea计划，紧跟世界科技潮流。2003年，美国出版的《技术评价》这本颇有世界影响力科研期刊重点提到物联网概念，肯定了Kevin</w:t>
            </w:r>
            <w:r>
              <w:rPr>
                <w:rFonts w:asciiTheme="minorEastAsia" w:hAnsiTheme="minorEastAsia"/>
                <w:szCs w:val="21"/>
              </w:rPr>
              <w:t xml:space="preserve"> Ashton</w:t>
            </w:r>
            <w:r>
              <w:rPr>
                <w:rFonts w:hint="eastAsia" w:asciiTheme="minorEastAsia" w:hAnsiTheme="minorEastAsia"/>
                <w:szCs w:val="21"/>
              </w:rPr>
              <w:t>教授的观点。2016年6月16日，由NB-CIoT和NB-LTE融合形成的NB-IoT</w:t>
            </w:r>
            <w:r>
              <w:rPr>
                <w:rFonts w:asciiTheme="minorEastAsia" w:hAnsiTheme="minorEastAsia"/>
                <w:szCs w:val="21"/>
              </w:rPr>
              <w:t xml:space="preserve"> </w:t>
            </w:r>
            <w:r>
              <w:rPr>
                <w:rFonts w:hint="eastAsia" w:asciiTheme="minorEastAsia" w:hAnsiTheme="minorEastAsia"/>
                <w:szCs w:val="21"/>
              </w:rPr>
              <w:t>R核心协议在R</w:t>
            </w:r>
            <w:r>
              <w:rPr>
                <w:rFonts w:asciiTheme="minorEastAsia" w:hAnsiTheme="minorEastAsia"/>
                <w:szCs w:val="21"/>
              </w:rPr>
              <w:t>ANI</w:t>
            </w:r>
            <w:r>
              <w:rPr>
                <w:rFonts w:hint="eastAsia" w:asciiTheme="minorEastAsia" w:hAnsiTheme="minorEastAsia"/>
                <w:szCs w:val="21"/>
              </w:rPr>
              <w:t>、R</w:t>
            </w:r>
            <w:r>
              <w:rPr>
                <w:rFonts w:asciiTheme="minorEastAsia" w:hAnsiTheme="minorEastAsia"/>
                <w:szCs w:val="21"/>
              </w:rPr>
              <w:t>AN2</w:t>
            </w:r>
            <w:r>
              <w:rPr>
                <w:rFonts w:hint="eastAsia" w:asciiTheme="minorEastAsia" w:hAnsiTheme="minorEastAsia"/>
                <w:szCs w:val="21"/>
              </w:rPr>
              <w:t>、R</w:t>
            </w:r>
            <w:r>
              <w:rPr>
                <w:rFonts w:asciiTheme="minorEastAsia" w:hAnsiTheme="minorEastAsia"/>
                <w:szCs w:val="21"/>
              </w:rPr>
              <w:t>AN3</w:t>
            </w:r>
            <w:r>
              <w:rPr>
                <w:rFonts w:hint="eastAsia" w:asciiTheme="minorEastAsia" w:hAnsiTheme="minorEastAsia"/>
                <w:szCs w:val="21"/>
              </w:rPr>
              <w:t>、R</w:t>
            </w:r>
            <w:r>
              <w:rPr>
                <w:rFonts w:asciiTheme="minorEastAsia" w:hAnsiTheme="minorEastAsia"/>
                <w:szCs w:val="21"/>
              </w:rPr>
              <w:t>AN4</w:t>
            </w:r>
            <w:r>
              <w:rPr>
                <w:rFonts w:hint="eastAsia" w:asciiTheme="minorEastAsia" w:hAnsiTheme="minorEastAsia"/>
                <w:szCs w:val="21"/>
              </w:rPr>
              <w:t>四个工作组均已冻结，物联网技术的发展进入了一个崭新阶段。物联网作为一种新兴网络技术和产业模式，全球物联网连接数量到2</w:t>
            </w:r>
            <w:r>
              <w:rPr>
                <w:rFonts w:asciiTheme="minorEastAsia" w:hAnsiTheme="minorEastAsia"/>
                <w:szCs w:val="21"/>
              </w:rPr>
              <w:t>020</w:t>
            </w:r>
            <w:r>
              <w:rPr>
                <w:rFonts w:hint="eastAsia" w:asciiTheme="minorEastAsia" w:hAnsiTheme="minorEastAsia"/>
                <w:szCs w:val="21"/>
              </w:rPr>
              <w:t>年预计将达5</w:t>
            </w:r>
            <w:r>
              <w:rPr>
                <w:rFonts w:asciiTheme="minorEastAsia" w:hAnsiTheme="minorEastAsia"/>
                <w:szCs w:val="21"/>
              </w:rPr>
              <w:t>00</w:t>
            </w:r>
            <w:r>
              <w:rPr>
                <w:rFonts w:hint="eastAsia" w:asciiTheme="minorEastAsia" w:hAnsiTheme="minorEastAsia"/>
                <w:szCs w:val="21"/>
              </w:rPr>
              <w:t>亿，世界物联网相关行业的市场规模据估算将达1</w:t>
            </w:r>
            <w:r>
              <w:rPr>
                <w:rFonts w:asciiTheme="minorEastAsia" w:hAnsiTheme="minorEastAsia"/>
                <w:szCs w:val="21"/>
              </w:rPr>
              <w:t>7000</w:t>
            </w:r>
            <w:r>
              <w:rPr>
                <w:rFonts w:hint="eastAsia" w:asciiTheme="minorEastAsia" w:hAnsiTheme="minorEastAsia"/>
                <w:szCs w:val="21"/>
              </w:rPr>
              <w:t>亿美元，而在中国物联网市场规模有可能将超2万亿元。由国外学者Mi</w:t>
            </w:r>
            <w:r>
              <w:rPr>
                <w:rFonts w:asciiTheme="minorEastAsia" w:hAnsiTheme="minorEastAsia"/>
                <w:szCs w:val="21"/>
              </w:rPr>
              <w:t>tchell</w:t>
            </w:r>
            <w:r>
              <w:rPr>
                <w:rFonts w:hint="eastAsia" w:asciiTheme="minorEastAsia" w:hAnsiTheme="minorEastAsia"/>
                <w:szCs w:val="21"/>
              </w:rPr>
              <w:t>搭建应用物联网技术数据处理模型采用的关键技术进行分析；G</w:t>
            </w:r>
            <w:r>
              <w:rPr>
                <w:rFonts w:asciiTheme="minorEastAsia" w:hAnsiTheme="minorEastAsia"/>
                <w:szCs w:val="21"/>
              </w:rPr>
              <w:t>lenn Parsons</w:t>
            </w:r>
            <w:r>
              <w:rPr>
                <w:rFonts w:hint="eastAsia" w:asciiTheme="minorEastAsia" w:hAnsiTheme="minorEastAsia"/>
                <w:szCs w:val="21"/>
              </w:rPr>
              <w:t>对物联网概念进行梳理；M</w:t>
            </w:r>
            <w:r>
              <w:rPr>
                <w:rFonts w:asciiTheme="minorEastAsia" w:hAnsiTheme="minorEastAsia"/>
                <w:szCs w:val="21"/>
              </w:rPr>
              <w:t>ayra Samaniego etal</w:t>
            </w:r>
            <w:r>
              <w:rPr>
                <w:rFonts w:hint="eastAsia" w:asciiTheme="minorEastAsia" w:hAnsiTheme="minorEastAsia"/>
                <w:szCs w:val="21"/>
              </w:rPr>
              <w:t>基于C</w:t>
            </w:r>
            <w:r>
              <w:rPr>
                <w:rFonts w:asciiTheme="minorEastAsia" w:hAnsiTheme="minorEastAsia"/>
                <w:szCs w:val="21"/>
              </w:rPr>
              <w:t>oAP</w:t>
            </w:r>
            <w:r>
              <w:rPr>
                <w:rFonts w:hint="eastAsia" w:asciiTheme="minorEastAsia" w:hAnsiTheme="minorEastAsia"/>
                <w:szCs w:val="21"/>
              </w:rPr>
              <w:t>协议，提出物联网资源管理方案。</w:t>
            </w:r>
          </w:p>
          <w:p>
            <w:pPr>
              <w:spacing w:line="360" w:lineRule="auto"/>
              <w:ind w:firstLine="420" w:firstLineChars="200"/>
              <w:rPr>
                <w:rFonts w:asciiTheme="minorEastAsia" w:hAnsiTheme="minorEastAsia"/>
                <w:szCs w:val="21"/>
              </w:rPr>
            </w:pPr>
            <w:r>
              <w:rPr>
                <w:rFonts w:hint="eastAsia" w:asciiTheme="minorEastAsia" w:hAnsiTheme="minorEastAsia"/>
                <w:szCs w:val="21"/>
              </w:rPr>
              <w:t>物联网的关键技术R</w:t>
            </w:r>
            <w:r>
              <w:rPr>
                <w:rFonts w:asciiTheme="minorEastAsia" w:hAnsiTheme="minorEastAsia"/>
                <w:szCs w:val="21"/>
              </w:rPr>
              <w:t>FID</w:t>
            </w:r>
            <w:r>
              <w:rPr>
                <w:rFonts w:hint="eastAsia" w:asciiTheme="minorEastAsia" w:hAnsiTheme="minorEastAsia"/>
                <w:szCs w:val="21"/>
              </w:rPr>
              <w:t>和相关技术标准成为业界关注的热点，美、韩、日等许多发达国家将</w:t>
            </w:r>
            <w:r>
              <w:rPr>
                <w:rFonts w:asciiTheme="minorEastAsia" w:hAnsiTheme="minorEastAsia"/>
                <w:szCs w:val="21"/>
              </w:rPr>
              <w:t>RFID</w:t>
            </w:r>
            <w:r>
              <w:rPr>
                <w:rFonts w:hint="eastAsia" w:asciiTheme="minorEastAsia" w:hAnsiTheme="minorEastAsia"/>
                <w:szCs w:val="21"/>
              </w:rPr>
              <w:t>作为一项重要的国家发展产业予以积极推动。多个国际标准化研宄组织针对物联网相关技术标准化开展了工作，国际标准化组织及国际电工委员会、国际电信联盟远程通信标准化组、欧洲电信标准化协会、美国电气和电子工程师协会、互联网工程任务组、第三代合作伙伴计划分别在传感器网络、泛在网络、物联网、近距离无线、I</w:t>
            </w:r>
            <w:r>
              <w:rPr>
                <w:rFonts w:asciiTheme="minorEastAsia" w:hAnsiTheme="minorEastAsia"/>
                <w:szCs w:val="21"/>
              </w:rPr>
              <w:t>Pv6</w:t>
            </w:r>
            <w:r>
              <w:rPr>
                <w:rFonts w:hint="eastAsia" w:asciiTheme="minorEastAsia" w:hAnsiTheme="minorEastAsia"/>
                <w:szCs w:val="21"/>
              </w:rPr>
              <w:t>的应用、M</w:t>
            </w:r>
            <w:r>
              <w:rPr>
                <w:rFonts w:asciiTheme="minorEastAsia" w:hAnsiTheme="minorEastAsia"/>
                <w:szCs w:val="21"/>
              </w:rPr>
              <w:t>2M</w:t>
            </w:r>
            <w:r>
              <w:rPr>
                <w:rFonts w:hint="eastAsia" w:asciiTheme="minorEastAsia" w:hAnsiTheme="minorEastAsia"/>
                <w:szCs w:val="21"/>
              </w:rPr>
              <w:t>（机器与机器）等方面进行了相应工作，竞争日益激烈。</w:t>
            </w:r>
          </w:p>
          <w:p>
            <w:pPr>
              <w:spacing w:line="360" w:lineRule="auto"/>
              <w:ind w:firstLine="422" w:firstLineChars="200"/>
              <w:rPr>
                <w:rFonts w:asciiTheme="minorEastAsia" w:hAnsiTheme="minorEastAsia"/>
                <w:szCs w:val="21"/>
              </w:rPr>
            </w:pPr>
            <w:r>
              <w:rPr>
                <w:rFonts w:hint="eastAsia" w:ascii="Times New Roman" w:hAnsi="Times New Roman" w:cs="Times New Roman"/>
                <w:b/>
                <w:szCs w:val="21"/>
              </w:rPr>
              <w:t>国内</w:t>
            </w:r>
            <w:r>
              <w:rPr>
                <w:rFonts w:hint="eastAsia" w:asciiTheme="minorEastAsia" w:hAnsiTheme="minorEastAsia"/>
                <w:szCs w:val="21"/>
              </w:rPr>
              <w:t>：物联网这个全新的概念首次由美国麻省理工学院被提出，物联网的概念从狭义上可理解为“物一物相连的互联网”，这种物一物相连的互联网的主体既有物品到物品，也有物品到识别管理设备。早在2005年，关于物联网的研宄己是如火如荼，中国己将物联网提上议程，2006年，在《国家中长期科学技术发展规划》中将物联网发展作为国家重点的发展战略进行部署，同时把物联网发展写进了《2050年国家产业线路图》，由国家国防部、科技部、教育部等牵头，联合工信部、安全通讯部门等14个部委共同制定了《R</w:t>
            </w:r>
            <w:r>
              <w:rPr>
                <w:rFonts w:asciiTheme="minorEastAsia" w:hAnsiTheme="minorEastAsia"/>
                <w:szCs w:val="21"/>
              </w:rPr>
              <w:t>FID</w:t>
            </w:r>
            <w:r>
              <w:rPr>
                <w:rFonts w:hint="eastAsia" w:asciiTheme="minorEastAsia" w:hAnsiTheme="minorEastAsia"/>
                <w:szCs w:val="21"/>
              </w:rPr>
              <w:t>技术政策白皮书》。2009年，国家总理温家宝在江苏省无锡市进行视察工作时，首次明确提出“感知中国”的指导方针。随着政府的大力支持并出台相关扶持政策，各地政府也纷纷相应并制定相关发展计划。从2009年来我国积极推进物联网产业化，在“让科技引领中国持续发展”。</w:t>
            </w:r>
          </w:p>
          <w:p>
            <w:pPr>
              <w:spacing w:line="360" w:lineRule="auto"/>
              <w:ind w:firstLine="420" w:firstLineChars="200"/>
              <w:rPr>
                <w:rFonts w:asciiTheme="minorEastAsia" w:hAnsiTheme="minorEastAsia"/>
                <w:szCs w:val="21"/>
              </w:rPr>
            </w:pPr>
            <w:r>
              <w:rPr>
                <w:rFonts w:hint="eastAsia" w:asciiTheme="minorEastAsia" w:hAnsiTheme="minorEastAsia"/>
                <w:szCs w:val="21"/>
              </w:rPr>
              <w:t>在国家自然科学基金、“863”计划的支持下，我国在物联网体系架构及其技术、传感网、新一代无线通信、高性能云计算并行处理技术等取得了重大性突破，先后建立多个国家重点实验室主要研究传感技术、传感器网络和传感器产业等，并开展具有示范意义的重大应用项目的研究。在国内良好的发展态势下，需要攻克以下几个难关：核心技术、器件标准化、产业规范化、培育骨千企业、信息安全保障、运营管理体系化和公众服务能力。</w:t>
            </w:r>
          </w:p>
          <w:p>
            <w:pPr>
              <w:spacing w:line="360" w:lineRule="auto"/>
              <w:ind w:firstLine="420" w:firstLineChars="200"/>
              <w:rPr>
                <w:rFonts w:asciiTheme="minorEastAsia" w:hAnsiTheme="minorEastAsia"/>
                <w:szCs w:val="21"/>
              </w:rPr>
            </w:pPr>
            <w:r>
              <w:rPr>
                <w:rFonts w:hint="eastAsia" w:asciiTheme="minorEastAsia" w:hAnsiTheme="minorEastAsia"/>
                <w:szCs w:val="21"/>
              </w:rPr>
              <w:t>2016年，我国开展了一系列物联网技术的试点和示范项目，在国家重点企业比如电网、交通己经发展的比较成熟，基本上实现了智能控制，在军事方面更是实现了高尖端发展，体现一个大国的整体实力。我国是一个农业大国，我国在农牧业也实现了智能终端控制，智能调节温度和湿度，提高农副产品的产量和质量。在工业自动控制、金融服务业也是不甘落后，各种智能国产手机都实现了智能互联。智能家居、节能环保、医疗卫生、公共安全等领域都取得了长足的进步，并且带来了巨大的经济效应，体现了一个强国的整体实力。</w:t>
            </w:r>
          </w:p>
          <w:p>
            <w:pPr>
              <w:spacing w:line="360" w:lineRule="auto"/>
              <w:ind w:firstLine="420" w:firstLineChars="200"/>
              <w:rPr>
                <w:rFonts w:hint="eastAsia"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4" w:type="dxa"/>
            <w:gridSpan w:val="2"/>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cs="Times New Roman"/>
                <w:b/>
                <w:szCs w:val="21"/>
              </w:rPr>
            </w:pPr>
            <w:r>
              <w:rPr>
                <w:rFonts w:ascii="Times New Roman" w:hAnsi="Times New Roman" w:cs="Times New Roman"/>
                <w:b/>
                <w:szCs w:val="21"/>
              </w:rPr>
              <w:t>课题的主要内容（观点）、创新之处：</w:t>
            </w:r>
          </w:p>
          <w:p>
            <w:pPr>
              <w:spacing w:line="360" w:lineRule="auto"/>
              <w:rPr>
                <w:rFonts w:ascii="Times New Roman" w:hAnsi="Times New Roman" w:cs="Times New Roman"/>
                <w:color w:val="000000"/>
                <w:szCs w:val="21"/>
              </w:rPr>
            </w:pPr>
            <w:r>
              <w:rPr>
                <w:rFonts w:ascii="Times New Roman" w:hAnsi="Times New Roman" w:cs="Times New Roman"/>
                <w:b/>
                <w:szCs w:val="21"/>
              </w:rPr>
              <w:t>主要内容：</w:t>
            </w:r>
          </w:p>
          <w:p>
            <w:pPr>
              <w:spacing w:line="360" w:lineRule="auto"/>
              <w:ind w:firstLine="420" w:firstLineChars="200"/>
              <w:rPr>
                <w:rFonts w:ascii="Times New Roman" w:hAnsi="Times New Roman" w:cs="Times New Roman"/>
                <w:bCs/>
                <w:szCs w:val="21"/>
              </w:rPr>
            </w:pPr>
            <w:r>
              <w:rPr>
                <w:rFonts w:hint="eastAsia" w:asciiTheme="minorEastAsia" w:hAnsiTheme="minorEastAsia"/>
                <w:szCs w:val="21"/>
              </w:rPr>
              <w:t>该智能水表以低功耗，低电压，高性能的8位单片机STM8L052R8T6为核心，以防干扰性极强的双干簧管为流量传感器，另外本设计还有可显示状态字的段式LCD液晶显示屏，剩余水量到零时，门阀驱动电路运作，自动关阀中断水供。采用NB-IoT技术对水表采集的数据进行远距离传输到华为的ocean cloud，本设计可以改善传统水表性能单一的缺点，测量精度更高，功能更强，可靠性更好，更重要的时解决传统水表需要挨家挨户抄表的烦恼，可以达到数据统一管理，出现故障及时处理的目标</w:t>
            </w:r>
          </w:p>
          <w:p>
            <w:pPr>
              <w:spacing w:line="360" w:lineRule="auto"/>
              <w:rPr>
                <w:rFonts w:ascii="Times New Roman" w:hAnsi="Times New Roman" w:cs="Times New Roman"/>
                <w:b/>
                <w:szCs w:val="21"/>
              </w:rPr>
            </w:pPr>
            <w:r>
              <w:rPr>
                <w:rFonts w:ascii="Times New Roman" w:hAnsi="Times New Roman" w:cs="Times New Roman"/>
                <w:b/>
                <w:szCs w:val="21"/>
              </w:rPr>
              <w:t>创新之处：</w:t>
            </w:r>
          </w:p>
          <w:p>
            <w:pPr>
              <w:spacing w:line="360" w:lineRule="auto"/>
              <w:ind w:firstLine="210" w:firstLineChars="100"/>
              <w:rPr>
                <w:rFonts w:asciiTheme="minorEastAsia" w:hAnsiTheme="minorEastAsia"/>
                <w:szCs w:val="21"/>
              </w:rPr>
            </w:pPr>
            <w:r>
              <w:rPr>
                <w:rFonts w:hint="eastAsia" w:asciiTheme="minorEastAsia" w:hAnsiTheme="minorEastAsia"/>
                <w:szCs w:val="21"/>
              </w:rPr>
              <w:t>（1）完成对水流量的计量，电池电量的测量。</w:t>
            </w:r>
          </w:p>
          <w:p>
            <w:pPr>
              <w:spacing w:line="360" w:lineRule="auto"/>
              <w:ind w:firstLine="210" w:firstLineChars="100"/>
              <w:rPr>
                <w:rFonts w:asciiTheme="minorEastAsia" w:hAnsiTheme="minorEastAsia"/>
                <w:szCs w:val="21"/>
              </w:rPr>
            </w:pPr>
            <w:r>
              <w:rPr>
                <w:rFonts w:hint="eastAsia" w:asciiTheme="minorEastAsia" w:hAnsiTheme="minorEastAsia"/>
                <w:szCs w:val="21"/>
              </w:rPr>
              <w:t>（2）NB-IoT模块能够成功将数据发送至云平台。</w:t>
            </w:r>
          </w:p>
          <w:p>
            <w:pPr>
              <w:spacing w:line="360" w:lineRule="auto"/>
              <w:ind w:firstLine="210" w:firstLineChars="100"/>
              <w:rPr>
                <w:rFonts w:asciiTheme="minorEastAsia" w:hAnsiTheme="minorEastAsia"/>
                <w:szCs w:val="21"/>
              </w:rPr>
            </w:pPr>
            <w:r>
              <w:rPr>
                <w:rFonts w:hint="eastAsia" w:asciiTheme="minorEastAsia" w:hAnsiTheme="minorEastAsia"/>
                <w:szCs w:val="21"/>
              </w:rPr>
              <w:t>（3）系统运行时的功耗能降低至40uA以下。</w:t>
            </w:r>
          </w:p>
          <w:p>
            <w:pPr>
              <w:spacing w:line="360" w:lineRule="auto"/>
              <w:ind w:firstLine="210" w:firstLineChars="100"/>
              <w:rPr>
                <w:rFonts w:hint="eastAsia" w:asciiTheme="minorEastAsia" w:hAnsiTheme="minorEastAsia"/>
                <w:szCs w:val="21"/>
              </w:rPr>
            </w:pPr>
            <w:r>
              <w:rPr>
                <w:rFonts w:hint="eastAsia" w:asciiTheme="minorEastAsia" w:hAnsiTheme="minorEastAsia"/>
                <w:szCs w:val="21"/>
              </w:rPr>
              <w:t>（4）准确显示水表参数，功能完整，操作界面友好。</w:t>
            </w:r>
          </w:p>
          <w:p>
            <w:pPr>
              <w:spacing w:line="360" w:lineRule="auto"/>
              <w:ind w:firstLine="420" w:firstLineChars="200"/>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6" w:hRule="atLeast"/>
          <w:jc w:val="center"/>
        </w:trPr>
        <w:tc>
          <w:tcPr>
            <w:tcW w:w="8414" w:type="dxa"/>
            <w:gridSpan w:val="2"/>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cs="Times New Roman"/>
                <w:b/>
                <w:szCs w:val="21"/>
              </w:rPr>
            </w:pPr>
            <w:r>
              <w:rPr>
                <w:rFonts w:ascii="Times New Roman" w:hAnsi="Times New Roman" w:cs="Times New Roman"/>
                <w:b/>
                <w:szCs w:val="21"/>
              </w:rPr>
              <w:t>研究方法、论文撰写提纲：</w:t>
            </w:r>
          </w:p>
          <w:p>
            <w:pPr>
              <w:rPr>
                <w:rFonts w:hint="eastAsia" w:ascii="Times New Roman" w:hAnsi="Times New Roman" w:cs="Times New Roman"/>
                <w:b/>
                <w:bCs/>
                <w:szCs w:val="21"/>
              </w:rPr>
            </w:pPr>
            <w:r>
              <w:rPr>
                <w:rFonts w:ascii="Times New Roman" w:hAnsi="Times New Roman" w:cs="Times New Roman"/>
                <w:b/>
                <w:bCs/>
                <w:szCs w:val="21"/>
              </w:rPr>
              <w:t>1）研究方法：</w:t>
            </w:r>
          </w:p>
          <w:p>
            <w:pPr>
              <w:spacing w:line="360" w:lineRule="auto"/>
              <w:ind w:firstLine="420" w:firstLineChars="200"/>
              <w:rPr>
                <w:rFonts w:asciiTheme="minorEastAsia" w:hAnsiTheme="minorEastAsia"/>
                <w:szCs w:val="21"/>
              </w:rPr>
            </w:pPr>
            <w:r>
              <w:rPr>
                <w:rFonts w:hint="eastAsia" w:asciiTheme="minorEastAsia" w:hAnsiTheme="minorEastAsia"/>
                <w:szCs w:val="21"/>
              </w:rPr>
              <w:t>1).对整个智能水表的可行性方案做详细的规划。</w:t>
            </w:r>
          </w:p>
          <w:p>
            <w:pPr>
              <w:spacing w:line="360" w:lineRule="auto"/>
              <w:ind w:firstLine="420" w:firstLineChars="200"/>
              <w:rPr>
                <w:rFonts w:hint="eastAsia" w:asciiTheme="minorEastAsia" w:hAnsiTheme="minorEastAsia"/>
                <w:szCs w:val="21"/>
              </w:rPr>
            </w:pPr>
            <w:r>
              <w:rPr>
                <w:rFonts w:hint="eastAsia" w:asciiTheme="minorEastAsia" w:hAnsiTheme="minorEastAsia"/>
                <w:szCs w:val="21"/>
              </w:rPr>
              <w:t>2</w:t>
            </w:r>
            <w:r>
              <w:rPr>
                <w:rFonts w:asciiTheme="minorEastAsia" w:hAnsiTheme="minorEastAsia"/>
                <w:szCs w:val="21"/>
              </w:rPr>
              <w:t>)</w:t>
            </w:r>
            <w:r>
              <w:rPr>
                <w:rFonts w:hint="eastAsia" w:asciiTheme="minorEastAsia" w:hAnsiTheme="minorEastAsia"/>
                <w:szCs w:val="21"/>
              </w:rPr>
              <w:t>.硬件电路的设计和完成，采用 NB-IoT 模块 BC95 和微处理器芯片 STM8L052R8T6。该部分主要涉及控制芯片和传输模块的选型以及外围工作电路的设计。</w:t>
            </w:r>
          </w:p>
          <w:p>
            <w:pPr>
              <w:spacing w:line="360" w:lineRule="auto"/>
              <w:ind w:firstLine="420" w:firstLineChars="200"/>
              <w:rPr>
                <w:rFonts w:hint="eastAsia"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.软件设计，这部分主要是 STM8 控制芯片的编程、终端软件工作流程的设计以及上位机软件的实现。</w:t>
            </w:r>
          </w:p>
          <w:p>
            <w:pPr>
              <w:spacing w:line="360" w:lineRule="auto"/>
              <w:ind w:firstLine="420" w:firstLineChars="200"/>
              <w:rPr>
                <w:rFonts w:hint="eastAsia" w:asciiTheme="minorEastAsia" w:hAnsiTheme="minorEastAsia"/>
                <w:szCs w:val="21"/>
              </w:rPr>
            </w:pPr>
            <w:r>
              <w:rPr>
                <w:rFonts w:hint="eastAsia" w:asciiTheme="minorEastAsia" w:hAnsiTheme="minorEastAsia"/>
                <w:szCs w:val="21"/>
              </w:rPr>
              <w:t>4</w:t>
            </w:r>
            <w:r>
              <w:rPr>
                <w:rFonts w:asciiTheme="minorEastAsia" w:hAnsiTheme="minorEastAsia"/>
                <w:szCs w:val="21"/>
              </w:rPr>
              <w:t>)</w:t>
            </w:r>
            <w:r>
              <w:rPr>
                <w:rFonts w:hint="eastAsia" w:asciiTheme="minorEastAsia" w:hAnsiTheme="minorEastAsia"/>
                <w:szCs w:val="21"/>
              </w:rPr>
              <w:t>.对完成的程序做整体测试，修改本设计还可能存在的一些缺陷，最后整理设计过程中文档。</w:t>
            </w:r>
          </w:p>
          <w:p>
            <w:pPr>
              <w:rPr>
                <w:rFonts w:ascii="Times New Roman" w:hAnsi="Times New Roman" w:cs="Times New Roman"/>
                <w:b/>
                <w:szCs w:val="21"/>
              </w:rPr>
            </w:pPr>
            <w:r>
              <w:rPr>
                <w:rFonts w:ascii="Times New Roman" w:hAnsi="Times New Roman" w:cs="Times New Roman"/>
                <w:b/>
                <w:szCs w:val="21"/>
              </w:rPr>
              <w:t>2）论文撰写提纲：</w:t>
            </w:r>
          </w:p>
          <w:p>
            <w:pPr>
              <w:spacing w:line="360" w:lineRule="auto"/>
              <w:ind w:firstLine="420" w:firstLineChars="200"/>
              <w:rPr>
                <w:rFonts w:ascii="Times New Roman" w:hAnsi="Times New Roman" w:cs="Times New Roman"/>
                <w:bCs/>
              </w:rPr>
            </w:pPr>
            <w:r>
              <w:rPr>
                <w:rFonts w:ascii="Times New Roman" w:hAnsi="Times New Roman" w:cs="Times New Roman"/>
                <w:bCs/>
              </w:rPr>
              <w:t>1）摘要</w:t>
            </w:r>
          </w:p>
          <w:p>
            <w:pPr>
              <w:spacing w:line="360" w:lineRule="auto"/>
              <w:ind w:firstLine="420" w:firstLineChars="200"/>
              <w:rPr>
                <w:rFonts w:ascii="Times New Roman" w:hAnsi="Times New Roman" w:cs="Times New Roman"/>
                <w:bCs/>
              </w:rPr>
            </w:pPr>
            <w:r>
              <w:rPr>
                <w:rFonts w:ascii="Times New Roman" w:hAnsi="Times New Roman" w:cs="Times New Roman"/>
                <w:bCs/>
              </w:rPr>
              <w:t>2）绪论</w:t>
            </w:r>
          </w:p>
          <w:p>
            <w:pPr>
              <w:spacing w:line="360" w:lineRule="auto"/>
              <w:ind w:firstLine="420" w:firstLineChars="200"/>
              <w:rPr>
                <w:rFonts w:ascii="Times New Roman" w:hAnsi="Times New Roman" w:cs="Times New Roman"/>
                <w:bCs/>
              </w:rPr>
            </w:pPr>
            <w:r>
              <w:rPr>
                <w:rFonts w:ascii="Times New Roman" w:hAnsi="Times New Roman" w:cs="Times New Roman"/>
                <w:bCs/>
              </w:rPr>
              <w:t>3）相关技术介绍</w:t>
            </w:r>
          </w:p>
          <w:p>
            <w:pPr>
              <w:spacing w:line="360" w:lineRule="auto"/>
              <w:ind w:firstLine="420" w:firstLineChars="200"/>
              <w:rPr>
                <w:rFonts w:ascii="Times New Roman" w:hAnsi="Times New Roman" w:cs="Times New Roman"/>
                <w:bCs/>
              </w:rPr>
            </w:pPr>
            <w:r>
              <w:rPr>
                <w:rFonts w:ascii="Times New Roman" w:hAnsi="Times New Roman" w:cs="Times New Roman"/>
                <w:bCs/>
              </w:rPr>
              <w:t>4）硬件设计</w:t>
            </w:r>
          </w:p>
          <w:p>
            <w:pPr>
              <w:spacing w:line="360" w:lineRule="auto"/>
              <w:ind w:firstLine="420" w:firstLineChars="200"/>
              <w:rPr>
                <w:rFonts w:ascii="Times New Roman" w:hAnsi="Times New Roman" w:cs="Times New Roman"/>
                <w:bCs/>
              </w:rPr>
            </w:pPr>
            <w:r>
              <w:rPr>
                <w:rFonts w:ascii="Times New Roman" w:hAnsi="Times New Roman" w:cs="Times New Roman"/>
                <w:bCs/>
              </w:rPr>
              <w:t>5）软件设计</w:t>
            </w:r>
          </w:p>
          <w:p>
            <w:pPr>
              <w:spacing w:line="360" w:lineRule="auto"/>
              <w:ind w:firstLine="420" w:firstLineChars="200"/>
              <w:rPr>
                <w:rFonts w:ascii="Times New Roman" w:hAnsi="Times New Roman" w:cs="Times New Roman"/>
                <w:bCs/>
              </w:rPr>
            </w:pPr>
            <w:r>
              <w:rPr>
                <w:rFonts w:ascii="Times New Roman" w:hAnsi="Times New Roman" w:cs="Times New Roman"/>
                <w:bCs/>
              </w:rPr>
              <w:t>6）总结与展望</w:t>
            </w:r>
          </w:p>
          <w:p>
            <w:pPr>
              <w:spacing w:line="360" w:lineRule="auto"/>
              <w:ind w:firstLine="420" w:firstLineChars="200"/>
              <w:rPr>
                <w:rFonts w:ascii="Times New Roman" w:hAnsi="Times New Roman" w:cs="Times New Roman"/>
                <w:bCs/>
                <w:szCs w:val="21"/>
              </w:rPr>
            </w:pPr>
            <w:r>
              <w:rPr>
                <w:rFonts w:ascii="Times New Roman" w:hAnsi="Times New Roman" w:cs="Times New Roman"/>
                <w:bCs/>
              </w:rPr>
              <w:t>7）参考文献、附件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0" w:hRule="atLeast"/>
          <w:jc w:val="center"/>
        </w:trPr>
        <w:tc>
          <w:tcPr>
            <w:tcW w:w="8414" w:type="dxa"/>
            <w:gridSpan w:val="2"/>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cs="Times New Roman"/>
                <w:b/>
                <w:bCs/>
              </w:rPr>
            </w:pPr>
            <w:r>
              <w:rPr>
                <w:rFonts w:ascii="Times New Roman" w:hAnsi="Times New Roman" w:cs="Times New Roman"/>
                <w:b/>
                <w:bCs/>
              </w:rPr>
              <w:t>完成期限和预期进度：</w:t>
            </w:r>
          </w:p>
          <w:p>
            <w:pPr>
              <w:spacing w:line="360" w:lineRule="auto"/>
              <w:ind w:left="2083" w:leftChars="180" w:hanging="1705" w:hangingChars="812"/>
              <w:rPr>
                <w:rFonts w:ascii="Times New Roman" w:hAnsi="Times New Roman" w:cs="Times New Roman"/>
                <w:bCs/>
              </w:rPr>
            </w:pPr>
            <w:r>
              <w:rPr>
                <w:rFonts w:hint="eastAsia" w:ascii="Times New Roman" w:hAnsi="Times New Roman" w:cs="Times New Roman"/>
                <w:bCs/>
              </w:rPr>
              <w:t>1、选题：2017年10月31日前</w:t>
            </w:r>
          </w:p>
          <w:p>
            <w:pPr>
              <w:spacing w:line="360" w:lineRule="auto"/>
              <w:ind w:left="2083" w:leftChars="180" w:hanging="1705" w:hangingChars="812"/>
              <w:rPr>
                <w:rFonts w:ascii="Times New Roman" w:hAnsi="Times New Roman" w:cs="Times New Roman"/>
                <w:bCs/>
              </w:rPr>
            </w:pPr>
            <w:r>
              <w:rPr>
                <w:rFonts w:hint="eastAsia" w:ascii="Times New Roman" w:hAnsi="Times New Roman" w:cs="Times New Roman"/>
                <w:bCs/>
              </w:rPr>
              <w:t>2、下达任务书：2017年11月30日前</w:t>
            </w:r>
          </w:p>
          <w:p>
            <w:pPr>
              <w:spacing w:line="360" w:lineRule="auto"/>
              <w:ind w:left="2083" w:leftChars="180" w:hanging="1705" w:hangingChars="812"/>
              <w:rPr>
                <w:rFonts w:ascii="Times New Roman" w:hAnsi="Times New Roman" w:cs="Times New Roman"/>
                <w:bCs/>
              </w:rPr>
            </w:pPr>
            <w:r>
              <w:rPr>
                <w:rFonts w:hint="eastAsia" w:ascii="Times New Roman" w:hAnsi="Times New Roman" w:cs="Times New Roman"/>
                <w:bCs/>
              </w:rPr>
              <w:t>3、开题：2017年12月31日前</w:t>
            </w:r>
          </w:p>
          <w:p>
            <w:pPr>
              <w:spacing w:line="360" w:lineRule="auto"/>
              <w:ind w:left="2083" w:leftChars="180" w:hanging="1705" w:hangingChars="812"/>
              <w:rPr>
                <w:rFonts w:ascii="Times New Roman" w:hAnsi="Times New Roman" w:cs="Times New Roman"/>
                <w:bCs/>
              </w:rPr>
            </w:pPr>
            <w:r>
              <w:rPr>
                <w:rFonts w:hint="eastAsia" w:ascii="Times New Roman" w:hAnsi="Times New Roman" w:cs="Times New Roman"/>
                <w:bCs/>
              </w:rPr>
              <w:t>4、中期检查：2018年3月31日前</w:t>
            </w:r>
          </w:p>
          <w:p>
            <w:pPr>
              <w:spacing w:line="360" w:lineRule="auto"/>
              <w:ind w:left="2083" w:leftChars="180" w:hanging="1705" w:hangingChars="812"/>
              <w:rPr>
                <w:rFonts w:ascii="Times New Roman" w:hAnsi="Times New Roman" w:cs="Times New Roman"/>
                <w:bCs/>
              </w:rPr>
            </w:pPr>
            <w:r>
              <w:rPr>
                <w:rFonts w:hint="eastAsia" w:ascii="Times New Roman" w:hAnsi="Times New Roman" w:cs="Times New Roman"/>
                <w:bCs/>
              </w:rPr>
              <w:t>5、答辩与成绩评定：2018年5月20日- 5月30日</w:t>
            </w:r>
          </w:p>
          <w:p>
            <w:pPr>
              <w:spacing w:line="360" w:lineRule="auto"/>
              <w:ind w:left="2083" w:leftChars="180" w:hanging="1705" w:hangingChars="812"/>
              <w:rPr>
                <w:rFonts w:ascii="Times New Roman" w:hAnsi="Times New Roman" w:cs="Times New Roman"/>
                <w:bCs/>
              </w:rPr>
            </w:pPr>
            <w:r>
              <w:rPr>
                <w:rFonts w:hint="eastAsia" w:ascii="Times New Roman" w:hAnsi="Times New Roman" w:cs="Times New Roman"/>
                <w:bCs/>
              </w:rPr>
              <w:t>6、总结、归档及优秀毕业设计（论文）推荐：2018年6月8日前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1" w:hRule="atLeast"/>
          <w:jc w:val="center"/>
        </w:trPr>
        <w:tc>
          <w:tcPr>
            <w:tcW w:w="8414" w:type="dxa"/>
            <w:gridSpan w:val="2"/>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b/>
                <w:szCs w:val="21"/>
              </w:rPr>
            </w:pPr>
            <w:r>
              <w:rPr>
                <w:rFonts w:ascii="Times New Roman" w:hAnsi="Times New Roman" w:cs="Times New Roman"/>
                <w:b/>
                <w:szCs w:val="21"/>
              </w:rPr>
              <w:t>主要参考资料：</w:t>
            </w:r>
          </w:p>
          <w:p>
            <w:pPr>
              <w:spacing w:line="360" w:lineRule="auto"/>
              <w:rPr>
                <w:rFonts w:hint="eastAsia" w:asciiTheme="minorEastAsia" w:hAnsiTheme="minorEastAsia"/>
                <w:szCs w:val="21"/>
              </w:rPr>
            </w:pPr>
            <w:r>
              <w:rPr>
                <w:rFonts w:hint="eastAsia" w:asciiTheme="minorEastAsia" w:hAnsiTheme="minorEastAsia"/>
                <w:szCs w:val="21"/>
              </w:rPr>
              <w:t>[1]NB-IoT解决方案及应用研究[J].范乐昊,陈千.江苏通信,2016,32(06):51-53.</w:t>
            </w:r>
          </w:p>
          <w:p>
            <w:pPr>
              <w:spacing w:line="360" w:lineRule="auto"/>
              <w:rPr>
                <w:rFonts w:hint="eastAsia" w:asciiTheme="minorEastAsia" w:hAnsiTheme="minorEastAsia"/>
                <w:szCs w:val="21"/>
              </w:rPr>
            </w:pPr>
            <w:r>
              <w:rPr>
                <w:rFonts w:hint="eastAsia" w:asciiTheme="minorEastAsia" w:hAnsiTheme="minorEastAsia"/>
                <w:szCs w:val="21"/>
              </w:rPr>
              <w:t>[2]基于NB-IoT移动通信网络的“智慧水务”抄表系统[J].黄继文.广西水利水电,2018(04):90-93.</w:t>
            </w:r>
          </w:p>
          <w:p>
            <w:pPr>
              <w:spacing w:line="360" w:lineRule="auto"/>
              <w:rPr>
                <w:rFonts w:hint="eastAsia" w:asciiTheme="minorEastAsia" w:hAnsiTheme="minorEastAsia"/>
                <w:szCs w:val="21"/>
              </w:rPr>
            </w:pPr>
            <w:r>
              <w:rPr>
                <w:rFonts w:hint="eastAsia" w:asciiTheme="minorEastAsia" w:hAnsiTheme="minorEastAsia"/>
                <w:szCs w:val="21"/>
              </w:rPr>
              <w:t>[3]基于NB-IoT通信的无线远传燃气表设计[J].黄双峰,杨铮,李龙.煤气与热力,2018,38(08):31-33.</w:t>
            </w:r>
          </w:p>
          <w:p>
            <w:pPr>
              <w:spacing w:line="360" w:lineRule="auto"/>
              <w:rPr>
                <w:rFonts w:hint="eastAsia" w:asciiTheme="minorEastAsia" w:hAnsiTheme="minorEastAsia"/>
                <w:szCs w:val="21"/>
              </w:rPr>
            </w:pPr>
            <w:r>
              <w:rPr>
                <w:rFonts w:hint="eastAsia" w:asciiTheme="minorEastAsia" w:hAnsiTheme="minorEastAsia"/>
                <w:szCs w:val="21"/>
              </w:rPr>
              <w:t>[4]NB-IoT在智能水务的应用[J].蒋漓,刘津.广东通信技术,2018,38(07):57-61.</w:t>
            </w:r>
          </w:p>
          <w:p>
            <w:pPr>
              <w:spacing w:line="360" w:lineRule="auto"/>
              <w:rPr>
                <w:rFonts w:hint="eastAsia" w:asciiTheme="minorEastAsia" w:hAnsiTheme="minorEastAsia"/>
                <w:szCs w:val="21"/>
              </w:rPr>
            </w:pPr>
            <w:r>
              <w:rPr>
                <w:rFonts w:hint="eastAsia" w:asciiTheme="minorEastAsia" w:hAnsiTheme="minorEastAsia"/>
                <w:szCs w:val="21"/>
              </w:rPr>
              <w:t>[5]基于NB-IoT远程抄表设计研究[J].何昌鸿,李星.电子质量,2017(12):69-71+76.</w:t>
            </w:r>
          </w:p>
          <w:p>
            <w:pPr>
              <w:spacing w:line="360" w:lineRule="auto"/>
              <w:rPr>
                <w:rFonts w:hint="eastAsia" w:asciiTheme="minorEastAsia" w:hAnsiTheme="minorEastAsia"/>
                <w:szCs w:val="21"/>
              </w:rPr>
            </w:pPr>
            <w:r>
              <w:rPr>
                <w:rFonts w:hint="eastAsia" w:asciiTheme="minorEastAsia" w:hAnsiTheme="minorEastAsia"/>
                <w:szCs w:val="21"/>
              </w:rPr>
              <w:t>[6]浅析NB-IoT技术和LoRa技术在智能抄表中的应用[J].谭丹,田仲平,张文涛.物联网技术,2018,8(04):76-78+81.</w:t>
            </w:r>
          </w:p>
          <w:p>
            <w:pPr>
              <w:spacing w:line="360" w:lineRule="auto"/>
              <w:rPr>
                <w:rFonts w:asciiTheme="minorEastAsia" w:hAnsiTheme="minorEastAsia"/>
                <w:sz w:val="24"/>
                <w:szCs w:val="24"/>
              </w:rPr>
            </w:pPr>
            <w:r>
              <w:rPr>
                <w:rFonts w:hint="eastAsia" w:asciiTheme="minorEastAsia" w:hAnsiTheme="minorEastAsia"/>
                <w:szCs w:val="21"/>
              </w:rPr>
              <w:t>[7]NB-IoT物联网覆盖增强技术及在远程抄表系统中的应用[J].林芳.电子世界,2017(14):124+126.</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0" w:hRule="atLeast"/>
          <w:jc w:val="center"/>
        </w:trPr>
        <w:tc>
          <w:tcPr>
            <w:tcW w:w="8414" w:type="dxa"/>
            <w:gridSpan w:val="2"/>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cs="Times New Roman"/>
                <w:b/>
                <w:sz w:val="18"/>
              </w:rPr>
            </w:pPr>
            <w:r>
              <w:rPr>
                <w:rFonts w:ascii="Times New Roman" w:hAnsi="Times New Roman" w:cs="Times New Roman"/>
                <w:b/>
              </w:rPr>
              <w:t>指导教师意见</w:t>
            </w:r>
            <w:r>
              <w:rPr>
                <w:rFonts w:ascii="Times New Roman" w:hAnsi="Times New Roman" w:cs="Times New Roman"/>
                <w:b/>
                <w:sz w:val="18"/>
              </w:rPr>
              <w:t>：</w:t>
            </w:r>
          </w:p>
          <w:p>
            <w:pPr>
              <w:rPr>
                <w:rFonts w:ascii="Times New Roman" w:hAnsi="Times New Roman" w:cs="Times New Roman"/>
                <w:b/>
                <w:bCs/>
                <w:sz w:val="18"/>
              </w:rPr>
            </w:pPr>
          </w:p>
          <w:p>
            <w:pPr>
              <w:rPr>
                <w:rFonts w:ascii="Times New Roman" w:hAnsi="Times New Roman" w:cs="Times New Roman"/>
                <w:b/>
                <w:bCs/>
                <w:sz w:val="18"/>
              </w:rPr>
            </w:pPr>
          </w:p>
          <w:p>
            <w:pPr>
              <w:rPr>
                <w:rFonts w:ascii="Times New Roman" w:hAnsi="Times New Roman" w:cs="Times New Roman"/>
                <w:b/>
                <w:bCs/>
                <w:sz w:val="18"/>
              </w:rPr>
            </w:pPr>
          </w:p>
          <w:p>
            <w:pPr>
              <w:rPr>
                <w:rFonts w:ascii="Times New Roman" w:hAnsi="Times New Roman" w:cs="Times New Roman"/>
                <w:b/>
                <w:bCs/>
                <w:sz w:val="18"/>
              </w:rPr>
            </w:pPr>
          </w:p>
          <w:p>
            <w:pPr>
              <w:rPr>
                <w:rFonts w:ascii="Times New Roman" w:hAnsi="Times New Roman" w:cs="Times New Roman"/>
                <w:b/>
                <w:bCs/>
                <w:sz w:val="18"/>
              </w:rPr>
            </w:pPr>
          </w:p>
          <w:p>
            <w:pPr>
              <w:rPr>
                <w:rFonts w:ascii="Times New Roman" w:hAnsi="Times New Roman" w:cs="Times New Roman"/>
                <w:b/>
                <w:bCs/>
                <w:sz w:val="18"/>
              </w:rPr>
            </w:pPr>
          </w:p>
          <w:p>
            <w:pPr>
              <w:spacing w:after="120" w:afterLines="50"/>
              <w:rPr>
                <w:rFonts w:ascii="Times New Roman" w:hAnsi="Times New Roman" w:cs="Times New Roman"/>
                <w:b/>
                <w:bCs/>
                <w:sz w:val="18"/>
              </w:rPr>
            </w:pPr>
            <w:r>
              <w:rPr>
                <w:rFonts w:ascii="Times New Roman" w:hAnsi="Times New Roman" w:cs="Times New Roman"/>
                <w:b/>
                <w:bCs/>
                <w:sz w:val="18"/>
              </w:rPr>
              <w:t xml:space="preserve">                                           </w:t>
            </w: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bCs/>
                <w:sz w:val="18"/>
              </w:rPr>
            </w:pPr>
          </w:p>
          <w:p>
            <w:pPr>
              <w:spacing w:after="120" w:afterLines="50"/>
              <w:rPr>
                <w:rFonts w:ascii="Times New Roman" w:hAnsi="Times New Roman" w:cs="Times New Roman"/>
                <w:b/>
                <w:sz w:val="18"/>
              </w:rPr>
            </w:pPr>
            <w:r>
              <w:rPr>
                <w:rFonts w:ascii="Times New Roman" w:hAnsi="Times New Roman" w:cs="Times New Roman"/>
                <w:b/>
                <w:bCs/>
                <w:sz w:val="18"/>
              </w:rPr>
              <w:t xml:space="preserve">  </w:t>
            </w:r>
            <w:r>
              <w:rPr>
                <w:rFonts w:ascii="Times New Roman" w:hAnsi="Times New Roman" w:cs="Times New Roman"/>
                <w:sz w:val="18"/>
              </w:rPr>
              <w:t xml:space="preserve">                                            </w:t>
            </w:r>
            <w:r>
              <w:rPr>
                <w:rFonts w:ascii="Times New Roman" w:hAnsi="Times New Roman" w:cs="Times New Roman"/>
                <w:b/>
                <w:sz w:val="18"/>
              </w:rPr>
              <w:t xml:space="preserve"> 签名：                年      月     日</w:t>
            </w:r>
          </w:p>
        </w:tc>
      </w:tr>
    </w:tbl>
    <w:p/>
    <w:tbl>
      <w:tblPr>
        <w:tblStyle w:val="5"/>
        <w:tblW w:w="90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6"/>
        <w:gridCol w:w="181"/>
        <w:gridCol w:w="1440"/>
        <w:gridCol w:w="1080"/>
        <w:gridCol w:w="1255"/>
        <w:gridCol w:w="813"/>
        <w:gridCol w:w="478"/>
        <w:gridCol w:w="1414"/>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9021" w:type="dxa"/>
            <w:gridSpan w:val="9"/>
            <w:vAlign w:val="center"/>
          </w:tcPr>
          <w:p>
            <w:pPr>
              <w:ind w:firstLine="482"/>
              <w:jc w:val="center"/>
              <w:rPr>
                <w:b/>
                <w:bCs/>
              </w:rPr>
            </w:pPr>
            <w:r>
              <w:rPr>
                <w:rFonts w:hint="eastAsia"/>
                <w:b/>
                <w:bCs/>
              </w:rPr>
              <w:t>开  题  报  告  会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27" w:type="dxa"/>
            <w:gridSpan w:val="2"/>
            <w:vAlign w:val="center"/>
          </w:tcPr>
          <w:p>
            <w:pPr>
              <w:jc w:val="center"/>
              <w:rPr>
                <w:b/>
                <w:bCs/>
                <w:sz w:val="18"/>
              </w:rPr>
            </w:pPr>
            <w:r>
              <w:rPr>
                <w:rFonts w:hint="eastAsia"/>
                <w:b/>
                <w:bCs/>
                <w:sz w:val="18"/>
              </w:rPr>
              <w:t>时</w:t>
            </w:r>
            <w:r>
              <w:rPr>
                <w:b/>
                <w:bCs/>
                <w:sz w:val="18"/>
              </w:rPr>
              <w:t xml:space="preserve"> </w:t>
            </w:r>
            <w:r>
              <w:rPr>
                <w:rFonts w:hint="eastAsia"/>
                <w:b/>
                <w:bCs/>
                <w:sz w:val="18"/>
              </w:rPr>
              <w:t>间</w:t>
            </w:r>
          </w:p>
        </w:tc>
        <w:tc>
          <w:tcPr>
            <w:tcW w:w="3775" w:type="dxa"/>
            <w:gridSpan w:val="3"/>
            <w:vAlign w:val="center"/>
          </w:tcPr>
          <w:p>
            <w:pPr>
              <w:ind w:firstLine="361"/>
              <w:jc w:val="center"/>
              <w:rPr>
                <w:rFonts w:asciiTheme="minorEastAsia" w:hAnsiTheme="minorEastAsia"/>
                <w:bCs/>
                <w:sz w:val="18"/>
              </w:rPr>
            </w:pPr>
            <w:r>
              <w:rPr>
                <w:rFonts w:hint="eastAsia" w:asciiTheme="minorEastAsia" w:hAnsiTheme="minorEastAsia"/>
                <w:bCs/>
                <w:sz w:val="18"/>
              </w:rPr>
              <w:t>2017年11月5日</w:t>
            </w:r>
          </w:p>
        </w:tc>
        <w:tc>
          <w:tcPr>
            <w:tcW w:w="813" w:type="dxa"/>
            <w:vAlign w:val="center"/>
          </w:tcPr>
          <w:p>
            <w:pPr>
              <w:jc w:val="center"/>
              <w:rPr>
                <w:b/>
                <w:bCs/>
                <w:sz w:val="18"/>
              </w:rPr>
            </w:pPr>
            <w:r>
              <w:rPr>
                <w:rFonts w:hint="eastAsia"/>
                <w:b/>
                <w:bCs/>
                <w:sz w:val="18"/>
              </w:rPr>
              <w:t>地 点</w:t>
            </w:r>
          </w:p>
        </w:tc>
        <w:tc>
          <w:tcPr>
            <w:tcW w:w="3106" w:type="dxa"/>
            <w:gridSpan w:val="3"/>
            <w:vAlign w:val="center"/>
          </w:tcPr>
          <w:p>
            <w:pPr>
              <w:ind w:firstLine="361"/>
              <w:jc w:val="center"/>
              <w:rPr>
                <w:bCs/>
                <w:sz w:val="18"/>
              </w:rPr>
            </w:pPr>
            <w:r>
              <w:rPr>
                <w:rFonts w:hint="eastAsia"/>
                <w:bCs/>
                <w:sz w:val="18"/>
              </w:rPr>
              <w:t>E3A110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4" w:hRule="atLeast"/>
          <w:jc w:val="center"/>
        </w:trPr>
        <w:tc>
          <w:tcPr>
            <w:tcW w:w="1327" w:type="dxa"/>
            <w:gridSpan w:val="2"/>
            <w:vMerge w:val="restart"/>
            <w:vAlign w:val="center"/>
          </w:tcPr>
          <w:p>
            <w:pPr>
              <w:ind w:firstLine="361"/>
              <w:jc w:val="center"/>
              <w:rPr>
                <w:b/>
                <w:bCs/>
                <w:sz w:val="18"/>
              </w:rPr>
            </w:pPr>
            <w:r>
              <w:rPr>
                <w:rFonts w:hint="eastAsia"/>
                <w:b/>
                <w:bCs/>
                <w:sz w:val="18"/>
              </w:rPr>
              <w:t>参</w:t>
            </w:r>
          </w:p>
          <w:p>
            <w:pPr>
              <w:ind w:firstLine="361"/>
              <w:jc w:val="center"/>
              <w:rPr>
                <w:b/>
                <w:bCs/>
                <w:sz w:val="18"/>
              </w:rPr>
            </w:pPr>
            <w:r>
              <w:rPr>
                <w:rFonts w:hint="eastAsia"/>
                <w:b/>
                <w:bCs/>
                <w:sz w:val="18"/>
              </w:rPr>
              <w:t>与</w:t>
            </w:r>
          </w:p>
          <w:p>
            <w:pPr>
              <w:ind w:firstLine="361"/>
              <w:jc w:val="center"/>
              <w:rPr>
                <w:b/>
                <w:bCs/>
                <w:sz w:val="18"/>
              </w:rPr>
            </w:pPr>
            <w:r>
              <w:rPr>
                <w:rFonts w:hint="eastAsia"/>
                <w:b/>
                <w:bCs/>
                <w:sz w:val="18"/>
              </w:rPr>
              <w:t>会</w:t>
            </w:r>
          </w:p>
          <w:p>
            <w:pPr>
              <w:ind w:firstLine="361"/>
              <w:jc w:val="center"/>
              <w:rPr>
                <w:b/>
                <w:bCs/>
                <w:sz w:val="18"/>
              </w:rPr>
            </w:pPr>
            <w:r>
              <w:rPr>
                <w:rFonts w:hint="eastAsia"/>
                <w:b/>
                <w:bCs/>
                <w:sz w:val="18"/>
              </w:rPr>
              <w:t>人</w:t>
            </w:r>
          </w:p>
          <w:p>
            <w:pPr>
              <w:ind w:firstLine="361"/>
              <w:jc w:val="center"/>
              <w:rPr>
                <w:b/>
                <w:bCs/>
                <w:sz w:val="18"/>
              </w:rPr>
            </w:pPr>
            <w:r>
              <w:rPr>
                <w:rFonts w:hint="eastAsia"/>
                <w:b/>
                <w:bCs/>
                <w:sz w:val="18"/>
              </w:rPr>
              <w:t>员</w:t>
            </w:r>
          </w:p>
        </w:tc>
        <w:tc>
          <w:tcPr>
            <w:tcW w:w="1440" w:type="dxa"/>
            <w:vAlign w:val="center"/>
          </w:tcPr>
          <w:p>
            <w:pPr>
              <w:ind w:firstLine="361"/>
              <w:jc w:val="center"/>
              <w:rPr>
                <w:b/>
                <w:bCs/>
                <w:sz w:val="18"/>
              </w:rPr>
            </w:pPr>
            <w:r>
              <w:rPr>
                <w:rFonts w:hint="eastAsia"/>
                <w:b/>
                <w:bCs/>
                <w:sz w:val="18"/>
              </w:rPr>
              <w:t>姓</w:t>
            </w:r>
            <w:r>
              <w:rPr>
                <w:b/>
                <w:bCs/>
                <w:sz w:val="18"/>
              </w:rPr>
              <w:t xml:space="preserve">  </w:t>
            </w:r>
            <w:r>
              <w:rPr>
                <w:rFonts w:hint="eastAsia"/>
                <w:b/>
                <w:bCs/>
                <w:sz w:val="18"/>
              </w:rPr>
              <w:t>名</w:t>
            </w:r>
          </w:p>
        </w:tc>
        <w:tc>
          <w:tcPr>
            <w:tcW w:w="1080" w:type="dxa"/>
            <w:vAlign w:val="center"/>
          </w:tcPr>
          <w:p>
            <w:pPr>
              <w:jc w:val="center"/>
              <w:rPr>
                <w:b/>
                <w:bCs/>
                <w:sz w:val="18"/>
              </w:rPr>
            </w:pPr>
            <w:r>
              <w:rPr>
                <w:rFonts w:hint="eastAsia"/>
                <w:b/>
                <w:bCs/>
                <w:sz w:val="18"/>
              </w:rPr>
              <w:t>职务(职称)</w:t>
            </w:r>
          </w:p>
        </w:tc>
        <w:tc>
          <w:tcPr>
            <w:tcW w:w="1255" w:type="dxa"/>
            <w:vAlign w:val="center"/>
          </w:tcPr>
          <w:p>
            <w:pPr>
              <w:jc w:val="center"/>
              <w:rPr>
                <w:b/>
                <w:bCs/>
                <w:sz w:val="18"/>
              </w:rPr>
            </w:pPr>
            <w:r>
              <w:rPr>
                <w:rFonts w:hint="eastAsia"/>
                <w:b/>
                <w:bCs/>
                <w:sz w:val="18"/>
              </w:rPr>
              <w:t>姓   名</w:t>
            </w:r>
          </w:p>
        </w:tc>
        <w:tc>
          <w:tcPr>
            <w:tcW w:w="1291" w:type="dxa"/>
            <w:gridSpan w:val="2"/>
            <w:vAlign w:val="center"/>
          </w:tcPr>
          <w:p>
            <w:pPr>
              <w:rPr>
                <w:b/>
                <w:bCs/>
                <w:sz w:val="18"/>
              </w:rPr>
            </w:pPr>
            <w:r>
              <w:rPr>
                <w:rFonts w:hint="eastAsia"/>
                <w:b/>
                <w:bCs/>
                <w:sz w:val="18"/>
              </w:rPr>
              <w:t>职务（职称）</w:t>
            </w:r>
          </w:p>
        </w:tc>
        <w:tc>
          <w:tcPr>
            <w:tcW w:w="1414" w:type="dxa"/>
            <w:vAlign w:val="center"/>
          </w:tcPr>
          <w:p>
            <w:pPr>
              <w:ind w:firstLine="361"/>
              <w:jc w:val="center"/>
              <w:rPr>
                <w:b/>
                <w:bCs/>
                <w:sz w:val="18"/>
              </w:rPr>
            </w:pPr>
            <w:r>
              <w:rPr>
                <w:rFonts w:hint="eastAsia"/>
                <w:b/>
                <w:bCs/>
                <w:sz w:val="18"/>
              </w:rPr>
              <w:t>姓   名</w:t>
            </w:r>
          </w:p>
        </w:tc>
        <w:tc>
          <w:tcPr>
            <w:tcW w:w="1214" w:type="dxa"/>
            <w:vAlign w:val="center"/>
          </w:tcPr>
          <w:p>
            <w:pPr>
              <w:jc w:val="center"/>
              <w:rPr>
                <w:b/>
                <w:bCs/>
                <w:sz w:val="18"/>
              </w:rPr>
            </w:pPr>
            <w:r>
              <w:rPr>
                <w:rFonts w:hint="eastAsia"/>
                <w:b/>
                <w:bCs/>
                <w:sz w:val="18"/>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9" w:hRule="atLeast"/>
          <w:jc w:val="center"/>
        </w:trPr>
        <w:tc>
          <w:tcPr>
            <w:tcW w:w="1327" w:type="dxa"/>
            <w:gridSpan w:val="2"/>
            <w:vMerge w:val="continue"/>
            <w:vAlign w:val="center"/>
          </w:tcPr>
          <w:p>
            <w:pPr>
              <w:ind w:firstLine="361"/>
              <w:jc w:val="center"/>
              <w:rPr>
                <w:b/>
                <w:bCs/>
                <w:sz w:val="18"/>
              </w:rPr>
            </w:pPr>
          </w:p>
        </w:tc>
        <w:tc>
          <w:tcPr>
            <w:tcW w:w="1440" w:type="dxa"/>
            <w:vAlign w:val="center"/>
          </w:tcPr>
          <w:p>
            <w:pPr>
              <w:jc w:val="center"/>
              <w:rPr>
                <w:rFonts w:asciiTheme="minorEastAsia" w:hAnsiTheme="minorEastAsia"/>
                <w:bCs/>
                <w:sz w:val="18"/>
              </w:rPr>
            </w:pPr>
            <w:r>
              <w:rPr>
                <w:rFonts w:hint="eastAsia" w:asciiTheme="minorEastAsia" w:hAnsiTheme="minorEastAsia"/>
                <w:bCs/>
                <w:sz w:val="18"/>
              </w:rPr>
              <w:t>李建奇</w:t>
            </w:r>
          </w:p>
        </w:tc>
        <w:tc>
          <w:tcPr>
            <w:tcW w:w="1080" w:type="dxa"/>
            <w:vAlign w:val="center"/>
          </w:tcPr>
          <w:p>
            <w:pPr>
              <w:jc w:val="center"/>
              <w:rPr>
                <w:rFonts w:asciiTheme="minorEastAsia" w:hAnsiTheme="minorEastAsia"/>
                <w:bCs/>
                <w:sz w:val="18"/>
              </w:rPr>
            </w:pPr>
            <w:r>
              <w:rPr>
                <w:rFonts w:hint="eastAsia" w:asciiTheme="minorEastAsia" w:hAnsiTheme="minorEastAsia"/>
                <w:bCs/>
                <w:sz w:val="18"/>
              </w:rPr>
              <w:t>教授</w:t>
            </w:r>
          </w:p>
        </w:tc>
        <w:tc>
          <w:tcPr>
            <w:tcW w:w="1255" w:type="dxa"/>
            <w:vAlign w:val="center"/>
          </w:tcPr>
          <w:p>
            <w:pPr>
              <w:ind w:firstLine="361"/>
              <w:jc w:val="center"/>
              <w:rPr>
                <w:b/>
                <w:bCs/>
                <w:sz w:val="18"/>
              </w:rPr>
            </w:pPr>
          </w:p>
        </w:tc>
        <w:tc>
          <w:tcPr>
            <w:tcW w:w="1291" w:type="dxa"/>
            <w:gridSpan w:val="2"/>
            <w:vAlign w:val="center"/>
          </w:tcPr>
          <w:p>
            <w:pPr>
              <w:ind w:firstLine="361"/>
              <w:jc w:val="center"/>
              <w:rPr>
                <w:b/>
                <w:bCs/>
                <w:sz w:val="18"/>
              </w:rPr>
            </w:pPr>
          </w:p>
        </w:tc>
        <w:tc>
          <w:tcPr>
            <w:tcW w:w="1414" w:type="dxa"/>
            <w:vAlign w:val="center"/>
          </w:tcPr>
          <w:p>
            <w:pPr>
              <w:ind w:firstLine="361"/>
              <w:jc w:val="center"/>
              <w:rPr>
                <w:b/>
                <w:bCs/>
                <w:sz w:val="18"/>
              </w:rPr>
            </w:pPr>
          </w:p>
        </w:tc>
        <w:tc>
          <w:tcPr>
            <w:tcW w:w="1214" w:type="dxa"/>
            <w:vAlign w:val="center"/>
          </w:tcPr>
          <w:p>
            <w:pPr>
              <w:ind w:firstLine="361"/>
              <w:jc w:val="center"/>
              <w:rPr>
                <w:b/>
                <w:bCs/>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2" w:hRule="atLeast"/>
          <w:jc w:val="center"/>
        </w:trPr>
        <w:tc>
          <w:tcPr>
            <w:tcW w:w="1327" w:type="dxa"/>
            <w:gridSpan w:val="2"/>
            <w:vMerge w:val="continue"/>
            <w:vAlign w:val="center"/>
          </w:tcPr>
          <w:p>
            <w:pPr>
              <w:ind w:firstLine="361"/>
              <w:jc w:val="center"/>
              <w:rPr>
                <w:b/>
                <w:bCs/>
                <w:sz w:val="18"/>
              </w:rPr>
            </w:pPr>
          </w:p>
        </w:tc>
        <w:tc>
          <w:tcPr>
            <w:tcW w:w="1440" w:type="dxa"/>
            <w:vAlign w:val="center"/>
          </w:tcPr>
          <w:p>
            <w:pPr>
              <w:jc w:val="center"/>
              <w:rPr>
                <w:rFonts w:asciiTheme="minorEastAsia" w:hAnsiTheme="minorEastAsia"/>
                <w:bCs/>
                <w:sz w:val="18"/>
              </w:rPr>
            </w:pPr>
            <w:r>
              <w:rPr>
                <w:rFonts w:hint="eastAsia" w:asciiTheme="minorEastAsia" w:hAnsiTheme="minorEastAsia"/>
                <w:bCs/>
                <w:sz w:val="18"/>
              </w:rPr>
              <w:t>蔡明山</w:t>
            </w:r>
          </w:p>
        </w:tc>
        <w:tc>
          <w:tcPr>
            <w:tcW w:w="1080" w:type="dxa"/>
            <w:vAlign w:val="center"/>
          </w:tcPr>
          <w:p>
            <w:pPr>
              <w:jc w:val="center"/>
              <w:rPr>
                <w:rFonts w:asciiTheme="minorEastAsia" w:hAnsiTheme="minorEastAsia"/>
                <w:bCs/>
                <w:sz w:val="18"/>
              </w:rPr>
            </w:pPr>
            <w:r>
              <w:rPr>
                <w:rFonts w:hint="eastAsia" w:asciiTheme="minorEastAsia" w:hAnsiTheme="minorEastAsia"/>
                <w:bCs/>
                <w:sz w:val="18"/>
              </w:rPr>
              <w:t>教授</w:t>
            </w:r>
          </w:p>
        </w:tc>
        <w:tc>
          <w:tcPr>
            <w:tcW w:w="1255" w:type="dxa"/>
            <w:vAlign w:val="center"/>
          </w:tcPr>
          <w:p>
            <w:pPr>
              <w:ind w:firstLine="361"/>
              <w:jc w:val="center"/>
              <w:rPr>
                <w:b/>
                <w:bCs/>
                <w:sz w:val="18"/>
              </w:rPr>
            </w:pPr>
          </w:p>
        </w:tc>
        <w:tc>
          <w:tcPr>
            <w:tcW w:w="1291" w:type="dxa"/>
            <w:gridSpan w:val="2"/>
            <w:vAlign w:val="center"/>
          </w:tcPr>
          <w:p>
            <w:pPr>
              <w:ind w:firstLine="361"/>
              <w:jc w:val="center"/>
              <w:rPr>
                <w:b/>
                <w:bCs/>
                <w:sz w:val="18"/>
              </w:rPr>
            </w:pPr>
          </w:p>
        </w:tc>
        <w:tc>
          <w:tcPr>
            <w:tcW w:w="1414" w:type="dxa"/>
            <w:vAlign w:val="center"/>
          </w:tcPr>
          <w:p>
            <w:pPr>
              <w:ind w:firstLine="361"/>
              <w:jc w:val="center"/>
              <w:rPr>
                <w:b/>
                <w:bCs/>
                <w:sz w:val="18"/>
              </w:rPr>
            </w:pPr>
          </w:p>
        </w:tc>
        <w:tc>
          <w:tcPr>
            <w:tcW w:w="1214" w:type="dxa"/>
            <w:vAlign w:val="center"/>
          </w:tcPr>
          <w:p>
            <w:pPr>
              <w:ind w:firstLine="361"/>
              <w:jc w:val="center"/>
              <w:rPr>
                <w:b/>
                <w:bCs/>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8" w:hRule="atLeast"/>
          <w:jc w:val="center"/>
        </w:trPr>
        <w:tc>
          <w:tcPr>
            <w:tcW w:w="1327" w:type="dxa"/>
            <w:gridSpan w:val="2"/>
            <w:vMerge w:val="continue"/>
            <w:vAlign w:val="center"/>
          </w:tcPr>
          <w:p>
            <w:pPr>
              <w:ind w:firstLine="361"/>
              <w:jc w:val="center"/>
              <w:rPr>
                <w:b/>
                <w:bCs/>
                <w:sz w:val="18"/>
              </w:rPr>
            </w:pPr>
          </w:p>
        </w:tc>
        <w:tc>
          <w:tcPr>
            <w:tcW w:w="1440" w:type="dxa"/>
            <w:vAlign w:val="center"/>
          </w:tcPr>
          <w:p>
            <w:pPr>
              <w:jc w:val="center"/>
              <w:rPr>
                <w:rFonts w:asciiTheme="minorEastAsia" w:hAnsiTheme="minorEastAsia"/>
                <w:bCs/>
                <w:sz w:val="18"/>
              </w:rPr>
            </w:pPr>
            <w:r>
              <w:rPr>
                <w:rFonts w:hint="eastAsia" w:asciiTheme="minorEastAsia" w:hAnsiTheme="minorEastAsia"/>
                <w:bCs/>
                <w:sz w:val="18"/>
              </w:rPr>
              <w:t>李建英</w:t>
            </w:r>
          </w:p>
        </w:tc>
        <w:tc>
          <w:tcPr>
            <w:tcW w:w="1080" w:type="dxa"/>
            <w:vAlign w:val="center"/>
          </w:tcPr>
          <w:p>
            <w:pPr>
              <w:jc w:val="center"/>
              <w:rPr>
                <w:rFonts w:asciiTheme="minorEastAsia" w:hAnsiTheme="minorEastAsia"/>
                <w:bCs/>
                <w:sz w:val="18"/>
              </w:rPr>
            </w:pPr>
            <w:r>
              <w:rPr>
                <w:rFonts w:hint="eastAsia" w:asciiTheme="minorEastAsia" w:hAnsiTheme="minorEastAsia"/>
                <w:bCs/>
                <w:sz w:val="18"/>
              </w:rPr>
              <w:t>博士</w:t>
            </w:r>
          </w:p>
        </w:tc>
        <w:tc>
          <w:tcPr>
            <w:tcW w:w="1255" w:type="dxa"/>
            <w:vAlign w:val="center"/>
          </w:tcPr>
          <w:p>
            <w:pPr>
              <w:ind w:firstLine="361"/>
              <w:jc w:val="center"/>
              <w:rPr>
                <w:b/>
                <w:bCs/>
                <w:sz w:val="18"/>
              </w:rPr>
            </w:pPr>
          </w:p>
        </w:tc>
        <w:tc>
          <w:tcPr>
            <w:tcW w:w="1291" w:type="dxa"/>
            <w:gridSpan w:val="2"/>
            <w:vAlign w:val="center"/>
          </w:tcPr>
          <w:p>
            <w:pPr>
              <w:ind w:firstLine="361"/>
              <w:jc w:val="center"/>
              <w:rPr>
                <w:b/>
                <w:bCs/>
                <w:sz w:val="18"/>
              </w:rPr>
            </w:pPr>
          </w:p>
        </w:tc>
        <w:tc>
          <w:tcPr>
            <w:tcW w:w="1414" w:type="dxa"/>
            <w:vAlign w:val="center"/>
          </w:tcPr>
          <w:p>
            <w:pPr>
              <w:ind w:firstLine="361"/>
              <w:jc w:val="center"/>
              <w:rPr>
                <w:b/>
                <w:bCs/>
                <w:sz w:val="18"/>
              </w:rPr>
            </w:pPr>
          </w:p>
        </w:tc>
        <w:tc>
          <w:tcPr>
            <w:tcW w:w="1214" w:type="dxa"/>
            <w:vAlign w:val="center"/>
          </w:tcPr>
          <w:p>
            <w:pPr>
              <w:ind w:firstLine="361"/>
              <w:jc w:val="center"/>
              <w:rPr>
                <w:b/>
                <w:bCs/>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27" w:type="dxa"/>
            <w:gridSpan w:val="2"/>
            <w:vMerge w:val="continue"/>
            <w:vAlign w:val="center"/>
          </w:tcPr>
          <w:p>
            <w:pPr>
              <w:ind w:firstLine="361"/>
              <w:jc w:val="center"/>
              <w:rPr>
                <w:b/>
                <w:bCs/>
                <w:sz w:val="18"/>
              </w:rPr>
            </w:pPr>
          </w:p>
        </w:tc>
        <w:tc>
          <w:tcPr>
            <w:tcW w:w="1440" w:type="dxa"/>
            <w:vAlign w:val="center"/>
          </w:tcPr>
          <w:p>
            <w:pPr>
              <w:ind w:firstLine="361"/>
              <w:jc w:val="center"/>
              <w:rPr>
                <w:b/>
                <w:bCs/>
                <w:sz w:val="18"/>
              </w:rPr>
            </w:pPr>
          </w:p>
        </w:tc>
        <w:tc>
          <w:tcPr>
            <w:tcW w:w="1080" w:type="dxa"/>
            <w:vAlign w:val="center"/>
          </w:tcPr>
          <w:p>
            <w:pPr>
              <w:ind w:firstLine="361"/>
              <w:jc w:val="center"/>
              <w:rPr>
                <w:b/>
                <w:bCs/>
                <w:sz w:val="18"/>
              </w:rPr>
            </w:pPr>
          </w:p>
        </w:tc>
        <w:tc>
          <w:tcPr>
            <w:tcW w:w="1255" w:type="dxa"/>
            <w:vAlign w:val="center"/>
          </w:tcPr>
          <w:p>
            <w:pPr>
              <w:ind w:firstLine="361"/>
              <w:jc w:val="center"/>
              <w:rPr>
                <w:b/>
                <w:bCs/>
                <w:sz w:val="18"/>
              </w:rPr>
            </w:pPr>
          </w:p>
        </w:tc>
        <w:tc>
          <w:tcPr>
            <w:tcW w:w="1291" w:type="dxa"/>
            <w:gridSpan w:val="2"/>
            <w:vAlign w:val="center"/>
          </w:tcPr>
          <w:p>
            <w:pPr>
              <w:ind w:firstLine="361"/>
              <w:jc w:val="center"/>
              <w:rPr>
                <w:b/>
                <w:bCs/>
                <w:sz w:val="18"/>
              </w:rPr>
            </w:pPr>
          </w:p>
        </w:tc>
        <w:tc>
          <w:tcPr>
            <w:tcW w:w="1414" w:type="dxa"/>
            <w:vAlign w:val="center"/>
          </w:tcPr>
          <w:p>
            <w:pPr>
              <w:ind w:firstLine="361"/>
              <w:jc w:val="center"/>
              <w:rPr>
                <w:b/>
                <w:bCs/>
                <w:sz w:val="18"/>
              </w:rPr>
            </w:pPr>
          </w:p>
        </w:tc>
        <w:tc>
          <w:tcPr>
            <w:tcW w:w="1214" w:type="dxa"/>
            <w:vAlign w:val="center"/>
          </w:tcPr>
          <w:p>
            <w:pPr>
              <w:ind w:firstLine="361"/>
              <w:jc w:val="center"/>
              <w:rPr>
                <w:b/>
                <w:bCs/>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18" w:hRule="atLeast"/>
          <w:jc w:val="center"/>
        </w:trPr>
        <w:tc>
          <w:tcPr>
            <w:tcW w:w="9021" w:type="dxa"/>
            <w:gridSpan w:val="9"/>
            <w:tcBorders>
              <w:top w:val="nil"/>
            </w:tcBorders>
          </w:tcPr>
          <w:p>
            <w:pPr>
              <w:rPr>
                <w:b/>
                <w:bCs/>
                <w:sz w:val="18"/>
              </w:rPr>
            </w:pPr>
            <w:r>
              <w:rPr>
                <w:rFonts w:hint="eastAsia"/>
                <w:b/>
                <w:bCs/>
              </w:rPr>
              <w:t>会议记录摘要：</w:t>
            </w:r>
          </w:p>
          <w:p>
            <w:pPr>
              <w:ind w:firstLine="361"/>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r>
              <w:rPr>
                <w:rFonts w:hint="eastAsia"/>
                <w:b/>
                <w:bCs/>
                <w:sz w:val="18"/>
              </w:rPr>
              <w:t xml:space="preserve">                                                           会议主持人：</w:t>
            </w:r>
          </w:p>
          <w:p>
            <w:pPr>
              <w:ind w:firstLine="361"/>
              <w:rPr>
                <w:b/>
                <w:bCs/>
                <w:sz w:val="18"/>
              </w:rPr>
            </w:pPr>
            <w:r>
              <w:rPr>
                <w:rFonts w:hint="eastAsia"/>
                <w:b/>
                <w:bCs/>
                <w:sz w:val="18"/>
              </w:rPr>
              <w:t xml:space="preserve">                                                       记  录  人：</w:t>
            </w:r>
          </w:p>
          <w:p>
            <w:pPr>
              <w:rPr>
                <w:b/>
                <w:bCs/>
                <w:sz w:val="18"/>
              </w:rPr>
            </w:pPr>
          </w:p>
          <w:p>
            <w:pPr>
              <w:ind w:firstLine="361"/>
              <w:rPr>
                <w:b/>
                <w:bCs/>
                <w:sz w:val="18"/>
              </w:rPr>
            </w:pPr>
            <w:r>
              <w:rPr>
                <w:rFonts w:hint="eastAsia"/>
                <w:b/>
                <w:bCs/>
                <w:sz w:val="1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1" w:hRule="atLeast"/>
          <w:jc w:val="center"/>
        </w:trPr>
        <w:tc>
          <w:tcPr>
            <w:tcW w:w="1146" w:type="dxa"/>
            <w:vAlign w:val="center"/>
          </w:tcPr>
          <w:p>
            <w:pPr>
              <w:jc w:val="center"/>
              <w:rPr>
                <w:b/>
                <w:bCs/>
                <w:sz w:val="18"/>
              </w:rPr>
            </w:pPr>
            <w:r>
              <w:rPr>
                <w:rFonts w:hint="eastAsia"/>
                <w:b/>
                <w:bCs/>
                <w:sz w:val="18"/>
              </w:rPr>
              <w:t>系工作小组意见</w:t>
            </w:r>
          </w:p>
        </w:tc>
        <w:tc>
          <w:tcPr>
            <w:tcW w:w="7875" w:type="dxa"/>
            <w:gridSpan w:val="8"/>
          </w:tcPr>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rPr>
                <w:b/>
                <w:bCs/>
                <w:sz w:val="18"/>
              </w:rPr>
            </w:pPr>
          </w:p>
          <w:p>
            <w:pPr>
              <w:ind w:firstLine="361"/>
              <w:rPr>
                <w:b/>
                <w:bCs/>
                <w:sz w:val="18"/>
              </w:rPr>
            </w:pPr>
            <w:r>
              <w:rPr>
                <w:rFonts w:hint="eastAsia"/>
                <w:b/>
                <w:bCs/>
                <w:sz w:val="18"/>
              </w:rPr>
              <w:t xml:space="preserve">                                                  负责人签名：</w:t>
            </w:r>
          </w:p>
          <w:p>
            <w:pPr>
              <w:ind w:firstLine="361"/>
              <w:rPr>
                <w:b/>
                <w:bCs/>
                <w:sz w:val="18"/>
              </w:rPr>
            </w:pPr>
            <w:r>
              <w:rPr>
                <w:rFonts w:hint="eastAsia"/>
                <w:b/>
                <w:bCs/>
                <w:sz w:val="18"/>
              </w:rPr>
              <w:t xml:space="preserve">     </w:t>
            </w:r>
            <w:r>
              <w:rPr>
                <w:b/>
                <w:bCs/>
                <w:sz w:val="18"/>
              </w:rPr>
              <w:t xml:space="preserve">                                              </w:t>
            </w:r>
            <w:r>
              <w:rPr>
                <w:rFonts w:hint="eastAsia"/>
                <w:b/>
                <w:bCs/>
                <w:sz w:val="18"/>
              </w:rPr>
              <w:t xml:space="preserve">              年    月     日</w:t>
            </w:r>
          </w:p>
        </w:tc>
      </w:tr>
    </w:tbl>
    <w:p/>
    <w:sectPr>
      <w:type w:val="continuous"/>
      <w:pgSz w:w="11906" w:h="16838"/>
      <w:pgMar w:top="1134" w:right="1418" w:bottom="1134" w:left="1418"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23"/>
    <w:rsid w:val="00013C73"/>
    <w:rsid w:val="00017BE3"/>
    <w:rsid w:val="000371AA"/>
    <w:rsid w:val="000571E5"/>
    <w:rsid w:val="0007500E"/>
    <w:rsid w:val="00076A94"/>
    <w:rsid w:val="0008203A"/>
    <w:rsid w:val="000A54EC"/>
    <w:rsid w:val="000C1823"/>
    <w:rsid w:val="000F55EB"/>
    <w:rsid w:val="00150CC3"/>
    <w:rsid w:val="00155208"/>
    <w:rsid w:val="00163701"/>
    <w:rsid w:val="00197F30"/>
    <w:rsid w:val="001A200C"/>
    <w:rsid w:val="001F6A08"/>
    <w:rsid w:val="00236A98"/>
    <w:rsid w:val="002439D5"/>
    <w:rsid w:val="0025435D"/>
    <w:rsid w:val="00331F2B"/>
    <w:rsid w:val="0033332E"/>
    <w:rsid w:val="00387AE4"/>
    <w:rsid w:val="00387F47"/>
    <w:rsid w:val="004024A4"/>
    <w:rsid w:val="00407257"/>
    <w:rsid w:val="00444BCE"/>
    <w:rsid w:val="00475258"/>
    <w:rsid w:val="004D58AA"/>
    <w:rsid w:val="004E02EF"/>
    <w:rsid w:val="004F6836"/>
    <w:rsid w:val="00552E49"/>
    <w:rsid w:val="005633EF"/>
    <w:rsid w:val="00567013"/>
    <w:rsid w:val="00572DB5"/>
    <w:rsid w:val="00591C47"/>
    <w:rsid w:val="00593C1D"/>
    <w:rsid w:val="005A0FBA"/>
    <w:rsid w:val="005B4AF5"/>
    <w:rsid w:val="005B7134"/>
    <w:rsid w:val="005E22D1"/>
    <w:rsid w:val="00621629"/>
    <w:rsid w:val="00667988"/>
    <w:rsid w:val="006B0729"/>
    <w:rsid w:val="006C2E2D"/>
    <w:rsid w:val="006D0288"/>
    <w:rsid w:val="006D51E9"/>
    <w:rsid w:val="00722ACD"/>
    <w:rsid w:val="00761B1A"/>
    <w:rsid w:val="00845416"/>
    <w:rsid w:val="00872339"/>
    <w:rsid w:val="008B0BE8"/>
    <w:rsid w:val="008C3AE3"/>
    <w:rsid w:val="008E58A4"/>
    <w:rsid w:val="0093179F"/>
    <w:rsid w:val="00940094"/>
    <w:rsid w:val="009B3E06"/>
    <w:rsid w:val="009C42E3"/>
    <w:rsid w:val="00A25353"/>
    <w:rsid w:val="00A6248E"/>
    <w:rsid w:val="00A81EF6"/>
    <w:rsid w:val="00B10B81"/>
    <w:rsid w:val="00B31C91"/>
    <w:rsid w:val="00B501C1"/>
    <w:rsid w:val="00B501CE"/>
    <w:rsid w:val="00B659CD"/>
    <w:rsid w:val="00B938A8"/>
    <w:rsid w:val="00C40EBD"/>
    <w:rsid w:val="00C530C4"/>
    <w:rsid w:val="00CB3F55"/>
    <w:rsid w:val="00CC2C1A"/>
    <w:rsid w:val="00D207FA"/>
    <w:rsid w:val="00D70401"/>
    <w:rsid w:val="00D964DA"/>
    <w:rsid w:val="00DC4F94"/>
    <w:rsid w:val="00E34785"/>
    <w:rsid w:val="00E3662F"/>
    <w:rsid w:val="00E76F82"/>
    <w:rsid w:val="00E876DB"/>
    <w:rsid w:val="00EA3C5A"/>
    <w:rsid w:val="00EB3594"/>
    <w:rsid w:val="00ED4E2E"/>
    <w:rsid w:val="00EE7E72"/>
    <w:rsid w:val="00F13C31"/>
    <w:rsid w:val="00F3659C"/>
    <w:rsid w:val="00FA21CF"/>
    <w:rsid w:val="32103EE4"/>
    <w:rsid w:val="4062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customStyle="1" w:styleId="8">
    <w:name w:val="Char"/>
    <w:basedOn w:val="1"/>
    <w:uiPriority w:val="0"/>
    <w:pPr>
      <w:widowControl/>
      <w:spacing w:after="160" w:line="240" w:lineRule="exact"/>
      <w:jc w:val="left"/>
    </w:pPr>
    <w:rPr>
      <w:rFonts w:ascii="Verdana" w:hAnsi="Verdana" w:eastAsia="仿宋_GB2312" w:cs="Times New Roman"/>
      <w:kern w:val="0"/>
      <w:sz w:val="24"/>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AA8FC3-63AB-454E-9042-DC76F372B82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718</Words>
  <Characters>4099</Characters>
  <Lines>34</Lines>
  <Paragraphs>9</Paragraphs>
  <TotalTime>0</TotalTime>
  <ScaleCrop>false</ScaleCrop>
  <LinksUpToDate>false</LinksUpToDate>
  <CharactersWithSpaces>4808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2017-11-05T09:12:00Z</dcterms:created>
  <dc:creator>PC</dc:creator>
  <cp:lastModifiedBy>笑队three</cp:lastModifiedBy>
  <dcterms:modified xsi:type="dcterms:W3CDTF">2018-12-29T09:21:44Z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