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36c16b" w14:textId="3236c16b">
      <w:pPr>
        <w:pStyle w:val="Heading1"/>
        <w:spacing w:after="0"/>
        <w:ind w:left="0"/>
        <w:jc w:val="left"/>
        <w15:collapsed w:val="false"/>
      </w:pPr>
      <w:r>
        <w:rPr>
          <w:rFonts w:ascii="Times New Roman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pStyle w:val="Heading2"/>
        <w:spacing w:after="0"/>
        <w:ind w:left="0"/>
        <w:jc w:val="left"/>
      </w:pPr>
      <w:r>
        <w:rPr>
          <w:rFonts w:ascii="Times New Roman"/>
          <w:color w:val="000000"/>
        </w:rPr>
        <w:t xml:space="preserve"> Dependencies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pStyle w:val="Heading2"/>
        <w:spacing w:after="0"/>
        <w:ind w:left="0"/>
        <w:jc w:val="left"/>
      </w:pPr>
      <w:r>
        <w:rPr>
          <w:rFonts w:ascii="Times New Roman"/>
          <w:color w:val="000000"/>
        </w:rPr>
        <w:t xml:space="preserve"> Features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