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Documento_de_Especificao_Arquitetural_Si_1" w:id="1"/>
      <w:r>
        <w:rPr>
          <w:color w:val="000000"/>
          <w:sz w:val="32"/>
          <w:szCs w:val="32"/>
          <w:rtl w:val="false"/>
        </w:rPr>
        <w:t xml:space="preserve">Documento de Especificação Arquitetural — Sistema SafePlace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Discentes:</w:t>
      </w:r>
      <w:r>
        <w:rPr>
          <w:color w:val="000000"/>
          <w:sz w:val="24"/>
          <w:szCs w:val="24"/>
          <w:rtl w:val="false"/>
        </w:rPr>
        <w:t xml:space="preserve"> Izabel de Oliveira Boaventura, Luan Rodrigues Martins, Mariana Ferrão Chuquel, Rafaela de Menezes, Tauani Ximenes Sauceda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Docente:</w:t>
      </w:r>
      <w:r>
        <w:rPr>
          <w:color w:val="000000"/>
          <w:sz w:val="24"/>
          <w:szCs w:val="24"/>
          <w:rtl w:val="false"/>
        </w:rPr>
        <w:t xml:space="preserve"> Gilleanes Thorwald Araujo Guedes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Disciplina:</w:t>
      </w:r>
      <w:r>
        <w:rPr>
          <w:color w:val="000000"/>
          <w:sz w:val="24"/>
          <w:szCs w:val="24"/>
          <w:rtl w:val="false"/>
        </w:rPr>
        <w:t xml:space="preserve"> Análise e Projeto de Software — 2026/01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Sistema:</w:t>
      </w:r>
      <w:r>
        <w:rPr>
          <w:color w:val="000000"/>
          <w:sz w:val="24"/>
          <w:szCs w:val="24"/>
          <w:rtl w:val="false"/>
        </w:rPr>
        <w:t xml:space="preserve"> SafePlace — Sistema de Segurança do Trabalho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Este documento apresenta a especificação dos Requisitos Não-Funcionais (RNFs) e a fundamentação do Padrão Arquitetural adotado para o desenvolvimento do sistema SafePlace. O objetivo deste artefato é garantir que a estrutura do software alinhe-se rigorosamente às necessidades de desempenho, segurança, conformidade legal e escalabilidade exigidas pelo projeto.</w:t>
      </w:r>
    </w:p>
    <w:p>
      <w:pPr>
        <w:pStyle w:val="2"/>
        <w:pStyle w:val="Heading2"/>
        <w:bidi w:val="false"/>
        <w:spacing w:after="120" w:before="240"/>
      </w:pPr>
      <w:bookmarkStart w:name="_Toc__1_Requisitos_NoFuncionais_RNFs_2" w:id="1"/>
      <w:r>
        <w:rPr>
          <w:color w:val="000000"/>
          <w:sz w:val="28"/>
          <w:szCs w:val="28"/>
          <w:rtl w:val="false"/>
        </w:rPr>
        <w:t xml:space="preserve">1. Requisitos Não-Funcionais (RNFs)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Os requisitos a seguir delimitam os critérios de qualidade, restrições técnicas e níveis de serviço que o ecossistema SafePlace deve cumprir.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Código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Requisito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Descrição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Tempo de resposta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responder às interações do usuário em até 3 segundos em condições normais de uso, e em até 1 segundo para consultas simples de estoque e cadastros.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Monitoramento em tempo real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processar e exibir dados de sensores ambientais com latência máxima de 500 milissegundos, garantindo respostas imediatas em situações de emergência.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Capacidade de usuários simultâneos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suportar ao menos 200 usuários simultâneos sem degradação perceptível de desempenho, sendo escalável conforme o crescimento da organização.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Controle de acesso por perfil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implementar controle de acesso baseado em perfis (RBAC), restringindo funcionalidades conforme o papel do usuário, sendo eles: operador, gestor de segurança e administrador.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Criptografia de dados sensíveis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Todos os dados sensíveis, como atestados de saúde, CATs, históricos de acidentes e mídias anexadas, devem ser armazenados e transmitidos com criptografia AES-256 e protocolo HTTPS com TLS 1.3.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Rastreabilidade de ações (auditoria)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manter log imutável de todas as operações de criação, edição e exclusão de registros, com identificação do usuário responsável, data, hora e dado alterado, armazenado por no mínimo 5 anos.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Disponibilidade mínima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garantir disponibilidade de 99,5% (uptime), com janela de manutenção planejada de no máximo 4 horas mensais, preferencialmente fora do horário de expediente.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RNF08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Backup e recuperação de dados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realizar backup automático diário dos dados, com capacidade de recuperação (RPO) de até 24 horas e tempo de restauração (RTO) de até 4 horas em caso de falha crítica.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RNF09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Funcionamento offline 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 funcionalidades críticas de registro de acidentes e incidentes devem operar em modo offline por meio de recursos de Progressive Web App (PWA), armazenando os dados localmente no dispositivo e sincronizando automaticamente com o servidor quando a conexão for restabelecida. Funcionalidades que dependem de processamento em tempo real ficam indisponíveis durante a ausência de conexão.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Conformidade com normas regulamentadoras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ser aderente às Normas Regulamentadoras do MTE aplicáveis, especialmente NR-1, NR-6 e NR-9, à LGPD (Lei 13.709/2018) para dados pessoais de saúde, e à legislação previdenciária aplicável à emissão de CAT.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RNF11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Integridade dos documentos gerados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Os documentos gerados pelo sistema, como relatórios, CATs e laudos, devem conter assinatura digital ou hash de integridade para garantir autenticidade perante órgãos fiscalizadores.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Interface responsiva e acessível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 interface do sistema deve ser responsiva, funcionando adequadamente em dispositivos desktop, tablet e mobile, e deve seguir as diretrizes de acessibilidade WCAG 2.1 nível AA, permitindo uso por pessoas com deficiências visuais ou motoras.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RNF13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Facilidade de aprendizado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Um usuário com conhecimento básico de informática deve ser capaz de realizar as tarefas principais do sistema após no máximo 2 horas de treinamento.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RNF14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Suporte multilíngue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oferecer interface em português do Brasil como idioma padrão, com possibilidade de expansão para espanhol e inglês sem necessidade de refatoração do código-fonte.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Modularidade e extensibilidade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ser desenvolvido em arquitetura modular, permitindo a adição de novos módulos sem impacto nas demais funcionalidades já existentes.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RNF16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Documentação técnica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possuir documentação técnica atualizada, contemplando API, modelo de dados e arquitetura, de forma que um desenvolvedor externo consiga compreender e realizar manutenções sem suporte da equipe original em até 5 dias úteis.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RNF17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Compatibilidade com navegadores e sistemas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web deve ser compatível com as duas versões mais recentes do Chrome, Firefox, Edge e Safari, e deve poder ser implantado em ambientes com Linux e Windows Server.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RNF18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Integração via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sistema deve expor uma API RESTful documentada no padrão OpenAPI 3.0 para integração com sistemas externos, como ERPs, sistemas de RH e plataformas de sensores IoT, utilizando autenticação OAuth 2.0.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_Padro_Arquitetural_Adotado_Arquitetur_3" w:id="1"/>
      <w:r>
        <w:rPr>
          <w:color w:val="000000"/>
          <w:sz w:val="28"/>
          <w:szCs w:val="28"/>
          <w:rtl w:val="false"/>
        </w:rPr>
        <w:t xml:space="preserve">2. Padrão Arquitetural Adotado: Arquitetura Híbrida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SafePlace adota uma </w:t>
      </w:r>
      <w:r>
        <w:rPr>
          <w:b/>
          <w:bCs/>
          <w:color w:val="000000"/>
          <w:sz w:val="24"/>
          <w:szCs w:val="24"/>
          <w:rtl w:val="false"/>
        </w:rPr>
        <w:t xml:space="preserve">Arquitetura Híbrida</w:t>
      </w:r>
      <w:r>
        <w:rPr>
          <w:color w:val="000000"/>
          <w:sz w:val="24"/>
          <w:szCs w:val="24"/>
          <w:rtl w:val="false"/>
        </w:rPr>
        <w:t xml:space="preserve"> baseada em Camadas Lógicas organizadas de forma descendente, com a incorporação de Fronteiras Hexagonais (Ports &amp; Adapters) para isolar o domínio de negócios, e um Barramento de Mensageria Orientado a Eventos (Event-Driven Architecture — EDA) para o processamento em tempo real.</w:t>
      </w:r>
    </w:p>
    <w:p>
      <w:pPr>
        <w:pStyle w:val="3"/>
        <w:pStyle w:val="Heading3"/>
        <w:bidi w:val="false"/>
        <w:spacing w:after="120" w:before="240"/>
      </w:pPr>
      <w:bookmarkStart w:name="_Toc__21_Por_que_arquitetura_em_camadas_como__4" w:id="1"/>
      <w:r>
        <w:rPr>
          <w:color w:val="000000"/>
          <w:sz w:val="24"/>
          <w:szCs w:val="24"/>
          <w:rtl w:val="false"/>
        </w:rPr>
        <w:t xml:space="preserve">2.1. Por que arquitetura em camadas como base?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esmagadora maioria dos requisitos (RF03 a RF07, RF09, RF11, RF12, RF14 a RF23) é essencialmente CRUD com regras de negócio — gestão de estoque, treinamentos, documentos, relatórios, CAT, validade de ASOs. Esses requisitos se encaixam perfeitamente em camadas bem separadas (apresentação → aplicação → domínio → infraestrutura), que é o padrão mais didático, manutenível e adequado para equipes acadêmicas e empresas de médio porte. Atende diretamente ao RNF15 (modularidade) e RNF16 (documentação/manutenibilidade).</w:t>
      </w:r>
    </w:p>
    <w:p>
      <w:pPr>
        <w:pStyle w:val="3"/>
        <w:pStyle w:val="Heading3"/>
        <w:bidi w:val="false"/>
        <w:spacing w:after="120" w:before="240"/>
      </w:pPr>
      <w:bookmarkStart w:name="_Toc__22_Justificativa_da_Escolha_da_Arquitet_5" w:id="1"/>
      <w:r>
        <w:rPr>
          <w:color w:val="000000"/>
          <w:sz w:val="24"/>
          <w:szCs w:val="24"/>
          <w:rtl w:val="false"/>
        </w:rPr>
        <w:t xml:space="preserve">2.2. Justificativa da Escolha da Arquitetura Híbrida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fusão de conceitos de Camadas, Hexagonal e Eventos foi escolhida de forma estratégica para balancear a simplicidade de desenvolvimento de uma equipe de médio porte/acadêmica com o rigor tecnológico exigido pelos requisitos de negócios: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Camadas Lógicas (Macro-organização):</w:t>
      </w:r>
      <w:r>
        <w:rPr>
          <w:color w:val="000000"/>
          <w:sz w:val="24"/>
          <w:szCs w:val="24"/>
          <w:rtl w:val="false"/>
        </w:rPr>
        <w:t xml:space="preserve"> A esmagadora maioria dos requisitos do SafePlace refere-se a operações transacionais tradicionais (CRUD) com regras de negócio para gestão de estoque, treinamentos, documentos, laudos e emissão de CAT. A divisão macro em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apresentacao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aplicacao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dominio</w:t>
      </w:r>
      <w:r>
        <w:rPr>
          <w:color w:val="000000"/>
          <w:sz w:val="24"/>
          <w:szCs w:val="24"/>
          <w:rtl w:val="false"/>
        </w:rPr>
        <w:t xml:space="preserve"> 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infraestrutura</w:t>
      </w:r>
      <w:r>
        <w:rPr>
          <w:color w:val="000000"/>
          <w:sz w:val="24"/>
          <w:szCs w:val="24"/>
          <w:rtl w:val="false"/>
        </w:rPr>
        <w:t xml:space="preserve"> provê uma excelente separação de conceitos, acelerando o desenvolvimento e facilitando a manutenibilidade (RNF15 e RNF16).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Inversão de Dependência e Fronteiras Hexagonais (Isolamento de Negócio e LGPD):</w:t>
      </w:r>
      <w:r>
        <w:rPr>
          <w:color w:val="000000"/>
          <w:sz w:val="24"/>
          <w:szCs w:val="24"/>
          <w:rtl w:val="false"/>
        </w:rPr>
        <w:t xml:space="preserve"> Para garantir o cumprimento do RNF10 (LGPD e Normas Regulamentadoras) e do RNF15 (Extensibilidade), o domínio não pode depender de detalhes de infraestrutura. Por isso, isolamos o domínio por meio de interfaces de repositórios (Portas de saída, ex: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IRepositorioDeSensor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IRepositorioDeAcidente</w:t>
      </w:r>
      <w:r>
        <w:rPr>
          <w:color w:val="000000"/>
          <w:sz w:val="24"/>
          <w:szCs w:val="24"/>
          <w:rtl w:val="false"/>
        </w:rPr>
        <w:t xml:space="preserve">). A infraestrutura (Adaptadores de persistência) implementa esses contratos. As comunicações com sistemas legados e telemetria são feitas de forma desacoplada por meio de adaptadores específicos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AdaptadorDeSensorIOT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AdaptadorERP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AdaptadorESocial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Barramento de Eventos (Tempo Real e Desempenho):</w:t>
      </w:r>
      <w:r>
        <w:rPr>
          <w:color w:val="000000"/>
          <w:sz w:val="24"/>
          <w:szCs w:val="24"/>
          <w:rtl w:val="false"/>
        </w:rPr>
        <w:t xml:space="preserve"> O monitoramento ambiental em tempo real (RNF02 — latência máxima de 500 ms) e os alertas automáticos reativos não podem rodar em caminhos de requisição/resposta síncronos convencionais. O módulo de mensageria (infraestrutura) consome sinais assíncronos que são disparados para 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dominio.eventos</w:t>
      </w:r>
      <w:r>
        <w:rPr>
          <w:color w:val="000000"/>
          <w:sz w:val="24"/>
          <w:szCs w:val="24"/>
          <w:rtl w:val="false"/>
        </w:rPr>
        <w:t xml:space="preserve"> (ex: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SensorCriticoDetetado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EmergenciaAtivada</w:t>
      </w:r>
      <w:r>
        <w:rPr>
          <w:color w:val="000000"/>
          <w:sz w:val="24"/>
          <w:szCs w:val="24"/>
          <w:rtl w:val="false"/>
        </w:rPr>
        <w:t xml:space="preserve">). Os manipuladores correspondentes na camada de aplicação processam essas mensagens sem onerar ou travar as operações transacionais do sistema.</w:t>
      </w:r>
    </w:p>
    <w:p>
      <w:pPr>
        <w:pStyle w:val="2"/>
        <w:pStyle w:val="Heading2"/>
        <w:bidi w:val="false"/>
        <w:spacing w:after="120" w:before="240"/>
      </w:pPr>
      <w:bookmarkStart w:name="_Toc__3_Comparativo_de_Padres_Arquiteturais_6" w:id="1"/>
      <w:r>
        <w:rPr>
          <w:color w:val="000000"/>
          <w:sz w:val="28"/>
          <w:szCs w:val="28"/>
          <w:rtl w:val="false"/>
        </w:rPr>
        <w:t xml:space="preserve">3. Comparativo de Padrões Arquiteturais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tabela abaixo detalha e justifica por que a combinação híbrida adotada é superior aos padrões puristas concorrentes para o cenário do SafePlace.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Padrão Arquitetural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Descrição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Por que não é o melhor caminho isolado para o SafePlace?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Camadas Puro (Pure Layered)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Organiza o sistema em níveis horizontais estritos (Apresentação, Negócio, Persistência), onde o fluxo e as dependências são lineares.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Cria acoplamento direto entre as regras de negócio e a tecnologia de banco de dados, violando o RNF15. Não oferece suporte para processamento reativo assíncrono; forçar telemetria IoT em canais síncronos gera gargalos e estoura o limite de 500 ms (RNF02).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Microsserviços (Microservices)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Divisão do sistema em dezenas de serviços independentes, cada um com sua base de dados e ciclo de deploy.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Introduz complexidade operacional desproporcional ao porte do sistema (Kubernetes, service mesh, transações distribuídas). O sistema exige consistência transacional rápida entre acidentes, EPIs e funcionários, o que tornaria o microsserviço inviável para 200 usuários simultâneos (RNF03).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Monolítico Puro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Aplicação construída em bloco único sem separação formal de camadas, com lógica de negócio misturada à interface.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Não atende à modularidade exigida pelo RNF15 nem à latência de tempo real para sensores (RNF02). Misturar lógica transacional e processamento contínuo de sensores em uma única estrutura inviabilizaria a escalabilidade seletiva e a segurança.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Event-Driven Puro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Toda a comunicação ocorre por mensagens assíncronas, sem chamadas síncronas entre os módulos.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Adequado para módulos reativos (sensores, alertas), mas inviável como arquitetura base única. Operações transacionais cruciais como emissão de CAT (RNF11), controle de estoques e de ASOs exigem feedback síncrono imediato para o usuário.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Hexagonal Puro (Ports &amp; Adapters)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Domínio isolado do mundo externo por portas (interfaces) e adaptadores (implementações).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Utilizado parcialmente como pilar da nossa solução híbrida. Adotá-lo de forma purista em 100% dos fluxos CRUD simples adicionaria um overhead desnecessário de mapeamento de objetos para uma equipe de médio porte/acadêmica. A solução híbrida usa o Hexagonal estritamente nas fronteiras onde há volatilidade técnica (sensores, integrações ERP/eSocial, persistência).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Clean Architecture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Organiza o sistema em anéis concêntricos impondo a regra rígida de dependências de fora para dentro.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Muito conceitual e robusta, mas exige um grande volume de código boilerplate (interactors, presenters, boundaries) que eleva drasticamente a curva de aprendizado da equipe em termos acadêmicos, sem entregar valor prático superior à arquitetura híbrida proposta.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MVC (Model-View-Controller)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Separação clássica em dados (Model), telas (View) e fluxos de controle (Controller).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É um padrão de apresentação, não uma arquitetura corporativa completa. Não dita como tratar persistência, auditoria de 5 anos (RNF06), regras regulamentadoras complexas (RNF10) ou sensores IoT em tempo real (RNF02). O MVC é incorporado dentro do pacote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apresentacao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como padrão de design de interface.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4_Diagramas_Arquiteturais_do_Sistema_7" w:id="1"/>
      <w:r>
        <w:rPr>
          <w:color w:val="000000"/>
          <w:sz w:val="28"/>
          <w:szCs w:val="28"/>
          <w:rtl w:val="false"/>
        </w:rPr>
        <w:t xml:space="preserve">4. Diagramas Arquiteturais do Sistema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Toda a modelagem do sistema SafePlace foi desenvolvida utilizando a ferramenta </w:t>
      </w:r>
      <w:r>
        <w:rPr>
          <w:b/>
          <w:bCs/>
          <w:color w:val="000000"/>
          <w:sz w:val="24"/>
          <w:szCs w:val="24"/>
          <w:rtl w:val="false"/>
        </w:rPr>
        <w:t xml:space="preserve">Astah</w:t>
      </w:r>
      <w:r>
        <w:rPr>
          <w:color w:val="000000"/>
          <w:sz w:val="24"/>
          <w:szCs w:val="24"/>
          <w:rtl w:val="false"/>
        </w:rPr>
        <w:t xml:space="preserve">. Esta seção apresenta as visões estáticas e dinâmicas da arquitetura, divididas por escopo de representação do software.</w:t>
      </w:r>
    </w:p>
    <w:p>
      <w:pPr>
        <w:pStyle w:val="3"/>
        <w:pStyle w:val="Heading3"/>
        <w:bidi w:val="false"/>
        <w:spacing w:after="120" w:before="240"/>
      </w:pPr>
      <w:bookmarkStart w:name="_Toc__41_Diagrama_de_Pacotes_Arquitetura_8" w:id="1"/>
      <w:r>
        <w:rPr>
          <w:color w:val="000000"/>
          <w:sz w:val="24"/>
          <w:szCs w:val="24"/>
          <w:rtl w:val="false"/>
        </w:rPr>
        <w:t xml:space="preserve">4.1. Diagrama de Pacotes (Arquitetura)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(Diagrama disponível na ferramenta Astah — visão estática da organização dos pacotes do sistema.)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2026-07-03T05:37:33.364Z</dcterms:created>
  <dcterms:modified xsi:type="dcterms:W3CDTF">2026-07-03T05:37:33.364Z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