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Microsoft YaHei" w:hAnsi="Microsoft YaHei" w:eastAsia="微软雅黑"/>
          <w:b/>
          <w:color w:val="2E74B5"/>
          <w:sz w:val="20"/>
        </w:rPr>
        <w:t>技术方案 / PHASE 1</w:t>
      </w:r>
    </w:p>
    <w:p>
      <w:pPr>
        <w:pStyle w:val="Title"/>
      </w:pPr>
      <w:r>
        <w:rPr>
          <w:rFonts w:ascii="Microsoft YaHei" w:hAnsi="Microsoft YaHei" w:eastAsia="微软雅黑"/>
          <w:b/>
          <w:color w:val="243447"/>
          <w:sz w:val="50"/>
        </w:rPr>
        <w:t>通用审批流微服务</w:t>
      </w:r>
    </w:p>
    <w:p>
      <w:pPr>
        <w:pStyle w:val="Subtitle"/>
      </w:pPr>
      <w:r>
        <w:rPr>
          <w:rFonts w:ascii="Microsoft YaHei" w:hAnsi="Microsoft YaHei" w:eastAsia="微软雅黑"/>
          <w:color w:val="667085"/>
          <w:sz w:val="26"/>
        </w:rPr>
        <w:t>第一阶段：轻量级可用版本（MVP）技术方案</w:t>
      </w:r>
    </w:p>
    <w:p>
      <w:pPr>
        <w:spacing w:after="40"/>
      </w:pPr>
      <w:r>
        <w:rPr>
          <w:rFonts w:ascii="Microsoft YaHei" w:hAnsi="Microsoft YaHei" w:eastAsia="微软雅黑"/>
          <w:b/>
          <w:color w:val="243447"/>
          <w:sz w:val="21"/>
        </w:rPr>
        <w:t>文档版本：</w:t>
      </w:r>
      <w:r>
        <w:rPr>
          <w:rFonts w:ascii="Microsoft YaHei" w:hAnsi="Microsoft YaHei" w:eastAsia="微软雅黑"/>
          <w:color w:val="243447"/>
          <w:sz w:val="21"/>
        </w:rPr>
        <w:t>V0.1</w:t>
      </w:r>
    </w:p>
    <w:p>
      <w:pPr>
        <w:spacing w:after="40"/>
      </w:pPr>
      <w:r>
        <w:rPr>
          <w:rFonts w:ascii="Microsoft YaHei" w:hAnsi="Microsoft YaHei" w:eastAsia="微软雅黑"/>
          <w:b/>
          <w:color w:val="243447"/>
          <w:sz w:val="21"/>
        </w:rPr>
        <w:t>文档状态：</w:t>
      </w:r>
      <w:r>
        <w:rPr>
          <w:rFonts w:ascii="Microsoft YaHei" w:hAnsi="Microsoft YaHei" w:eastAsia="微软雅黑"/>
          <w:color w:val="243447"/>
          <w:sz w:val="21"/>
        </w:rPr>
        <w:t>方案草案 / 可用于立项评审</w:t>
      </w:r>
    </w:p>
    <w:p>
      <w:pPr>
        <w:spacing w:after="40"/>
      </w:pPr>
      <w:r>
        <w:rPr>
          <w:rFonts w:ascii="Microsoft YaHei" w:hAnsi="Microsoft YaHei" w:eastAsia="微软雅黑"/>
          <w:b/>
          <w:color w:val="243447"/>
          <w:sz w:val="21"/>
        </w:rPr>
        <w:t>编制日期：</w:t>
      </w:r>
      <w:r>
        <w:rPr>
          <w:rFonts w:ascii="Microsoft YaHei" w:hAnsi="Microsoft YaHei" w:eastAsia="微软雅黑"/>
          <w:color w:val="243447"/>
          <w:sz w:val="21"/>
        </w:rPr>
        <w:t>2026-08-15</w:t>
      </w:r>
    </w:p>
    <w:p>
      <w:pPr>
        <w:spacing w:after="40"/>
      </w:pPr>
      <w:r>
        <w:rPr>
          <w:rFonts w:ascii="Microsoft YaHei" w:hAnsi="Microsoft YaHei" w:eastAsia="微软雅黑"/>
          <w:b/>
          <w:color w:val="243447"/>
          <w:sz w:val="21"/>
        </w:rPr>
        <w:t>目标读者：</w:t>
      </w:r>
      <w:r>
        <w:rPr>
          <w:rFonts w:ascii="Microsoft YaHei" w:hAnsi="Microsoft YaHei" w:eastAsia="微软雅黑"/>
          <w:color w:val="243447"/>
          <w:sz w:val="21"/>
        </w:rPr>
        <w:t>产品负责人、技术负责人、架构师、研发与测试团队</w:t>
      </w:r>
    </w:p>
    <w:p>
      <w:pPr>
        <w:spacing w:after="40"/>
      </w:pPr>
      <w:r>
        <w:rPr>
          <w:rFonts w:ascii="Microsoft YaHei" w:hAnsi="Microsoft YaHei" w:eastAsia="微软雅黑"/>
          <w:b/>
          <w:color w:val="243447"/>
          <w:sz w:val="21"/>
        </w:rPr>
        <w:t>建议周期：</w:t>
      </w:r>
      <w:r>
        <w:rPr>
          <w:rFonts w:ascii="Microsoft YaHei" w:hAnsi="Microsoft YaHei" w:eastAsia="微软雅黑"/>
          <w:color w:val="243447"/>
          <w:sz w:val="21"/>
        </w:rPr>
        <w:t>10-12 周，按团队规模可调整</w:t>
      </w:r>
    </w:p>
    <w:p>
      <w:pPr>
        <w:spacing w:after="80"/>
      </w:pPr>
    </w:p>
    <w:p>
      <w:pPr>
        <w:keepLines/>
        <w:spacing w:before="100" w:after="160" w:line="264" w:lineRule="auto"/>
        <w:ind w:left="115" w:right="115"/>
        <w:shd w:fill="E8EEF5"/>
        <w:pBdr>
          <w:left w:val="single" w:sz="18" w:space="8" w:color="1F4D78"/>
        </w:pBdr>
      </w:pPr>
      <w:r>
        <w:rPr>
          <w:rFonts w:ascii="Microsoft YaHei" w:hAnsi="Microsoft YaHei" w:eastAsia="微软雅黑"/>
          <w:b/>
          <w:color w:val="1F4D78"/>
          <w:sz w:val="21"/>
        </w:rPr>
        <w:t xml:space="preserve">核心建议  </w:t>
      </w:r>
      <w:r>
        <w:rPr>
          <w:rFonts w:ascii="Microsoft YaHei" w:hAnsi="Microsoft YaHei" w:eastAsia="微软雅黑"/>
          <w:color w:val="243447"/>
          <w:sz w:val="21"/>
        </w:rPr>
        <w:t>第一阶段采用“一个审批核心服务 + 一个 API 网关 + 一个关系型数据库”的轻量部署。DDD 用于守住代码边界，Dubbo Triple 用于服务契约，Flowable 用于流程状态机；不在首期引入 Kubernetes、OpenSearch、Seata、复杂脚本平台或多个细粒度微服务。</w:t>
      </w:r>
    </w:p>
    <w:p>
      <w:pPr>
        <w:pStyle w:val="Heading1"/>
        <w:keepNext/>
      </w:pPr>
      <w:r>
        <w:t>文档目录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cantSplit/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章节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评审重点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1-4</w:t>
            </w:r>
          </w:p>
        </w:tc>
        <w:tc>
          <w:tcPr>
            <w:tcW w:type="dxa" w:w="7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为什么这样做、首期是否足够轻、部署边界是否合理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5-10</w:t>
            </w:r>
          </w:p>
        </w:tc>
        <w:tc>
          <w:tcPr>
            <w:tcW w:type="dxa" w:w="7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领域模型、流程行为、接口契约和数据一致性是否完整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11-14</w:t>
            </w:r>
          </w:p>
        </w:tc>
        <w:tc>
          <w:tcPr>
            <w:tcW w:type="dxa" w:w="7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安全、运维、技术栈和质量保障是否达到可上线要求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15-18</w:t>
            </w:r>
          </w:p>
        </w:tc>
        <w:tc>
          <w:tcPr>
            <w:tcW w:type="dxa" w:w="7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计划、验收、风险和演进路径是否可执行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Microsoft YaHei" w:hAnsi="Microsoft YaHei" w:eastAsia="微软雅黑"/>
          <w:color w:val="667085"/>
          <w:sz w:val="18"/>
        </w:rPr>
        <w:t>完整章节：1. 执行摘要与架构决策；2. 背景、目标与成功标准；3. 第一阶段范围；4. 总体架构；5. DDD 领域设计；6. 核心业务流程；7. 功能需求；8. API 与集成设计；9. 规则与自动化；10. 数据模型与一致性；11. 安全与多租户；12. 可观测性与运维；13. 技术选型与工程规范；14. 测试策略；15. 实施计划；16. 验收标准；17. 风险与应对；18. 后续演进；附录 A-C：接口示例、状态模型、参考资料</w:t>
      </w:r>
    </w:p>
    <w:p>
      <w:pPr>
        <w:pStyle w:val="Heading1"/>
        <w:keepNext/>
      </w:pPr>
      <w:r>
        <w:t>1. 执行摘要与架构决策</w:t>
      </w:r>
    </w:p>
    <w:p>
      <w:pPr>
        <w:pStyle w:val="BodyText"/>
      </w:pPr>
      <w:r>
        <w:t>本项目建设一个面向多业务系统的通用审批服务。外部系统可以通过 API 发起、查询和管理审批；业务管理员可以配置流程模板、表单和规则；审批人员通过统一工作台处理待办。第一阶段优先验证通用性、稳定性和接入体验，而不是一次性建设完整 BPM 平台。</w:t>
      </w:r>
    </w:p>
    <w:p>
      <w:pPr>
        <w:pStyle w:val="Heading2"/>
        <w:keepNext/>
      </w:pPr>
      <w:r>
        <w:t>1.1 已确定的关键决策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4760"/>
      </w:tblGrid>
      <w:tr>
        <w:trPr>
          <w:cantSplit/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决策项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第一阶段选择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理由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部署形态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approval-gateway + approval-center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保持轻量；核心服务内部按 DDD 模块化，达到拆分条件后再独立部署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内部通信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Dubbo 3.x Triple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满足 Java RPC、HTTP/2 和未来多语言扩展；服务契约与领域实现分离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外部接口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REST/JSON + OpenAPI + Webhook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降低业务系统接入门槛，不要求外部系统使用 Dubbo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流程引擎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Flowable，封装为基础设施适配器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复用 BPMN/任务/定时器能力，避免首期自研流程状态机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规则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CEL + 审批矩阵；复杂脚本延期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覆盖大多数路由和自动审批，同时控制安全风险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数据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PostgreSQL 或 MySQL 单库起步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审批是长事务，采用本地事务、审计日志和 Outbox，而不是全局 2PC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AI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预留接口；首期可选摘要试点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AI 不进入最终确定性决策链，不阻塞 MVP 上线</w:t>
            </w:r>
          </w:p>
        </w:tc>
      </w:tr>
    </w:tbl>
    <w:p>
      <w:pPr>
        <w:spacing w:after="20"/>
      </w:pPr>
    </w:p>
    <w:p>
      <w:pPr>
        <w:keepLines/>
        <w:spacing w:before="100" w:after="160" w:line="264" w:lineRule="auto"/>
        <w:ind w:left="115" w:right="115"/>
        <w:shd w:fill="FFF6DD"/>
        <w:pBdr>
          <w:left w:val="single" w:sz="18" w:space="8" w:color="7A5A00"/>
        </w:pBdr>
      </w:pPr>
      <w:r>
        <w:rPr>
          <w:rFonts w:ascii="Microsoft YaHei" w:hAnsi="Microsoft YaHei" w:eastAsia="微软雅黑"/>
          <w:b/>
          <w:color w:val="7A5A00"/>
          <w:sz w:val="21"/>
        </w:rPr>
        <w:t xml:space="preserve">架构边界  </w:t>
      </w:r>
      <w:r>
        <w:rPr>
          <w:rFonts w:ascii="Microsoft YaHei" w:hAnsi="Microsoft YaHei" w:eastAsia="微软雅黑"/>
          <w:color w:val="243447"/>
          <w:sz w:val="21"/>
        </w:rPr>
        <w:t>DDD 限界上下文不等于微服务。第一阶段先在一个核心服务中实现清晰模块边界，只有出现独立扩容、故障隔离、团队所有权或发布节奏需求时才拆分。</w:t>
      </w:r>
    </w:p>
    <w:p>
      <w:pPr>
        <w:pStyle w:val="Heading1"/>
        <w:keepNext/>
      </w:pPr>
      <w:r>
        <w:t>2. 背景、目标与成功标准</w:t>
      </w:r>
    </w:p>
    <w:p>
      <w:pPr>
        <w:pStyle w:val="Heading2"/>
        <w:keepNext/>
      </w:pPr>
      <w:r>
        <w:t>2.1 建设背景</w:t>
      </w:r>
    </w:p>
    <w:p>
      <w:pPr>
        <w:pStyle w:val="BodyText"/>
      </w:pPr>
      <w:r>
        <w:t>企业中的采购、费用、合同、权限、发布、数据申请等场景都需要审批。若每个业务系统自行实现，会重复建设审批状态、组织解析、通知、审计和超时处理，并形成互不兼容的数据与接口。本项目通过独立审批平台沉淀这些共性能力。</w:t>
      </w:r>
    </w:p>
    <w:p>
      <w:pPr>
        <w:pStyle w:val="Heading2"/>
        <w:keepNext/>
      </w:pPr>
      <w:r>
        <w:t>2.2 第一阶段业务目标</w:t>
      </w:r>
    </w:p>
    <w:p>
      <w:pPr>
        <w:pStyle w:val="BodyText"/>
        <w:numPr>
          <w:ilvl w:val="0"/>
          <w:numId w:val="100"/>
        </w:numPr>
      </w:pPr>
      <w:r>
        <w:t>外部系统能够在 1-2 个工作日内完成 API 接入和联调。</w:t>
      </w:r>
    </w:p>
    <w:p>
      <w:pPr>
        <w:pStyle w:val="BodyText"/>
        <w:numPr>
          <w:ilvl w:val="0"/>
          <w:numId w:val="100"/>
        </w:numPr>
      </w:pPr>
      <w:r>
        <w:t>管理员能够创建并发布通用审批模板、动态表单和条件规则。</w:t>
      </w:r>
    </w:p>
    <w:p>
      <w:pPr>
        <w:pStyle w:val="BodyText"/>
        <w:numPr>
          <w:ilvl w:val="0"/>
          <w:numId w:val="100"/>
        </w:numPr>
      </w:pPr>
      <w:r>
        <w:t>审批人能够处理待办、已办、同意、拒绝、转交和撤回等核心动作。</w:t>
      </w:r>
    </w:p>
    <w:p>
      <w:pPr>
        <w:pStyle w:val="BodyText"/>
        <w:numPr>
          <w:ilvl w:val="0"/>
          <w:numId w:val="100"/>
        </w:numPr>
      </w:pPr>
      <w:r>
        <w:t>系统能够可靠记录每一次状态变化，并将结果回调给外部系统。</w:t>
      </w:r>
    </w:p>
    <w:p>
      <w:pPr>
        <w:pStyle w:val="BodyText"/>
        <w:numPr>
          <w:ilvl w:val="0"/>
          <w:numId w:val="100"/>
        </w:numPr>
      </w:pPr>
      <w:r>
        <w:t>架构支持后续拆分微服务、接入 MQ、增强 AI 和企业身份体系，不需要推翻重做。</w:t>
      </w:r>
    </w:p>
    <w:p>
      <w:pPr>
        <w:pStyle w:val="Heading2"/>
        <w:keepNext/>
      </w:pPr>
      <w:r>
        <w:t>2.3 建议量化指标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00"/>
        <w:gridCol w:w="4560"/>
      </w:tblGrid>
      <w:tr>
        <w:trPr>
          <w:cantSplit/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第一阶段目标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测量方式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API 可用性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月度不低于 99.9%（单区域）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网关与核心接口 SLI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启动审批延迟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P95 &lt; 500 ms，不含外部组织接口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链路指标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审批动作延迟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P95 &lt; 300 ms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任务完成接口指标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幂等正确性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重复请求不产生重复实例/重复审批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自动化与故障注入测试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Webhook 交付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最终成功率 ≥ 99.9%，支持重试和重放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投递审计表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审计完整性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所有管理与审批动作 100% 留痕</w:t>
            </w:r>
          </w:p>
        </w:tc>
        <w:tc>
          <w:tcPr>
            <w:tcW w:type="dxa" w:w="4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审计核对测试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第一阶段范围</w:t>
      </w:r>
    </w:p>
    <w:p>
      <w:pPr>
        <w:pStyle w:val="Heading2"/>
        <w:keepNext/>
      </w:pPr>
      <w:r>
        <w:t>3.1 范围内</w:t>
      </w:r>
    </w:p>
    <w:p>
      <w:pPr>
        <w:pStyle w:val="BodyText"/>
        <w:numPr>
          <w:ilvl w:val="0"/>
          <w:numId w:val="100"/>
        </w:numPr>
      </w:pPr>
      <w:r>
        <w:t>多租户基础隔离、应用凭证、用户/角色/部门适配。</w:t>
      </w:r>
    </w:p>
    <w:p>
      <w:pPr>
        <w:pStyle w:val="BodyText"/>
        <w:numPr>
          <w:ilvl w:val="0"/>
          <w:numId w:val="100"/>
        </w:numPr>
      </w:pPr>
      <w:r>
        <w:t>流程模板草稿、校验、发布和不可变版本。</w:t>
      </w:r>
    </w:p>
    <w:p>
      <w:pPr>
        <w:pStyle w:val="BodyText"/>
        <w:numPr>
          <w:ilvl w:val="0"/>
          <w:numId w:val="100"/>
        </w:numPr>
      </w:pPr>
      <w:r>
        <w:t>JSON Schema 动态表单、字段校验和节点级只读/可见控制。</w:t>
      </w:r>
    </w:p>
    <w:p>
      <w:pPr>
        <w:pStyle w:val="BodyText"/>
        <w:numPr>
          <w:ilvl w:val="0"/>
          <w:numId w:val="100"/>
        </w:numPr>
      </w:pPr>
      <w:r>
        <w:t>串行、并行、条件分支、或签/会签、抄送、超时提醒。</w:t>
      </w:r>
    </w:p>
    <w:p>
      <w:pPr>
        <w:pStyle w:val="BodyText"/>
        <w:numPr>
          <w:ilvl w:val="0"/>
          <w:numId w:val="100"/>
        </w:numPr>
      </w:pPr>
      <w:r>
        <w:t>发起、查询、同意、拒绝、撤回、转交、终止和审批意见。</w:t>
      </w:r>
    </w:p>
    <w:p>
      <w:pPr>
        <w:pStyle w:val="BodyText"/>
        <w:numPr>
          <w:ilvl w:val="0"/>
          <w:numId w:val="100"/>
        </w:numPr>
      </w:pPr>
      <w:r>
        <w:t>待办、已办、我发起的审批和管理端实例查询。</w:t>
      </w:r>
    </w:p>
    <w:p>
      <w:pPr>
        <w:pStyle w:val="BodyText"/>
        <w:numPr>
          <w:ilvl w:val="0"/>
          <w:numId w:val="100"/>
        </w:numPr>
      </w:pPr>
      <w:r>
        <w:t>CEL 条件、审批矩阵和低风险确定性自动审批。</w:t>
      </w:r>
    </w:p>
    <w:p>
      <w:pPr>
        <w:pStyle w:val="BodyText"/>
        <w:numPr>
          <w:ilvl w:val="0"/>
          <w:numId w:val="100"/>
        </w:numPr>
      </w:pPr>
      <w:r>
        <w:t>REST API、Dubbo API、Webhook、签名、幂等、重试和审计。</w:t>
      </w:r>
    </w:p>
    <w:p>
      <w:pPr>
        <w:pStyle w:val="BodyText"/>
        <w:numPr>
          <w:ilvl w:val="0"/>
          <w:numId w:val="100"/>
        </w:numPr>
      </w:pPr>
      <w:r>
        <w:t>基础监控、结构化日志、Trace、健康检查和备份恢复方案。</w:t>
      </w:r>
    </w:p>
    <w:p>
      <w:pPr>
        <w:pStyle w:val="Heading2"/>
        <w:keepNext/>
      </w:pPr>
      <w:r>
        <w:t>3.2 明确不在第一阶段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延期能力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原因 / 后续入口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流程实例跨版本迁移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实现复杂且风险高；首期保证旧实例继续使用旧版本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任意 Java/Groovy/Python 脚本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存在远程代码执行风险；后续建设独立 Sandbox Runner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流程挖掘与高级 BI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首期保留事件和指标，第二阶段接入 OpenSearch/分析平台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跨区域双活与单元化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先完成单区域高可用，达到规模阈值后演进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完整低代码页面搭建器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首期支持基础表单配置，不建设通用低代码平台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AI 自动做高风险最终决定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首期 AI 仅做辅助，自动审批必须由确定性规则控制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总体架构</w:t>
      </w:r>
    </w:p>
    <w:p>
      <w:pPr>
        <w:pStyle w:val="Heading2"/>
        <w:keepNext/>
      </w:pPr>
      <w:r>
        <w:t>4.1 逻辑架构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cantSplit/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组件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职责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接入层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approval-gateway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REST API、OAuth2/API Key、租户识别、限流、OpenAPI、管理页面 BFF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应用层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approval-center.application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用例编排、事务边界、命令/查询、权限校验、DTO 转换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领域层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definition/runtime/task/rule/audit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聚合、领域服务、领域事件和业务不变量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基础设施层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Flowable Adapter / Persistence / Webhook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流程引擎、数据库、Outbox、组织适配、外部回调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异步执行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worker profile（可同进程或独立）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Webhook、通知、超时扫描、Outbox 发布和失败重试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第一阶段部署拓扑</w:t>
      </w:r>
    </w:p>
    <w:p>
      <w:pPr>
        <w:keepLines/>
        <w:spacing w:before="100" w:after="160" w:line="264" w:lineRule="auto"/>
        <w:ind w:left="115" w:right="115"/>
        <w:shd w:fill="EAF6EE"/>
        <w:pBdr>
          <w:left w:val="single" w:sz="18" w:space="8" w:color="25633C"/>
        </w:pBdr>
      </w:pPr>
      <w:r>
        <w:rPr>
          <w:rFonts w:ascii="Microsoft YaHei" w:hAnsi="Microsoft YaHei" w:eastAsia="微软雅黑"/>
          <w:b/>
          <w:color w:val="25633C"/>
          <w:sz w:val="21"/>
        </w:rPr>
        <w:t xml:space="preserve">最小生产拓扑  </w:t>
      </w:r>
      <w:r>
        <w:rPr>
          <w:rFonts w:ascii="Microsoft YaHei" w:hAnsi="Microsoft YaHei" w:eastAsia="微软雅黑"/>
          <w:color w:val="243447"/>
          <w:sz w:val="21"/>
        </w:rPr>
        <w:t>2 个无状态应用实例组（gateway、center）+ 1 个主备数据库。Redis、对象存储和 MQ 按场景启用；开发环境可用 Docker Compose 单机运行。</w:t>
      </w:r>
    </w:p>
    <w:p>
      <w:pPr>
        <w:keepLines/>
        <w:spacing w:before="80" w:after="160" w:line="240" w:lineRule="auto"/>
        <w:ind w:left="115" w:right="115"/>
        <w:shd w:fill="F7F8FA"/>
        <w:pBdr>
          <w:left w:val="single" w:sz="18" w:space="8" w:color="D0D5DD"/>
        </w:pBdr>
      </w:pPr>
      <w:r>
        <w:rPr>
          <w:rFonts w:ascii="Consolas" w:hAnsi="Consolas" w:eastAsia="Microsoft YaHei"/>
          <w:color w:val="243447"/>
          <w:sz w:val="17"/>
        </w:rPr>
        <w:t>External Systems / Admin UI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        |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REST / OpenAPI / Webhook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        v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+-------------------+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| approval-gateway  |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+-------------------+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        | Dubbo Triple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        v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+-------------------+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| approval-center   |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| DDD modules       |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| Flowable adapter  |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| outbox + worker   |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+-------------------+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    |        |       \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  PostgreSQL  Redis*   Object Storage*</w:t>
      </w:r>
      <w:r>
        <w:br/>
      </w:r>
      <w:r>
        <w:rPr>
          <w:rFonts w:ascii="Consolas" w:hAnsi="Consolas" w:eastAsia="Microsoft YaHei"/>
          <w:color w:val="243447"/>
          <w:sz w:val="17"/>
        </w:rPr>
      </w:r>
      <w:r>
        <w:br/>
      </w:r>
      <w:r>
        <w:rPr>
          <w:rFonts w:ascii="Consolas" w:hAnsi="Consolas" w:eastAsia="Microsoft YaHei"/>
          <w:color w:val="243447"/>
          <w:sz w:val="17"/>
        </w:rPr>
        <w:t>* optional in the smallest deployment</w:t>
      </w:r>
    </w:p>
    <w:p>
      <w:pPr>
        <w:pStyle w:val="Heading2"/>
        <w:keepNext/>
      </w:pPr>
      <w:r>
        <w:t>4.3 调用与事件原则</w:t>
      </w:r>
    </w:p>
    <w:p>
      <w:pPr>
        <w:pStyle w:val="BodyText"/>
        <w:numPr>
          <w:ilvl w:val="0"/>
          <w:numId w:val="100"/>
        </w:numPr>
      </w:pPr>
      <w:r>
        <w:t>需要即时结果的命令使用同步调用；跨系统通知、审计派生和报表更新使用异步事件。</w:t>
      </w:r>
    </w:p>
    <w:p>
      <w:pPr>
        <w:pStyle w:val="BodyText"/>
        <w:numPr>
          <w:ilvl w:val="0"/>
          <w:numId w:val="100"/>
        </w:numPr>
      </w:pPr>
      <w:r>
        <w:t>approval-gateway 不包含审批业务规则，只处理协议、安全和请求上下文。</w:t>
      </w:r>
    </w:p>
    <w:p>
      <w:pPr>
        <w:pStyle w:val="BodyText"/>
        <w:numPr>
          <w:ilvl w:val="0"/>
          <w:numId w:val="100"/>
        </w:numPr>
      </w:pPr>
      <w:r>
        <w:t>流程引擎不是领域模型；Flowable ID 仅保存在适配映射中，不作为公共 API 主标识。</w:t>
      </w:r>
    </w:p>
    <w:p>
      <w:pPr>
        <w:pStyle w:val="BodyText"/>
        <w:numPr>
          <w:ilvl w:val="0"/>
          <w:numId w:val="100"/>
        </w:numPr>
      </w:pPr>
      <w:r>
        <w:t>所有外部副作用在本地事务提交后执行，失败可以重试，不回滚已完成的人工审批事实。</w:t>
      </w:r>
    </w:p>
    <w:p>
      <w:pPr>
        <w:pStyle w:val="Heading1"/>
        <w:keepNext/>
      </w:pPr>
      <w:r>
        <w:t>5. DDD 领域设计</w:t>
      </w:r>
    </w:p>
    <w:p>
      <w:pPr>
        <w:pStyle w:val="Heading2"/>
        <w:keepNext/>
      </w:pPr>
      <w:r>
        <w:t>5.1 限界上下文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600"/>
        <w:gridCol w:w="4010"/>
      </w:tblGrid>
      <w:tr>
        <w:trPr>
          <w:cantSplit/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上下文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核心聚合 / 实体</w:t>
            </w:r>
          </w:p>
        </w:tc>
      </w:tr>
      <w:tr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Definition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模板、流程定义、表单、版本、发布</w:t>
            </w:r>
          </w:p>
        </w:tc>
        <w:tc>
          <w:tcPr>
            <w:tcW w:type="dxa" w:w="401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ApprovalTemplate、ProcessDefinition、FormSchema</w:t>
            </w:r>
          </w:p>
        </w:tc>
      </w:tr>
      <w:tr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Runtime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创建与推进审批实例、维护业务状态</w:t>
            </w:r>
          </w:p>
        </w:tc>
        <w:tc>
          <w:tcPr>
            <w:tcW w:type="dxa" w:w="401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ApprovalInstance、ExecutionSnapshot</w:t>
            </w:r>
          </w:p>
        </w:tc>
      </w:tr>
      <w:tr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Task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待办分配、认领、转交、完成、会签统计</w:t>
            </w:r>
          </w:p>
        </w:tc>
        <w:tc>
          <w:tcPr>
            <w:tcW w:type="dxa" w:w="401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ApprovalTask、Delegation</w:t>
            </w:r>
          </w:p>
        </w:tc>
      </w:tr>
      <w:tr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Decision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条件路由、审批矩阵、自动审批</w:t>
            </w:r>
          </w:p>
        </w:tc>
        <w:tc>
          <w:tcPr>
            <w:tcW w:type="dxa" w:w="401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RuleSet、DecisionTable、DecisionResult</w:t>
            </w:r>
          </w:p>
        </w:tc>
      </w:tr>
      <w:tr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Identity Adapter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解析用户、部门、角色、直属主管</w:t>
            </w:r>
          </w:p>
        </w:tc>
        <w:tc>
          <w:tcPr>
            <w:tcW w:type="dxa" w:w="401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PrincipalRef、GroupRef、ResolverPolicy</w:t>
            </w:r>
          </w:p>
        </w:tc>
      </w:tr>
      <w:tr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Integration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应用、Webhook、业务回调</w:t>
            </w:r>
          </w:p>
        </w:tc>
        <w:tc>
          <w:tcPr>
            <w:tcW w:type="dxa" w:w="401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ClientApplication、WebhookSubscription、Delivery</w:t>
            </w:r>
          </w:p>
        </w:tc>
      </w:tr>
      <w:tr>
        <w:tc>
          <w:tcPr>
            <w:tcW w:type="dxa" w:w="17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Audit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不可变动作记录与证据</w:t>
            </w:r>
          </w:p>
        </w:tc>
        <w:tc>
          <w:tcPr>
            <w:tcW w:type="dxa" w:w="401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AuditRecord、EvidenceRef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聚合边界与不变量</w:t>
      </w:r>
    </w:p>
    <w:p>
      <w:pPr>
        <w:pStyle w:val="BodyText"/>
        <w:numPr>
          <w:ilvl w:val="0"/>
          <w:numId w:val="100"/>
        </w:numPr>
      </w:pPr>
      <w:r>
        <w:t>ApprovalInstance 是审批运行事实的聚合根；同一 externalBusinessKey 在租户和应用范围内唯一。</w:t>
      </w:r>
    </w:p>
    <w:p>
      <w:pPr>
        <w:pStyle w:val="BodyText"/>
        <w:numPr>
          <w:ilvl w:val="0"/>
          <w:numId w:val="100"/>
        </w:numPr>
      </w:pPr>
      <w:r>
        <w:t>ApprovalTask 独立聚合，使用 optimisticVersion 防止多人并发完成同一任务。</w:t>
      </w:r>
    </w:p>
    <w:p>
      <w:pPr>
        <w:pStyle w:val="BodyText"/>
        <w:numPr>
          <w:ilvl w:val="0"/>
          <w:numId w:val="100"/>
        </w:numPr>
      </w:pPr>
      <w:r>
        <w:t>已发布 ProcessDefinition 不允许原地修改；任何变更产生新版本。</w:t>
      </w:r>
    </w:p>
    <w:p>
      <w:pPr>
        <w:pStyle w:val="BodyText"/>
        <w:numPr>
          <w:ilvl w:val="0"/>
          <w:numId w:val="100"/>
        </w:numPr>
      </w:pPr>
      <w:r>
        <w:t>实例启动时固定 definitionVersion、formVersion、ruleVersion 和关键变量快照。</w:t>
      </w:r>
    </w:p>
    <w:p>
      <w:pPr>
        <w:pStyle w:val="BodyText"/>
        <w:numPr>
          <w:ilvl w:val="0"/>
          <w:numId w:val="100"/>
        </w:numPr>
      </w:pPr>
      <w:r>
        <w:t>审批动作必须同时写入业务状态、动作记录与 Outbox，三者处于同一本地事务。</w:t>
      </w:r>
    </w:p>
    <w:p>
      <w:pPr>
        <w:pStyle w:val="BodyText"/>
        <w:numPr>
          <w:ilvl w:val="0"/>
          <w:numId w:val="100"/>
        </w:numPr>
      </w:pPr>
      <w:r>
        <w:t>任何自动审批必须记录命中的规则、输入摘要、规则版本和结果。</w:t>
      </w:r>
    </w:p>
    <w:p>
      <w:pPr>
        <w:pStyle w:val="Heading2"/>
        <w:keepNext/>
      </w:pPr>
      <w:r>
        <w:t>5.3 模块目录建议</w:t>
      </w:r>
    </w:p>
    <w:p>
      <w:pPr>
        <w:keepLines/>
        <w:spacing w:before="80" w:after="160" w:line="240" w:lineRule="auto"/>
        <w:ind w:left="115" w:right="115"/>
        <w:shd w:fill="F7F8FA"/>
        <w:pBdr>
          <w:left w:val="single" w:sz="18" w:space="8" w:color="D0D5DD"/>
        </w:pBdr>
      </w:pPr>
      <w:r>
        <w:rPr>
          <w:rFonts w:ascii="Consolas" w:hAnsi="Consolas" w:eastAsia="Microsoft YaHei"/>
          <w:color w:val="243447"/>
          <w:sz w:val="17"/>
        </w:rPr>
        <w:t>approval-center</w:t>
      </w:r>
      <w:r>
        <w:br/>
      </w:r>
      <w:r>
        <w:rPr>
          <w:rFonts w:ascii="Consolas" w:hAnsi="Consolas" w:eastAsia="Microsoft YaHei"/>
          <w:color w:val="243447"/>
          <w:sz w:val="17"/>
        </w:rPr>
        <w:t>├─ interfaces       # Dubbo、管理 REST、消息消费者</w:t>
      </w:r>
      <w:r>
        <w:br/>
      </w:r>
      <w:r>
        <w:rPr>
          <w:rFonts w:ascii="Consolas" w:hAnsi="Consolas" w:eastAsia="Microsoft YaHei"/>
          <w:color w:val="243447"/>
          <w:sz w:val="17"/>
        </w:rPr>
        <w:t>├─ application      # command、query、use case、DTO</w:t>
      </w:r>
      <w:r>
        <w:br/>
      </w:r>
      <w:r>
        <w:rPr>
          <w:rFonts w:ascii="Consolas" w:hAnsi="Consolas" w:eastAsia="Microsoft YaHei"/>
          <w:color w:val="243447"/>
          <w:sz w:val="17"/>
        </w:rPr>
        <w:t>├─ domain</w:t>
      </w:r>
      <w:r>
        <w:br/>
      </w:r>
      <w:r>
        <w:rPr>
          <w:rFonts w:ascii="Consolas" w:hAnsi="Consolas" w:eastAsia="Microsoft YaHei"/>
          <w:color w:val="243447"/>
          <w:sz w:val="17"/>
        </w:rPr>
        <w:t>│  ├─ definition</w:t>
      </w:r>
      <w:r>
        <w:br/>
      </w:r>
      <w:r>
        <w:rPr>
          <w:rFonts w:ascii="Consolas" w:hAnsi="Consolas" w:eastAsia="Microsoft YaHei"/>
          <w:color w:val="243447"/>
          <w:sz w:val="17"/>
        </w:rPr>
        <w:t>│  ├─ runtime</w:t>
      </w:r>
      <w:r>
        <w:br/>
      </w:r>
      <w:r>
        <w:rPr>
          <w:rFonts w:ascii="Consolas" w:hAnsi="Consolas" w:eastAsia="Microsoft YaHei"/>
          <w:color w:val="243447"/>
          <w:sz w:val="17"/>
        </w:rPr>
        <w:t>│  ├─ task</w:t>
      </w:r>
      <w:r>
        <w:br/>
      </w:r>
      <w:r>
        <w:rPr>
          <w:rFonts w:ascii="Consolas" w:hAnsi="Consolas" w:eastAsia="Microsoft YaHei"/>
          <w:color w:val="243447"/>
          <w:sz w:val="17"/>
        </w:rPr>
        <w:t>│  ├─ decision</w:t>
      </w:r>
      <w:r>
        <w:br/>
      </w:r>
      <w:r>
        <w:rPr>
          <w:rFonts w:ascii="Consolas" w:hAnsi="Consolas" w:eastAsia="Microsoft YaHei"/>
          <w:color w:val="243447"/>
          <w:sz w:val="17"/>
        </w:rPr>
        <w:t>│  ├─ integration</w:t>
      </w:r>
      <w:r>
        <w:br/>
      </w:r>
      <w:r>
        <w:rPr>
          <w:rFonts w:ascii="Consolas" w:hAnsi="Consolas" w:eastAsia="Microsoft YaHei"/>
          <w:color w:val="243447"/>
          <w:sz w:val="17"/>
        </w:rPr>
        <w:t>│  └─ audit</w:t>
      </w:r>
      <w:r>
        <w:br/>
      </w:r>
      <w:r>
        <w:rPr>
          <w:rFonts w:ascii="Consolas" w:hAnsi="Consolas" w:eastAsia="Microsoft YaHei"/>
          <w:color w:val="243447"/>
          <w:sz w:val="17"/>
        </w:rPr>
        <w:t>└─ infrastructure   # persistence、flowable、outbox、identity、webhook</w:t>
      </w:r>
    </w:p>
    <w:p>
      <w:pPr>
        <w:pStyle w:val="Heading1"/>
        <w:keepNext/>
      </w:pPr>
      <w:r>
        <w:t>6. 核心业务流程</w:t>
      </w:r>
    </w:p>
    <w:p>
      <w:pPr>
        <w:pStyle w:val="Heading2"/>
        <w:keepNext/>
      </w:pPr>
      <w:r>
        <w:t>6.1 模板发布</w:t>
      </w:r>
    </w:p>
    <w:p>
      <w:pPr>
        <w:pStyle w:val="BodyText"/>
        <w:numPr>
          <w:ilvl w:val="0"/>
          <w:numId w:val="101"/>
        </w:numPr>
      </w:pPr>
      <w:r>
        <w:t>管理员创建模板草稿并配置表单、流程节点、审批人解析策略和规则。</w:t>
      </w:r>
    </w:p>
    <w:p>
      <w:pPr>
        <w:pStyle w:val="BodyText"/>
        <w:numPr>
          <w:ilvl w:val="0"/>
          <w:numId w:val="101"/>
        </w:numPr>
      </w:pPr>
      <w:r>
        <w:t>系统执行静态校验：入口/出口、不可达节点、循环、审批人为空、表达式类型和变量依赖。</w:t>
      </w:r>
    </w:p>
    <w:p>
      <w:pPr>
        <w:pStyle w:val="BodyText"/>
        <w:numPr>
          <w:ilvl w:val="0"/>
          <w:numId w:val="101"/>
        </w:numPr>
      </w:pPr>
      <w:r>
        <w:t>管理员在测试模式下使用样例数据模拟路径，并查看命中规则和预期审批人。</w:t>
      </w:r>
    </w:p>
    <w:p>
      <w:pPr>
        <w:pStyle w:val="BodyText"/>
        <w:numPr>
          <w:ilvl w:val="0"/>
          <w:numId w:val="101"/>
        </w:numPr>
      </w:pPr>
      <w:r>
        <w:t>发布后生成不可变版本；新实例使用新版本，存量实例保持原版本。</w:t>
      </w:r>
    </w:p>
    <w:p>
      <w:pPr>
        <w:pStyle w:val="Heading2"/>
        <w:keepNext/>
      </w:pPr>
      <w:r>
        <w:t>6.2 发起审批</w:t>
      </w:r>
    </w:p>
    <w:p>
      <w:pPr>
        <w:pStyle w:val="BodyText"/>
        <w:numPr>
          <w:ilvl w:val="0"/>
          <w:numId w:val="101"/>
        </w:numPr>
      </w:pPr>
      <w:r>
        <w:t>网关鉴权、识别 tenantId/applicationId，并校验 Idempotency-Key。</w:t>
      </w:r>
    </w:p>
    <w:p>
      <w:pPr>
        <w:pStyle w:val="BodyText"/>
        <w:numPr>
          <w:ilvl w:val="0"/>
          <w:numId w:val="101"/>
        </w:numPr>
      </w:pPr>
      <w:r>
        <w:t>核心服务读取已发布定义，校验表单和业务变量。</w:t>
      </w:r>
    </w:p>
    <w:p>
      <w:pPr>
        <w:pStyle w:val="BodyText"/>
        <w:numPr>
          <w:ilvl w:val="0"/>
          <w:numId w:val="101"/>
        </w:numPr>
      </w:pPr>
      <w:r>
        <w:t>创建 ApprovalInstance 和初始审计记录，启动 Flowable 实例。</w:t>
      </w:r>
    </w:p>
    <w:p>
      <w:pPr>
        <w:pStyle w:val="BodyText"/>
        <w:numPr>
          <w:ilvl w:val="0"/>
          <w:numId w:val="101"/>
        </w:numPr>
      </w:pPr>
      <w:r>
        <w:t>解析首批审批人并创建任务；若规则自动通过，则记录决策并继续推进。</w:t>
      </w:r>
    </w:p>
    <w:p>
      <w:pPr>
        <w:pStyle w:val="BodyText"/>
        <w:numPr>
          <w:ilvl w:val="0"/>
          <w:numId w:val="101"/>
        </w:numPr>
      </w:pPr>
      <w:r>
        <w:t>同一事务写入 Outbox；提交后异步发送通知和审批已创建 Webhook。</w:t>
      </w:r>
    </w:p>
    <w:p>
      <w:pPr>
        <w:pStyle w:val="Heading2"/>
        <w:keepNext/>
      </w:pPr>
      <w:r>
        <w:t>6.3 处理审批任务</w:t>
      </w:r>
    </w:p>
    <w:p>
      <w:pPr>
        <w:pStyle w:val="BodyText"/>
        <w:numPr>
          <w:ilvl w:val="0"/>
          <w:numId w:val="101"/>
        </w:numPr>
      </w:pPr>
      <w:r>
        <w:t>校验当前用户是否为处理人、候选人或有效委托人。</w:t>
      </w:r>
    </w:p>
    <w:p>
      <w:pPr>
        <w:pStyle w:val="BodyText"/>
        <w:numPr>
          <w:ilvl w:val="0"/>
          <w:numId w:val="101"/>
        </w:numPr>
      </w:pPr>
      <w:r>
        <w:t>校验任务版本和状态，防止重复点击、并发提交和越权操作。</w:t>
      </w:r>
    </w:p>
    <w:p>
      <w:pPr>
        <w:pStyle w:val="BodyText"/>
        <w:numPr>
          <w:ilvl w:val="0"/>
          <w:numId w:val="101"/>
        </w:numPr>
      </w:pPr>
      <w:r>
        <w:t>执行同意/拒绝/转交等领域命令，保存意见和附件引用。</w:t>
      </w:r>
    </w:p>
    <w:p>
      <w:pPr>
        <w:pStyle w:val="BodyText"/>
        <w:numPr>
          <w:ilvl w:val="0"/>
          <w:numId w:val="101"/>
        </w:numPr>
      </w:pPr>
      <w:r>
        <w:t>更新会签统计并决定是否推进、等待或结束流程。</w:t>
      </w:r>
    </w:p>
    <w:p>
      <w:pPr>
        <w:pStyle w:val="BodyText"/>
        <w:numPr>
          <w:ilvl w:val="0"/>
          <w:numId w:val="101"/>
        </w:numPr>
      </w:pPr>
      <w:r>
        <w:t>提交事务后异步通知下一审批人和外部业务系统。</w:t>
      </w:r>
    </w:p>
    <w:p>
      <w:pPr>
        <w:pStyle w:val="Heading2"/>
        <w:keepNext/>
      </w:pPr>
      <w:r>
        <w:t>6.4 Webhook 交付</w:t>
      </w:r>
    </w:p>
    <w:p>
      <w:pPr>
        <w:pStyle w:val="BodyText"/>
      </w:pPr>
      <w:r>
        <w:t>Webhook 事件由 Outbox 驱动。每次投递生成 deliveryId，使用 HMAC 签名，携带事件 ID、事件时间、租户、业务键和审批快照。失败按指数退避重试，超过阈值进入失败队列，管理员可以查询并重放。接收方必须按 eventId 幂等。</w:t>
      </w:r>
    </w:p>
    <w:p>
      <w:pPr>
        <w:pStyle w:val="Heading1"/>
        <w:keepNext/>
      </w:pPr>
      <w:r>
        <w:t>7. 功能需求</w:t>
      </w:r>
    </w:p>
    <w:p>
      <w:pPr>
        <w:pStyle w:val="Heading2"/>
        <w:keepNext/>
      </w:pPr>
      <w:r>
        <w:t>7.1 流程模板与表单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860"/>
        <w:gridCol w:w="1300"/>
      </w:tblGrid>
      <w:tr>
        <w:trPr>
          <w:cantSplit/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首期行为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模板生命周期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草稿、校验、发布、停用、复制、版本查看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节点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开始、人工审批、自动规则、并行/排他网关、抄送、结束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审批人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指定用户、角色、部门负责人、直属主管、表单字段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会签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全部通过、任一通过、比例通过；失败策略可配置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动态表单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JSON Schema + UI Schema、校验、附件、字段权限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模拟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样例变量下的路径、规则和审批人预览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审批实例与任务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860"/>
        <w:gridCol w:w="1300"/>
      </w:tblGrid>
      <w:tr>
        <w:trPr>
          <w:cantSplit/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5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首期行为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实例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创建、详情、时间线、撤回、终止、查询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任务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待办/已办、同意、拒绝、转交、审批意见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超时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提醒、升级到上级或指定角色；支持工作日历简版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P1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抄送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创建抄送记录和通知，不参与流程推进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P1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委托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按时间范围将任务委托给代理人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P1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批量审批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仅对模板明确允许、低风险且相同动作的任务开放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管理与审计</w:t>
      </w:r>
    </w:p>
    <w:p>
      <w:pPr>
        <w:pStyle w:val="BodyText"/>
        <w:numPr>
          <w:ilvl w:val="0"/>
          <w:numId w:val="100"/>
        </w:numPr>
      </w:pPr>
      <w:r>
        <w:t>租户、应用凭证、模板权限和操作员角色管理。</w:t>
      </w:r>
    </w:p>
    <w:p>
      <w:pPr>
        <w:pStyle w:val="BodyText"/>
        <w:numPr>
          <w:ilvl w:val="0"/>
          <w:numId w:val="100"/>
        </w:numPr>
      </w:pPr>
      <w:r>
        <w:t>按实例 ID、业务键、发起人、状态、模板、时间范围查询。</w:t>
      </w:r>
    </w:p>
    <w:p>
      <w:pPr>
        <w:pStyle w:val="BodyText"/>
        <w:numPr>
          <w:ilvl w:val="0"/>
          <w:numId w:val="100"/>
        </w:numPr>
      </w:pPr>
      <w:r>
        <w:t>流程时间线展示节点、处理人、动作、意见、时间、规则命中和回调结果。</w:t>
      </w:r>
    </w:p>
    <w:p>
      <w:pPr>
        <w:pStyle w:val="BodyText"/>
        <w:numPr>
          <w:ilvl w:val="0"/>
          <w:numId w:val="100"/>
        </w:numPr>
      </w:pPr>
      <w:r>
        <w:t>敏感字段按角色脱敏；审计导出需要单独权限。</w:t>
      </w:r>
    </w:p>
    <w:p>
      <w:pPr>
        <w:pStyle w:val="BodyText"/>
        <w:numPr>
          <w:ilvl w:val="0"/>
          <w:numId w:val="100"/>
        </w:numPr>
      </w:pPr>
      <w:r>
        <w:t>管理员修复动作需要双重确认、原因必填并产生高等级审计记录。</w:t>
      </w:r>
    </w:p>
    <w:p>
      <w:pPr>
        <w:pStyle w:val="Heading1"/>
        <w:keepNext/>
      </w:pPr>
      <w:r>
        <w:t>8. API 与集成设计</w:t>
      </w:r>
    </w:p>
    <w:p>
      <w:pPr>
        <w:pStyle w:val="Heading2"/>
        <w:keepNext/>
      </w:pPr>
      <w:r>
        <w:t>8.1 API 设计原则</w:t>
      </w:r>
    </w:p>
    <w:p>
      <w:pPr>
        <w:pStyle w:val="BodyText"/>
        <w:numPr>
          <w:ilvl w:val="0"/>
          <w:numId w:val="100"/>
        </w:numPr>
      </w:pPr>
      <w:r>
        <w:t>REST 资源命名稳定，公共接口采用 /v1 前缀；不暴露 Flowable 内部对象。</w:t>
      </w:r>
    </w:p>
    <w:p>
      <w:pPr>
        <w:pStyle w:val="BodyText"/>
        <w:numPr>
          <w:ilvl w:val="0"/>
          <w:numId w:val="100"/>
        </w:numPr>
      </w:pPr>
      <w:r>
        <w:t>写接口必须接受 Idempotency-Key；响应包含 requestId、instanceId 和当前版本。</w:t>
      </w:r>
    </w:p>
    <w:p>
      <w:pPr>
        <w:pStyle w:val="BodyText"/>
        <w:numPr>
          <w:ilvl w:val="0"/>
          <w:numId w:val="100"/>
        </w:numPr>
      </w:pPr>
      <w:r>
        <w:t>错误使用稳定业务错误码，不把 Java 异常、SQL 或内部堆栈返回客户端。</w:t>
      </w:r>
    </w:p>
    <w:p>
      <w:pPr>
        <w:pStyle w:val="BodyText"/>
        <w:numPr>
          <w:ilvl w:val="0"/>
          <w:numId w:val="100"/>
        </w:numPr>
      </w:pPr>
      <w:r>
        <w:t>列表使用 cursor 分页；查询接口允许 eventual consistency 的字段必须明确说明。</w:t>
      </w:r>
    </w:p>
    <w:p>
      <w:pPr>
        <w:pStyle w:val="BodyText"/>
        <w:numPr>
          <w:ilvl w:val="0"/>
          <w:numId w:val="100"/>
        </w:numPr>
      </w:pPr>
      <w:r>
        <w:t>Dubbo DTO 位于独立 contract 模块，禁止引用领域实体和持久化对象。</w:t>
      </w:r>
    </w:p>
    <w:p>
      <w:pPr>
        <w:pStyle w:val="Heading2"/>
        <w:keepNext/>
      </w:pPr>
      <w:r>
        <w:t>8.2 首期公共接口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300"/>
        <w:gridCol w:w="3860"/>
      </w:tblGrid>
      <w:tr>
        <w:trPr>
          <w:cantSplit/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Method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Path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POST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/v1/approval-instances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发起审批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GET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/v1/approval-instances/{id}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查询审批详情与当前状态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GET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/v1/approval-instances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按业务键、模板、状态等查询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POST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/v1/approval-instances/{id}/withdraw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发起人撤回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POST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/v1/approval-instances/{id}/terminate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管理员终止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GET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/v1/tasks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待办、已办查询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POST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/v1/tasks/{id}/approve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同意任务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POST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/v1/tasks/{id}/reject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拒绝任务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POST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/v1/tasks/{id}/transfer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转交任务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POST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/v1/webhook-subscriptions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创建事件订阅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事件类型</w:t>
      </w:r>
    </w:p>
    <w:p>
      <w:pPr>
        <w:pStyle w:val="BodyText"/>
      </w:pPr>
      <w:r>
        <w:t>首期至少发布：approval.instance.created、approval.task.created、approval.task.completed、approval.instance.approved、approval.instance.rejected、approval.instance.withdrawn、approval.instance.terminated、webhook.delivery.failed。事件 Schema 必须版本化。</w:t>
      </w:r>
    </w:p>
    <w:p>
      <w:pPr>
        <w:pStyle w:val="Heading1"/>
        <w:keepNext/>
      </w:pPr>
      <w:r>
        <w:t>9. 规则与自动化</w:t>
      </w:r>
    </w:p>
    <w:p>
      <w:pPr>
        <w:pStyle w:val="Heading2"/>
        <w:keepNext/>
      </w:pPr>
      <w:r>
        <w:t>9.1 规则分层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cantSplit/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实现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适用场景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条件表达式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CEL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金额、部门、风险等级、表单字段判断和简单数据转换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审批矩阵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结构化决策表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金额区间 × 部门 × 业务类型映射审批链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自动审批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确定性规则 + 白名单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低金额、低风险、可逆场景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复杂脚本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第一阶段不开放</w:t>
            </w:r>
          </w:p>
        </w:tc>
        <w:tc>
          <w:tcPr>
            <w:tcW w:type="dxa" w:w="47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后续独立沙箱，限制网络、CPU、内存和执行时间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自动审批安全门</w:t>
      </w:r>
    </w:p>
    <w:p>
      <w:pPr>
        <w:pStyle w:val="BodyText"/>
        <w:numPr>
          <w:ilvl w:val="0"/>
          <w:numId w:val="100"/>
        </w:numPr>
      </w:pPr>
      <w:r>
        <w:t>模板必须显式开启自动审批，并配置适用金额、风险级别和业务类型。</w:t>
      </w:r>
    </w:p>
    <w:p>
      <w:pPr>
        <w:pStyle w:val="BodyText"/>
        <w:numPr>
          <w:ilvl w:val="0"/>
          <w:numId w:val="100"/>
        </w:numPr>
      </w:pPr>
      <w:r>
        <w:t>规则执行只读取白名单变量；禁止访问数据库、网络、文件和系统环境。</w:t>
      </w:r>
    </w:p>
    <w:p>
      <w:pPr>
        <w:pStyle w:val="BodyText"/>
        <w:numPr>
          <w:ilvl w:val="0"/>
          <w:numId w:val="100"/>
        </w:numPr>
      </w:pPr>
      <w:r>
        <w:t>决策输出必须是结构化结果，不允许表达式直接执行副作用。</w:t>
      </w:r>
    </w:p>
    <w:p>
      <w:pPr>
        <w:pStyle w:val="BodyText"/>
        <w:numPr>
          <w:ilvl w:val="0"/>
          <w:numId w:val="100"/>
        </w:numPr>
      </w:pPr>
      <w:r>
        <w:t>记录 ruleId、ruleVersion、inputHash、result、reason 和 executionTime。</w:t>
      </w:r>
    </w:p>
    <w:p>
      <w:pPr>
        <w:pStyle w:val="BodyText"/>
        <w:numPr>
          <w:ilvl w:val="0"/>
          <w:numId w:val="100"/>
        </w:numPr>
      </w:pPr>
      <w:r>
        <w:t>规则异常时默认转人工，不得默认通过。</w:t>
      </w:r>
    </w:p>
    <w:p>
      <w:pPr>
        <w:pStyle w:val="Heading2"/>
        <w:keepNext/>
      </w:pPr>
      <w:r>
        <w:t>9.3 AI 在第一阶段的边界</w:t>
      </w:r>
    </w:p>
    <w:p>
      <w:pPr>
        <w:keepLines/>
        <w:spacing w:before="100" w:after="160" w:line="264" w:lineRule="auto"/>
        <w:ind w:left="115" w:right="115"/>
        <w:shd w:fill="FFF6DD"/>
        <w:pBdr>
          <w:left w:val="single" w:sz="18" w:space="8" w:color="7A5A00"/>
        </w:pBdr>
      </w:pPr>
      <w:r>
        <w:rPr>
          <w:rFonts w:ascii="Microsoft YaHei" w:hAnsi="Microsoft YaHei" w:eastAsia="微软雅黑"/>
          <w:b/>
          <w:color w:val="7A5A00"/>
          <w:sz w:val="21"/>
        </w:rPr>
        <w:t xml:space="preserve">可选试点  </w:t>
      </w:r>
      <w:r>
        <w:rPr>
          <w:rFonts w:ascii="Microsoft YaHei" w:hAnsi="Microsoft YaHei" w:eastAsia="微软雅黑"/>
          <w:color w:val="243447"/>
          <w:sz w:val="21"/>
        </w:rPr>
        <w:t>提供 AiAssistPort，仅试点“审批材料摘要”或“缺失信息提示”。AI 输出必须经过 JSON Schema 校验，并展示为建议；AI 不直接改变审批状态。</w:t>
      </w:r>
    </w:p>
    <w:p>
      <w:pPr>
        <w:pStyle w:val="BodyText"/>
      </w:pPr>
      <w:r>
        <w:t>为后续演进预留 ai_execution 表或审计扩展字段，记录模型、Prompt 版本、输入来源、输出、置信度和人工是否采纳。涉及财务付款、权限授予和合同签署等高风险场景，默认要求人工最终决定。</w:t>
      </w:r>
    </w:p>
    <w:p>
      <w:pPr>
        <w:pStyle w:val="Heading1"/>
        <w:keepNext/>
      </w:pPr>
      <w:r>
        <w:t>10. 数据模型与一致性</w:t>
      </w:r>
    </w:p>
    <w:p>
      <w:pPr>
        <w:pStyle w:val="Heading2"/>
        <w:keepNext/>
      </w:pPr>
      <w:r>
        <w:t>10.1 核心数据表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60"/>
        <w:gridCol w:w="3200"/>
      </w:tblGrid>
      <w:tr>
        <w:trPr>
          <w:cantSplit/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表 / 集合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关键字段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approval_template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tenant_id, template_key, status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模板逻辑身份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process_definition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template_id, version, bpmn_xml, checksum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不可变发布版本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form_schema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template_id, version, json_schema, ui_schema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不可变表单版本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approval_instance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id, business_key, status, definition_version, lock_version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审批当前状态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approval_task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id, instance_id, assignee, status, lock_version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任务当前状态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approval_action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instance_id, task_id, actor, action, comment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不可变动作时间线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decision_record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rule_id, rule_version, input_hash, result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规则决策证据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outbox_event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event_id, aggregate_id, type, payload, publish_status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可靠事件发布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webhook_delivery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event_id, endpoint, attempt, status, next_retry_at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回调投递记录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idempotency_record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tenant_id, application_id, key, response_ref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写请求防重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一致性策略</w:t>
      </w:r>
    </w:p>
    <w:p>
      <w:pPr>
        <w:pStyle w:val="BodyText"/>
        <w:numPr>
          <w:ilvl w:val="0"/>
          <w:numId w:val="100"/>
        </w:numPr>
      </w:pPr>
      <w:r>
        <w:t>审批是持续数小时或数月的长流程，不使用数据库全局事务锁住全过程。</w:t>
      </w:r>
    </w:p>
    <w:p>
      <w:pPr>
        <w:pStyle w:val="BodyText"/>
        <w:numPr>
          <w:ilvl w:val="0"/>
          <w:numId w:val="100"/>
        </w:numPr>
      </w:pPr>
      <w:r>
        <w:t>单次业务动作使用本地 ACID：实例/任务状态、动作记录和 Outbox 原子提交。</w:t>
      </w:r>
    </w:p>
    <w:p>
      <w:pPr>
        <w:pStyle w:val="BodyText"/>
        <w:numPr>
          <w:ilvl w:val="0"/>
          <w:numId w:val="100"/>
        </w:numPr>
      </w:pPr>
      <w:r>
        <w:t>Outbox 发布器至少一次投递；消费者和 Webhook 接收方按 eventId 幂等。</w:t>
      </w:r>
    </w:p>
    <w:p>
      <w:pPr>
        <w:pStyle w:val="BodyText"/>
        <w:numPr>
          <w:ilvl w:val="0"/>
          <w:numId w:val="100"/>
        </w:numPr>
      </w:pPr>
      <w:r>
        <w:t>任务完成采用乐观锁和状态前置条件，例如仅 PENDING/CLAIMED 可完成。</w:t>
      </w:r>
    </w:p>
    <w:p>
      <w:pPr>
        <w:pStyle w:val="BodyText"/>
        <w:numPr>
          <w:ilvl w:val="0"/>
          <w:numId w:val="100"/>
        </w:numPr>
      </w:pPr>
      <w:r>
        <w:t>外部业务副作用失败后重试或补偿，不删除已形成的审批审计事实。</w:t>
      </w:r>
    </w:p>
    <w:p>
      <w:pPr>
        <w:pStyle w:val="Heading2"/>
        <w:keepNext/>
      </w:pPr>
      <w:r>
        <w:t>10.3 数据保留与归档</w:t>
      </w:r>
    </w:p>
    <w:p>
      <w:pPr>
        <w:pStyle w:val="BodyText"/>
      </w:pPr>
      <w:r>
        <w:t>审批当前数据、审计记录和附件保留期应由租户策略控制。第一阶段至少实现逻辑删除限制、附件生命周期关联、数据库备份以及审计记录禁止普通管理员修改。大规模历史数据分区与归档在第二阶段实施。</w:t>
      </w:r>
    </w:p>
    <w:p>
      <w:pPr>
        <w:pStyle w:val="Heading1"/>
        <w:keepNext/>
      </w:pPr>
      <w:r>
        <w:t>11. 安全与多租户</w:t>
      </w:r>
    </w:p>
    <w:p>
      <w:pPr>
        <w:pStyle w:val="Heading2"/>
        <w:keepNext/>
      </w:pPr>
      <w:r>
        <w:t>11.1 身份认证与授权</w:t>
      </w:r>
    </w:p>
    <w:p>
      <w:pPr>
        <w:pStyle w:val="BodyText"/>
        <w:numPr>
          <w:ilvl w:val="0"/>
          <w:numId w:val="100"/>
        </w:numPr>
      </w:pPr>
      <w:r>
        <w:t>外部系统使用 OAuth2 Client Credentials，早期内部环境可兼容 API Key，但必须可轮换。</w:t>
      </w:r>
    </w:p>
    <w:p>
      <w:pPr>
        <w:pStyle w:val="BodyText"/>
        <w:numPr>
          <w:ilvl w:val="0"/>
          <w:numId w:val="100"/>
        </w:numPr>
      </w:pPr>
      <w:r>
        <w:t>管理端使用 OIDC/企业 SSO；审批权限同时检查用户身份、任务候选关系和租户边界。</w:t>
      </w:r>
    </w:p>
    <w:p>
      <w:pPr>
        <w:pStyle w:val="BodyText"/>
        <w:numPr>
          <w:ilvl w:val="0"/>
          <w:numId w:val="100"/>
        </w:numPr>
      </w:pPr>
      <w:r>
        <w:t>平台角色建议包括 TenantAdmin、TemplateDesigner、Auditor、Operator、Approver。</w:t>
      </w:r>
    </w:p>
    <w:p>
      <w:pPr>
        <w:pStyle w:val="BodyText"/>
        <w:numPr>
          <w:ilvl w:val="0"/>
          <w:numId w:val="100"/>
        </w:numPr>
      </w:pPr>
      <w:r>
        <w:t>模板和实例访问实施 RBAC + 资源归属校验；敏感场景增加 ABAC 条件。</w:t>
      </w:r>
    </w:p>
    <w:p>
      <w:pPr>
        <w:pStyle w:val="BodyText"/>
        <w:numPr>
          <w:ilvl w:val="0"/>
          <w:numId w:val="100"/>
        </w:numPr>
      </w:pPr>
      <w:r>
        <w:t>禁止仅依靠前端隐藏按钮实现授权，所有写操作必须在应用层再次校验。</w:t>
      </w:r>
    </w:p>
    <w:p>
      <w:pPr>
        <w:pStyle w:val="Heading2"/>
        <w:keepNext/>
      </w:pPr>
      <w:r>
        <w:t>11.2 多租户隔离</w:t>
      </w:r>
    </w:p>
    <w:p>
      <w:pPr>
        <w:pStyle w:val="BodyText"/>
      </w:pPr>
      <w:r>
        <w:t>第一阶段采用共享数据库、共享 Schema、所有业务表强制 tenant_id 的模式。Repository 查询必须由 TenantContext 自动附加租户条件；唯一索引包含 tenant_id；缓存键、对象存储路径、日志和指标标签都必须带租户边界。高等级租户未来可迁移为独立 Schema 或独立数据库。</w:t>
      </w:r>
    </w:p>
    <w:p>
      <w:pPr>
        <w:pStyle w:val="Heading2"/>
        <w:keepNext/>
      </w:pPr>
      <w:r>
        <w:t>11.3 安全控制清单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cantSplit/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领域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首期控制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传输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TLS；内部 Dubbo Triple 启用身份认证或在受控网络内配合 mTLS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存储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数据库与对象存储加密；敏感字段应用级加密/脱敏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Webhook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HMAC 签名、时间戳、防重放、HTTPS、目标地址 SSRF 校验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附件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类型/大小限制、病毒扫描接口、临时授权下载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审计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登录、模板发布、审批、管理员修复、凭证变更全部留痕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凭证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通过 Secret Manager/KMS 管理，禁止写入代码和日志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可观测性与运维</w:t>
      </w:r>
    </w:p>
    <w:p>
      <w:pPr>
        <w:pStyle w:val="Heading2"/>
        <w:keepNext/>
      </w:pPr>
      <w:r>
        <w:t>12.1 可观测性</w:t>
      </w:r>
    </w:p>
    <w:p>
      <w:pPr>
        <w:pStyle w:val="BodyText"/>
        <w:numPr>
          <w:ilvl w:val="0"/>
          <w:numId w:val="100"/>
        </w:numPr>
      </w:pPr>
      <w:r>
        <w:t>使用 OpenTelemetry 统一 trace、metrics 和 logs，上下文携带 traceId、tenantId、applicationId、instanceId。</w:t>
      </w:r>
    </w:p>
    <w:p>
      <w:pPr>
        <w:pStyle w:val="BodyText"/>
        <w:numPr>
          <w:ilvl w:val="0"/>
          <w:numId w:val="100"/>
        </w:numPr>
      </w:pPr>
      <w:r>
        <w:t>核心指标：实例创建/完成数、任务处理延迟、待办积压、超时数、规则失败、Outbox 积压、Webhook 成功率。</w:t>
      </w:r>
    </w:p>
    <w:p>
      <w:pPr>
        <w:pStyle w:val="BodyText"/>
        <w:numPr>
          <w:ilvl w:val="0"/>
          <w:numId w:val="100"/>
        </w:numPr>
      </w:pPr>
      <w:r>
        <w:t>日志采用结构化 JSON，审批意见、表单敏感字段和 Token 不进入普通日志。</w:t>
      </w:r>
    </w:p>
    <w:p>
      <w:pPr>
        <w:pStyle w:val="BodyText"/>
        <w:numPr>
          <w:ilvl w:val="0"/>
          <w:numId w:val="100"/>
        </w:numPr>
      </w:pPr>
      <w:r>
        <w:t>健康检查区分 liveness、readiness，并检查数据库和流程引擎必要依赖。</w:t>
      </w:r>
    </w:p>
    <w:p>
      <w:pPr>
        <w:pStyle w:val="Heading2"/>
        <w:keepNext/>
      </w:pPr>
      <w:r>
        <w:t>12.2 运维操作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操作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重放 Webhook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按 deliveryId 重放；保留原事件并生成新尝试记录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重新发布 Outbox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仅对未发布/失败事件开放，不改变聚合状态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终止卡死实例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管理员权限、原因必填、审计记录、可选双人复核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调整处理人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走转交领域命令，不直接更新数据库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数据修复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禁止常态化 SQL 修改；使用受审计修复命令或一次性迁移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备份与恢复</w:t>
      </w:r>
    </w:p>
    <w:p>
      <w:pPr>
        <w:pStyle w:val="BodyText"/>
      </w:pPr>
      <w:r>
        <w:t>建议数据库每日全量备份并持续增量/WAL 归档，明确 RPO ≤ 15 分钟、RTO ≤ 2 小时作为首期目标。至少每季度执行一次恢复演练；对象存储附件和密钥备份纳入同一演练。</w:t>
      </w:r>
    </w:p>
    <w:p>
      <w:pPr>
        <w:pStyle w:val="Heading1"/>
        <w:keepNext/>
      </w:pPr>
      <w:r>
        <w:t>13. 技术选型与工程规范</w:t>
      </w:r>
    </w:p>
    <w:p>
      <w:pPr>
        <w:pStyle w:val="Heading2"/>
        <w:keepNext/>
      </w:pPr>
      <w:r>
        <w:t>13.1 推荐技术栈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rPr>
          <w:cantSplit/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层面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选择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第一阶段备注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语言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JDK 21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统一 LTS 运行时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应用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Spring Boot 3.x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Web、安全、配置与测试生态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RPC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Dubbo 3.x Triple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内部契约；外部仍以 REST 为主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流程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Flowable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嵌入 approval-center，通过 WorkflowEnginePort 隔离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数据库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PostgreSQL / MySQL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二选一；生产使用主备/托管高可用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访问层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MyBatis 或 jOOQ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显式 SQL，便于租户条件与性能治理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规则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CEL + 审批矩阵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首期不开放任意脚本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缓存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Redis（可选）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只做缓存、短期令牌/限流，不做审批事实源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消息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数据库 Outbox 起步；RocketMQ 可选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规模和消费者数量上升后接入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文件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S3/MinIO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附件与证据，数据库保存引用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观测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OpenTelemetry + Prometheus/Grafana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可先接现有企业监控平台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交付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Docker Compose / 容器平台</w:t>
            </w:r>
          </w:p>
        </w:tc>
        <w:tc>
          <w:tcPr>
            <w:tcW w:type="dxa" w:w="44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首期不强制 Kubernetes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工程规范</w:t>
      </w:r>
    </w:p>
    <w:p>
      <w:pPr>
        <w:pStyle w:val="BodyText"/>
        <w:numPr>
          <w:ilvl w:val="0"/>
          <w:numId w:val="100"/>
        </w:numPr>
      </w:pPr>
      <w:r>
        <w:t>API contract、domain、infrastructure 分层依赖单向；使用 ArchUnit 防止越层。</w:t>
      </w:r>
    </w:p>
    <w:p>
      <w:pPr>
        <w:pStyle w:val="BodyText"/>
        <w:numPr>
          <w:ilvl w:val="0"/>
          <w:numId w:val="100"/>
        </w:numPr>
      </w:pPr>
      <w:r>
        <w:t>数据库变更使用 Flyway/Liquibase；禁止应用启动时无审查自动改生产表。</w:t>
      </w:r>
    </w:p>
    <w:p>
      <w:pPr>
        <w:pStyle w:val="BodyText"/>
        <w:numPr>
          <w:ilvl w:val="0"/>
          <w:numId w:val="100"/>
        </w:numPr>
      </w:pPr>
      <w:r>
        <w:t>公共 API、Dubbo contract 和事件 Schema 都遵循向后兼容原则。</w:t>
      </w:r>
    </w:p>
    <w:p>
      <w:pPr>
        <w:pStyle w:val="BodyText"/>
        <w:numPr>
          <w:ilvl w:val="0"/>
          <w:numId w:val="100"/>
        </w:numPr>
      </w:pPr>
      <w:r>
        <w:t>领域事件使用过去式命名；命令使用动词；状态枚举禁止复用显示文案。</w:t>
      </w:r>
    </w:p>
    <w:p>
      <w:pPr>
        <w:pStyle w:val="BodyText"/>
        <w:numPr>
          <w:ilvl w:val="0"/>
          <w:numId w:val="100"/>
        </w:numPr>
      </w:pPr>
      <w:r>
        <w:t>所有时间以 UTC 存储，界面按租户时区展示；金额使用 decimal + currency。</w:t>
      </w:r>
    </w:p>
    <w:p>
      <w:pPr>
        <w:pStyle w:val="BodyText"/>
        <w:numPr>
          <w:ilvl w:val="0"/>
          <w:numId w:val="100"/>
        </w:numPr>
      </w:pPr>
      <w:r>
        <w:t>功能开关用于模板模拟、批量审批和 AI 试点，支持按租户灰度。</w:t>
      </w:r>
    </w:p>
    <w:p>
      <w:pPr>
        <w:pStyle w:val="Heading1"/>
        <w:keepNext/>
      </w:pPr>
      <w:r>
        <w:t>14. 测试策略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rPr>
          <w:cantSplit/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测试层级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覆盖重点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建议工具 / 做法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单元测试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聚合不变量、状态转换、规则边界、会签计算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JUnit 5、属性测试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集成测试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数据库事务、Flowable Adapter、Outbox、租户过滤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Testcontainers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契约测试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REST、Dubbo DTO、Webhook/事件向后兼容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OpenAPI 校验、Pact/Schema Test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流程测试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每个模板的成功、拒绝、撤回、超时、并发路径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流程用例矩阵、时钟可控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安全测试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越权、跨租户、重放、SSRF、附件、敏感日志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SAST/DAST + 手工审查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性能测试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发起、任务完成、待办查询、Outbox 积压恢复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k6/JMeter，基于目标 SLI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恢复测试</w:t>
            </w:r>
          </w:p>
        </w:tc>
        <w:tc>
          <w:tcPr>
            <w:tcW w:type="dxa" w:w="44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进程崩溃、重复消息、DB 切换、Webhook 失败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故障注入与恢复演练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必测并发场景</w:t>
      </w:r>
    </w:p>
    <w:p>
      <w:pPr>
        <w:pStyle w:val="BodyText"/>
        <w:numPr>
          <w:ilvl w:val="0"/>
          <w:numId w:val="100"/>
        </w:numPr>
      </w:pPr>
      <w:r>
        <w:t>同一任务被两个审批人同时提交。</w:t>
      </w:r>
    </w:p>
    <w:p>
      <w:pPr>
        <w:pStyle w:val="BodyText"/>
        <w:numPr>
          <w:ilvl w:val="0"/>
          <w:numId w:val="100"/>
        </w:numPr>
      </w:pPr>
      <w:r>
        <w:t>客户端超时后使用相同 Idempotency-Key 重试发起。</w:t>
      </w:r>
    </w:p>
    <w:p>
      <w:pPr>
        <w:pStyle w:val="BodyText"/>
        <w:numPr>
          <w:ilvl w:val="0"/>
          <w:numId w:val="100"/>
        </w:numPr>
      </w:pPr>
      <w:r>
        <w:t>本地事务已提交但进程在消息发布前崩溃。</w:t>
      </w:r>
    </w:p>
    <w:p>
      <w:pPr>
        <w:pStyle w:val="BodyText"/>
        <w:numPr>
          <w:ilvl w:val="0"/>
          <w:numId w:val="100"/>
        </w:numPr>
      </w:pPr>
      <w:r>
        <w:t>Webhook 接收方处理成功但响应超时，平台再次投递。</w:t>
      </w:r>
    </w:p>
    <w:p>
      <w:pPr>
        <w:pStyle w:val="BodyText"/>
        <w:numPr>
          <w:ilvl w:val="0"/>
          <w:numId w:val="100"/>
        </w:numPr>
      </w:pPr>
      <w:r>
        <w:t>模板发布期间有新实例启动，必须只选择一个确定版本。</w:t>
      </w:r>
    </w:p>
    <w:p>
      <w:pPr>
        <w:pStyle w:val="Heading1"/>
        <w:keepNext/>
      </w:pPr>
      <w:r>
        <w:t>15. 实施计划</w:t>
      </w:r>
    </w:p>
    <w:p>
      <w:pPr>
        <w:pStyle w:val="Heading2"/>
        <w:keepNext/>
      </w:pPr>
      <w:r>
        <w:t>15.1 10-12 周建议里程碑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5960"/>
      </w:tblGrid>
      <w:tr>
        <w:trPr>
          <w:cantSplit/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周期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主要交付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M0 方案与骨架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第 1 周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领域词汇、仓库结构、CI、数据库基线、OpenAPI/Dubbo contract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M1 定义与运行时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第 2-4 周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模板/版本、表单校验、Flowable Adapter、实例启动和查询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M2 任务与规则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第 5-7 周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待办、同意/拒绝/撤回/转交、CEL、审批矩阵、会签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M3 集成与安全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第 8-9 周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OAuth2、多租户、Webhook、Outbox、审计、附件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M4 运营与验收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第 10-11 周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管理查询、监控告警、性能/安全/恢复测试、文档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缓冲与试点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第 12 周</w:t>
            </w:r>
          </w:p>
        </w:tc>
        <w:tc>
          <w:tcPr>
            <w:tcW w:type="dxa" w:w="59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接入 1-2 个真实业务系统、问题修复、上线评审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团队配置建议</w:t>
      </w:r>
    </w:p>
    <w:p>
      <w:pPr>
        <w:pStyle w:val="BodyText"/>
      </w:pPr>
      <w:r>
        <w:t>基础配置建议为：1 名产品/业务分析、1 名技术负责人、2-3 名后端、1 名前端、1 名测试（可共享）、0.5 名 DevOps/安全支持。若只有 2-3 名研发，应将表单设计器、委托、批量审批和 AI 试点降为 P1。</w:t>
      </w:r>
    </w:p>
    <w:p>
      <w:pPr>
        <w:pStyle w:val="Heading2"/>
        <w:keepNext/>
      </w:pPr>
      <w:r>
        <w:t>15.3 任务拆分原则</w:t>
      </w:r>
    </w:p>
    <w:p>
      <w:pPr>
        <w:pStyle w:val="BodyText"/>
        <w:numPr>
          <w:ilvl w:val="0"/>
          <w:numId w:val="100"/>
        </w:numPr>
      </w:pPr>
      <w:r>
        <w:t>按可验收业务能力拆分，不按 Controller/Service/DAO 技术层拆分迭代。</w:t>
      </w:r>
    </w:p>
    <w:p>
      <w:pPr>
        <w:pStyle w:val="BodyText"/>
        <w:numPr>
          <w:ilvl w:val="0"/>
          <w:numId w:val="100"/>
        </w:numPr>
      </w:pPr>
      <w:r>
        <w:t>每个能力同时包含 API、领域逻辑、审计、监控、测试和失败处理。</w:t>
      </w:r>
    </w:p>
    <w:p>
      <w:pPr>
        <w:pStyle w:val="BodyText"/>
        <w:numPr>
          <w:ilvl w:val="0"/>
          <w:numId w:val="100"/>
        </w:numPr>
      </w:pPr>
      <w:r>
        <w:t>优先完成一个端到端竖切：发起 → 人工审批 → 完成 → Webhook，再扩展节点类型。</w:t>
      </w:r>
    </w:p>
    <w:p>
      <w:pPr>
        <w:pStyle w:val="Heading1"/>
        <w:keepNext/>
      </w:pPr>
      <w:r>
        <w:t>16. 验收标准</w:t>
      </w:r>
    </w:p>
    <w:p>
      <w:pPr>
        <w:pStyle w:val="Heading2"/>
        <w:keepNext/>
      </w:pPr>
      <w:r>
        <w:t>16.1 产品验收</w:t>
      </w:r>
    </w:p>
    <w:p>
      <w:pPr>
        <w:pStyle w:val="BodyText"/>
        <w:numPr>
          <w:ilvl w:val="0"/>
          <w:numId w:val="100"/>
        </w:numPr>
      </w:pPr>
      <w:r>
        <w:t>至少两个不同业务类型的模板能够独立配置并运行，不需要修改核心代码。</w:t>
      </w:r>
    </w:p>
    <w:p>
      <w:pPr>
        <w:pStyle w:val="BodyText"/>
        <w:numPr>
          <w:ilvl w:val="0"/>
          <w:numId w:val="100"/>
        </w:numPr>
      </w:pPr>
      <w:r>
        <w:t>外部系统可通过 API 发起、查询并接收最终结果 Webhook。</w:t>
      </w:r>
    </w:p>
    <w:p>
      <w:pPr>
        <w:pStyle w:val="BodyText"/>
        <w:numPr>
          <w:ilvl w:val="0"/>
          <w:numId w:val="100"/>
        </w:numPr>
      </w:pPr>
      <w:r>
        <w:t>支持串行、条件、并行/会签路径以及同意、拒绝、撤回、转交。</w:t>
      </w:r>
    </w:p>
    <w:p>
      <w:pPr>
        <w:pStyle w:val="BodyText"/>
        <w:numPr>
          <w:ilvl w:val="0"/>
          <w:numId w:val="100"/>
        </w:numPr>
      </w:pPr>
      <w:r>
        <w:t>管理员能查看完整时间线、规则命中和回调交付记录。</w:t>
      </w:r>
    </w:p>
    <w:p>
      <w:pPr>
        <w:pStyle w:val="BodyText"/>
        <w:numPr>
          <w:ilvl w:val="0"/>
          <w:numId w:val="100"/>
        </w:numPr>
      </w:pPr>
      <w:r>
        <w:t>同一发布版本下，使用相同输入得到确定的路径和审批人解析结果。</w:t>
      </w:r>
    </w:p>
    <w:p>
      <w:pPr>
        <w:pStyle w:val="Heading2"/>
        <w:keepNext/>
      </w:pPr>
      <w:r>
        <w:t>16.2 技术验收</w:t>
      </w:r>
    </w:p>
    <w:p>
      <w:pPr>
        <w:pStyle w:val="BodyText"/>
        <w:numPr>
          <w:ilvl w:val="0"/>
          <w:numId w:val="100"/>
        </w:numPr>
      </w:pPr>
      <w:r>
        <w:t>通过跨租户访问、重复请求、并发审批和回调重放测试。</w:t>
      </w:r>
    </w:p>
    <w:p>
      <w:pPr>
        <w:pStyle w:val="BodyText"/>
        <w:numPr>
          <w:ilvl w:val="0"/>
          <w:numId w:val="100"/>
        </w:numPr>
      </w:pPr>
      <w:r>
        <w:t>达到第 2.3 节约定的性能和可用性指标，或形成经批准的差异记录。</w:t>
      </w:r>
    </w:p>
    <w:p>
      <w:pPr>
        <w:pStyle w:val="BodyText"/>
        <w:numPr>
          <w:ilvl w:val="0"/>
          <w:numId w:val="100"/>
        </w:numPr>
      </w:pPr>
      <w:r>
        <w:t>数据库恢复、Outbox 恢复和 Webhook 重放至少完成一次演练。</w:t>
      </w:r>
    </w:p>
    <w:p>
      <w:pPr>
        <w:pStyle w:val="BodyText"/>
        <w:numPr>
          <w:ilvl w:val="0"/>
          <w:numId w:val="100"/>
        </w:numPr>
      </w:pPr>
      <w:r>
        <w:t>核心领域模块不依赖 Flowable、Dubbo、ORM 具体实现。</w:t>
      </w:r>
    </w:p>
    <w:p>
      <w:pPr>
        <w:pStyle w:val="BodyText"/>
        <w:numPr>
          <w:ilvl w:val="0"/>
          <w:numId w:val="100"/>
        </w:numPr>
      </w:pPr>
      <w:r>
        <w:t>API、事件 Schema、部署、运维、备份和故障处理文档齐全。</w:t>
      </w:r>
    </w:p>
    <w:p>
      <w:pPr>
        <w:keepLines/>
        <w:spacing w:before="100" w:after="160" w:line="264" w:lineRule="auto"/>
        <w:ind w:left="115" w:right="115"/>
        <w:shd w:fill="FCEBEC"/>
        <w:pBdr>
          <w:left w:val="single" w:sz="18" w:space="8" w:color="9B1C1C"/>
        </w:pBdr>
      </w:pPr>
      <w:r>
        <w:rPr>
          <w:rFonts w:ascii="Microsoft YaHei" w:hAnsi="Microsoft YaHei" w:eastAsia="微软雅黑"/>
          <w:b/>
          <w:color w:val="9B1C1C"/>
          <w:sz w:val="21"/>
        </w:rPr>
        <w:t xml:space="preserve">上线门槛  </w:t>
      </w:r>
      <w:r>
        <w:rPr>
          <w:rFonts w:ascii="Microsoft YaHei" w:hAnsi="Microsoft YaHei" w:eastAsia="微软雅黑"/>
          <w:color w:val="243447"/>
          <w:sz w:val="21"/>
        </w:rPr>
        <w:t>若幂等、跨租户隔离、审计完整性、任务并发控制或 Webhook 重放任一项未通过，则不建议进入生产试点。</w:t>
      </w:r>
    </w:p>
    <w:p>
      <w:pPr>
        <w:pStyle w:val="Heading1"/>
        <w:keepNext/>
      </w:pPr>
      <w:r>
        <w:t>17.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2550"/>
        <w:gridCol w:w="4260"/>
      </w:tblGrid>
      <w:tr>
        <w:trPr>
          <w:cantSplit/>
          <w:tblHeader w:val="true"/>
        </w:trP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应对措施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把 DDD 模块过早拆成多个服务</w:t>
            </w:r>
          </w:p>
        </w:tc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开发和运维成本过高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第一阶段只保留两个部署单元；以拆分阈值驱动演进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领域模型被 Flowable 对象侵入</w:t>
            </w:r>
          </w:p>
        </w:tc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未来升级/替换引擎困难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使用 WorkflowEnginePort 和映射表，公共模型使用自有 ID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审批人解析依赖组织系统</w:t>
            </w:r>
          </w:p>
        </w:tc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组织接口故障阻塞发起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适配器、超时、缓存快照和明确失败策略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Webhook 重复导致业务副作用</w:t>
            </w:r>
          </w:p>
        </w:tc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重复付款/重复操作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事件 ID、HMAC、接收方幂等、重放审计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规则配置错误</w:t>
            </w:r>
          </w:p>
        </w:tc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错误自动通过或错误路径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发布校验、模拟、版本、灰度、异常默认转人工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多租户条件遗漏</w:t>
            </w:r>
          </w:p>
        </w:tc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严重数据泄露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Repository 强制 TenantContext、集成测试、数据库策略评估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范围持续膨胀</w:t>
            </w:r>
          </w:p>
        </w:tc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MVP 无法按期上线</w:t>
            </w:r>
          </w:p>
        </w:tc>
        <w:tc>
          <w:tcPr>
            <w:tcW w:type="dxa" w:w="42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P0/P1 门禁，真实业务试点优先，延期能力不进入主路径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后续演进</w:t>
      </w:r>
    </w:p>
    <w:p>
      <w:pPr>
        <w:pStyle w:val="Heading2"/>
        <w:keepNext/>
      </w:pPr>
      <w:r>
        <w:t>18.1 拆分微服务的触发条件</w:t>
      </w:r>
    </w:p>
    <w:p>
      <w:pPr>
        <w:pStyle w:val="BodyText"/>
        <w:numPr>
          <w:ilvl w:val="0"/>
          <w:numId w:val="100"/>
        </w:numPr>
      </w:pPr>
      <w:r>
        <w:t>任务查询与运行时写入出现明显不同的扩容需求。</w:t>
      </w:r>
    </w:p>
    <w:p>
      <w:pPr>
        <w:pStyle w:val="BodyText"/>
        <w:numPr>
          <w:ilvl w:val="0"/>
          <w:numId w:val="100"/>
        </w:numPr>
      </w:pPr>
      <w:r>
        <w:t>Webhook/通知故障需要独立隔离和发布。</w:t>
      </w:r>
    </w:p>
    <w:p>
      <w:pPr>
        <w:pStyle w:val="BodyText"/>
        <w:numPr>
          <w:ilvl w:val="0"/>
          <w:numId w:val="100"/>
        </w:numPr>
      </w:pPr>
      <w:r>
        <w:t>不同团队分别拥有流程定义、运行时或集成能力。</w:t>
      </w:r>
    </w:p>
    <w:p>
      <w:pPr>
        <w:pStyle w:val="BodyText"/>
        <w:numPr>
          <w:ilvl w:val="0"/>
          <w:numId w:val="100"/>
        </w:numPr>
      </w:pPr>
      <w:r>
        <w:t>单体发布频率成为团队协作瓶颈。</w:t>
      </w:r>
    </w:p>
    <w:p>
      <w:pPr>
        <w:pStyle w:val="BodyText"/>
        <w:numPr>
          <w:ilvl w:val="0"/>
          <w:numId w:val="100"/>
        </w:numPr>
      </w:pPr>
      <w:r>
        <w:t>某模块需要独立数据生命周期或合规边界。</w:t>
      </w:r>
    </w:p>
    <w:p>
      <w:pPr>
        <w:pStyle w:val="Heading2"/>
        <w:keepNext/>
      </w:pPr>
      <w:r>
        <w:t>18.2 建议演进顺序</w:t>
      </w:r>
    </w:p>
    <w:p>
      <w:pPr>
        <w:pStyle w:val="BodyText"/>
        <w:numPr>
          <w:ilvl w:val="0"/>
          <w:numId w:val="101"/>
        </w:numPr>
      </w:pPr>
      <w:r>
        <w:t>先将 worker 独立部署，并接入 RocketMQ/Kafka。</w:t>
      </w:r>
    </w:p>
    <w:p>
      <w:pPr>
        <w:pStyle w:val="BodyText"/>
        <w:numPr>
          <w:ilvl w:val="0"/>
          <w:numId w:val="101"/>
        </w:numPr>
      </w:pPr>
      <w:r>
        <w:t>按读写压力拆出 Task Query/Search，必要时接入 OpenSearch。</w:t>
      </w:r>
    </w:p>
    <w:p>
      <w:pPr>
        <w:pStyle w:val="BodyText"/>
        <w:numPr>
          <w:ilvl w:val="0"/>
          <w:numId w:val="101"/>
        </w:numPr>
      </w:pPr>
      <w:r>
        <w:t>将 Integration/Notification 拆为独立服务，形成连接器体系。</w:t>
      </w:r>
    </w:p>
    <w:p>
      <w:pPr>
        <w:pStyle w:val="BodyText"/>
        <w:numPr>
          <w:ilvl w:val="0"/>
          <w:numId w:val="101"/>
        </w:numPr>
      </w:pPr>
      <w:r>
        <w:t>建设规则发布治理、脚本沙箱和完整流程测试平台。</w:t>
      </w:r>
    </w:p>
    <w:p>
      <w:pPr>
        <w:pStyle w:val="BodyText"/>
        <w:numPr>
          <w:ilvl w:val="0"/>
          <w:numId w:val="101"/>
        </w:numPr>
      </w:pPr>
      <w:r>
        <w:t>引入 AI 摘要、材料检查、路由建议和低风险自动化评测。</w:t>
      </w:r>
    </w:p>
    <w:p>
      <w:pPr>
        <w:pStyle w:val="BodyText"/>
        <w:numPr>
          <w:ilvl w:val="0"/>
          <w:numId w:val="101"/>
        </w:numPr>
      </w:pPr>
      <w:r>
        <w:t>达到规模与监管要求后，再评估单元化、跨区域容灾和 OceanBase。</w:t>
      </w:r>
    </w:p>
    <w:p>
      <w:pPr>
        <w:pStyle w:val="Heading1"/>
        <w:keepNext/>
      </w:pPr>
      <w:r>
        <w:t>附录 A：发起审批接口示例</w:t>
      </w:r>
    </w:p>
    <w:p>
      <w:pPr>
        <w:keepLines/>
        <w:spacing w:before="80" w:after="160" w:line="240" w:lineRule="auto"/>
        <w:ind w:left="115" w:right="115"/>
        <w:shd w:fill="F7F8FA"/>
        <w:pBdr>
          <w:left w:val="single" w:sz="18" w:space="8" w:color="D0D5DD"/>
        </w:pBdr>
      </w:pPr>
      <w:r>
        <w:rPr>
          <w:rFonts w:ascii="Consolas" w:hAnsi="Consolas" w:eastAsia="Microsoft YaHei"/>
          <w:color w:val="243447"/>
          <w:sz w:val="17"/>
        </w:rPr>
        <w:t>POST /v1/approval-instances</w:t>
      </w:r>
      <w:r>
        <w:br/>
      </w:r>
      <w:r>
        <w:rPr>
          <w:rFonts w:ascii="Consolas" w:hAnsi="Consolas" w:eastAsia="Microsoft YaHei"/>
          <w:color w:val="243447"/>
          <w:sz w:val="17"/>
        </w:rPr>
        <w:t>Authorization: Bearer &lt;token&gt;</w:t>
      </w:r>
      <w:r>
        <w:br/>
      </w:r>
      <w:r>
        <w:rPr>
          <w:rFonts w:ascii="Consolas" w:hAnsi="Consolas" w:eastAsia="Microsoft YaHei"/>
          <w:color w:val="243447"/>
          <w:sz w:val="17"/>
        </w:rPr>
        <w:t>Idempotency-Key: 01J5-ORDER-20260815-0001</w:t>
      </w:r>
      <w:r>
        <w:br/>
      </w:r>
      <w:r>
        <w:rPr>
          <w:rFonts w:ascii="Consolas" w:hAnsi="Consolas" w:eastAsia="Microsoft YaHei"/>
          <w:color w:val="243447"/>
          <w:sz w:val="17"/>
        </w:rPr>
        <w:t>Content-Type: application/json</w:t>
      </w:r>
      <w:r>
        <w:br/>
      </w:r>
      <w:r>
        <w:rPr>
          <w:rFonts w:ascii="Consolas" w:hAnsi="Consolas" w:eastAsia="Microsoft YaHei"/>
          <w:color w:val="243447"/>
          <w:sz w:val="17"/>
        </w:rPr>
      </w:r>
      <w:r>
        <w:br/>
      </w:r>
      <w:r>
        <w:rPr>
          <w:rFonts w:ascii="Consolas" w:hAnsi="Consolas" w:eastAsia="Microsoft YaHei"/>
          <w:color w:val="243447"/>
          <w:sz w:val="17"/>
        </w:rPr>
        <w:t>{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"templateKey": "purchase_request",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"externalBusinessKey": "PO-2026-000123",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"initiator": { "type": "USER", "id": "u_10086" },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"variables": {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"amount": 23500.00,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"currency": "MYR",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"departmentId": "d_finance",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  "riskLevel": "MEDIUM"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},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"callbackContext": { "source": "procurement" }</w:t>
      </w:r>
      <w:r>
        <w:br/>
      </w:r>
      <w:r>
        <w:rPr>
          <w:rFonts w:ascii="Consolas" w:hAnsi="Consolas" w:eastAsia="Microsoft YaHei"/>
          <w:color w:val="243447"/>
          <w:sz w:val="17"/>
        </w:rPr>
        <w:t>}</w:t>
      </w:r>
    </w:p>
    <w:p>
      <w:pPr>
        <w:pStyle w:val="Heading2"/>
        <w:keepNext/>
      </w:pPr>
      <w:r>
        <w:t>建议响应</w:t>
      </w:r>
    </w:p>
    <w:p>
      <w:pPr>
        <w:keepLines/>
        <w:spacing w:before="80" w:after="160" w:line="240" w:lineRule="auto"/>
        <w:ind w:left="115" w:right="115"/>
        <w:shd w:fill="F7F8FA"/>
        <w:pBdr>
          <w:left w:val="single" w:sz="18" w:space="8" w:color="D0D5DD"/>
        </w:pBdr>
      </w:pPr>
      <w:r>
        <w:rPr>
          <w:rFonts w:ascii="Consolas" w:hAnsi="Consolas" w:eastAsia="Microsoft YaHei"/>
          <w:color w:val="243447"/>
          <w:sz w:val="17"/>
        </w:rPr>
        <w:t>HTTP/1.1 201 Created</w:t>
      </w:r>
      <w:r>
        <w:br/>
      </w:r>
      <w:r>
        <w:rPr>
          <w:rFonts w:ascii="Consolas" w:hAnsi="Consolas" w:eastAsia="Microsoft YaHei"/>
          <w:color w:val="243447"/>
          <w:sz w:val="17"/>
        </w:rPr>
        <w:t>{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"requestId": "req_01J5...",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"instanceId": "appr_01J5...",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"externalBusinessKey": "PO-2026-000123",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"status": "RUNNING",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"definitionVersion": 3,</w:t>
      </w:r>
      <w:r>
        <w:br/>
      </w:r>
      <w:r>
        <w:rPr>
          <w:rFonts w:ascii="Consolas" w:hAnsi="Consolas" w:eastAsia="Microsoft YaHei"/>
          <w:color w:val="243447"/>
          <w:sz w:val="17"/>
        </w:rPr>
        <w:t xml:space="preserve">  "createdAt": "2026-08-15T06:30:00Z"</w:t>
      </w:r>
      <w:r>
        <w:br/>
      </w:r>
      <w:r>
        <w:rPr>
          <w:rFonts w:ascii="Consolas" w:hAnsi="Consolas" w:eastAsia="Microsoft YaHei"/>
          <w:color w:val="243447"/>
          <w:sz w:val="17"/>
        </w:rPr>
        <w:t>}</w:t>
      </w:r>
    </w:p>
    <w:p>
      <w:pPr>
        <w:pStyle w:val="Heading1"/>
        <w:keepNext/>
      </w:pPr>
      <w:r>
        <w:t>附录 B：状态模型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4660"/>
      </w:tblGrid>
      <w:tr>
        <w:trPr>
          <w:cantSplit/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ApprovalInstance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DRAFT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仅用于允许草稿发起的场景；首期可选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ApprovalInstance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RUNNING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流程正在等待任务、规则或定时器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ApprovalInstance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APPROVED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流程按定义成功通过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ApprovalInstance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REJECTED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被拒绝并按定义结束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ApprovalInstance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WITHDRAWN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发起人在允许条件下撤回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ApprovalInstance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TERMINATED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管理员或业务系统强制终止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ApprovalTask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PENDING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待认领或待处理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ApprovalTask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CLAIMED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已认领但尚未完成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ApprovalTask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APPROVED/REJECTED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以审批动作完成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ApprovalTask</w:t>
            </w:r>
          </w:p>
        </w:tc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TRANSFERRED/CANCELLED</w:t>
            </w:r>
          </w:p>
        </w:tc>
        <w:tc>
          <w:tcPr>
            <w:tcW w:type="dxa" w:w="46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8"/>
              </w:rPr>
              <w:t>已转交或因流程推进被取消</w:t>
            </w:r>
          </w:p>
        </w:tc>
      </w:tr>
    </w:tbl>
    <w:p>
      <w:pPr>
        <w:spacing w:after="20"/>
      </w:pPr>
    </w:p>
    <w:p>
      <w:pPr>
        <w:pStyle w:val="BodyText"/>
      </w:pPr>
      <w:r>
        <w:t>状态转换必须通过领域命令完成。普通业务代码和运维脚本不得直接更新状态字段；任何管理员修复都应形成单独命令和审计记录。</w:t>
      </w:r>
    </w:p>
    <w:p>
      <w:pPr>
        <w:pStyle w:val="Heading1"/>
        <w:keepNext/>
      </w:pPr>
      <w:r>
        <w:t>附录 C：待确认事项与参考资料</w:t>
      </w:r>
    </w:p>
    <w:p>
      <w:pPr>
        <w:pStyle w:val="Heading2"/>
        <w:keepNext/>
      </w:pPr>
      <w:r>
        <w:t>C.1 立项评审前待确认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200"/>
        <w:gridCol w:w="1560"/>
      </w:tblGrid>
      <w:tr>
        <w:trPr>
          <w:cantSplit/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事项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建议默认值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微软雅黑"/>
                <w:b/>
                <w:color w:val="1F4D78"/>
                <w:sz w:val="17"/>
              </w:rPr>
              <w:t>负责人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首个试点场景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采购申请或费用申请，选择规则清晰、外部副作用可控的场景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产品/业务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数据库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优先使用团队已有 PostgreSQL 或 MySQL 标准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架构/运维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身份来源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企业 OIDC/SSO；组织关系通过适配器读取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安全/IT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消息队列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MVP 可用 Outbox 轮询；已有 RocketMQ 时直接接入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架构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表单设计器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首期基础组件，不建设通用低代码平台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产品/前端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RPO/RTO 与保留期</w:t>
            </w:r>
          </w:p>
        </w:tc>
        <w:tc>
          <w:tcPr>
            <w:tcW w:type="dxa" w:w="520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RPO 15 分钟、RTO 2 小时；保留期按业务合规确认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color w:val="243447"/>
                <w:sz w:val="17"/>
              </w:rPr>
              <w:t>业务/合规/运维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C.2 参考资料</w:t>
      </w:r>
    </w:p>
    <w:p>
      <w:pPr>
        <w:pStyle w:val="BodyText"/>
        <w:numPr>
          <w:ilvl w:val="0"/>
          <w:numId w:val="100"/>
        </w:numPr>
      </w:pPr>
      <w:r>
        <w:t>Apache Dubbo Protocol Overview: https://dubbo.apache.org/en/overview/mannual/java-sdk/reference-manual/protocol/overview/</w:t>
      </w:r>
    </w:p>
    <w:p>
      <w:pPr>
        <w:pStyle w:val="BodyText"/>
        <w:numPr>
          <w:ilvl w:val="0"/>
          <w:numId w:val="100"/>
        </w:numPr>
      </w:pPr>
      <w:r>
        <w:t>Flowable Open Source Documentation: https://www.flowable.com/open-source/docs/oss-introduction</w:t>
      </w:r>
    </w:p>
    <w:p>
      <w:pPr>
        <w:pStyle w:val="BodyText"/>
        <w:numPr>
          <w:ilvl w:val="0"/>
          <w:numId w:val="100"/>
        </w:numPr>
      </w:pPr>
      <w:r>
        <w:t>Apache Seata Transaction Models: https://seata.apache.org/docs/v2.5/overview/what-is-seata/</w:t>
      </w:r>
    </w:p>
    <w:p>
      <w:pPr>
        <w:pStyle w:val="BodyText"/>
        <w:numPr>
          <w:ilvl w:val="0"/>
          <w:numId w:val="100"/>
        </w:numPr>
      </w:pPr>
      <w:r>
        <w:t>Common Expression Language: https://cel.dev/</w:t>
      </w:r>
    </w:p>
    <w:p>
      <w:pPr>
        <w:pStyle w:val="BodyText"/>
        <w:numPr>
          <w:ilvl w:val="0"/>
          <w:numId w:val="100"/>
        </w:numPr>
      </w:pPr>
      <w:r>
        <w:t>OpenTelemetry Java: https://opentelemetry.io/docs/languages/java/</w:t>
      </w:r>
    </w:p>
    <w:p>
      <w:pPr>
        <w:pStyle w:val="BodyText"/>
        <w:numPr>
          <w:ilvl w:val="0"/>
          <w:numId w:val="100"/>
        </w:numPr>
      </w:pPr>
      <w:r>
        <w:t>NIST AI Risk Management Framework: https://airc.nist.gov/airmf-resources/airmf/</w:t>
      </w:r>
    </w:p>
    <w:p>
      <w:pPr>
        <w:pStyle w:val="Heading2"/>
        <w:keepNext/>
      </w:pPr>
      <w:r>
        <w:t>C.3 文档结论</w:t>
      </w:r>
    </w:p>
    <w:p>
      <w:pPr>
        <w:keepLines/>
        <w:spacing w:before="100" w:after="160" w:line="264" w:lineRule="auto"/>
        <w:ind w:left="115" w:right="115"/>
        <w:shd w:fill="E8EEF5"/>
        <w:pBdr>
          <w:left w:val="single" w:sz="18" w:space="8" w:color="1F4D78"/>
        </w:pBdr>
      </w:pPr>
      <w:r>
        <w:rPr>
          <w:rFonts w:ascii="Microsoft YaHei" w:hAnsi="Microsoft YaHei" w:eastAsia="微软雅黑"/>
          <w:b/>
          <w:color w:val="1F4D78"/>
          <w:sz w:val="21"/>
        </w:rPr>
        <w:t xml:space="preserve">推荐立项基线  </w:t>
      </w:r>
      <w:r>
        <w:rPr>
          <w:rFonts w:ascii="Microsoft YaHei" w:hAnsi="Microsoft YaHei" w:eastAsia="微软雅黑"/>
          <w:color w:val="243447"/>
          <w:sz w:val="21"/>
        </w:rPr>
        <w:t>以模块化 DDD 核心服务为主体，用 Dubbo Triple 提供内部契约，用 REST/Webhook 服务外部系统，用 Flowable 承担可靠流程状态机。第一阶段先做可上线的通用审批闭环，再依据真实压力和组织边界拆分微服务。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67085"/>
        <w:sz w:val="18"/>
      </w:rPr>
      <w:t xml:space="preserve">第 </w:t>
    </w:r>
    <w:fldSimple w:instr="PAGE">
      <w:r>
        <w:rPr>
          <w:rFonts w:ascii="Microsoft YaHei" w:hAnsi="Microsoft YaHei" w:eastAsia="微软雅黑"/>
        </w:rPr>
        <w:t>1</w:t>
      </w:r>
    </w:fldSimple>
    <w:r>
      <w:rPr>
        <w:rFonts w:ascii="Microsoft YaHei" w:hAnsi="Microsoft YaHei" w:eastAsia="微软雅黑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67085"/>
        <w:sz w:val="18"/>
      </w:rPr>
      <w:t>通用审批平台｜第一阶段技术方案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 w:eastAsia="微软雅黑"/>
      </w:rPr>
    </w:lvl>
  </w:abstractNum>
  <w:num w:numId="100">
    <w:abstractNumId w:val="100"/>
  </w:num>
  <w:abstractNum w:abstractNumId="1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Microsoft YaHei" w:hAnsi="Microsoft YaHei" w:eastAsia="微软雅黑"/>
      </w:rPr>
    </w:lvl>
  </w:abstract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微软雅黑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434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Microsoft YaHei" w:hAnsi="Microsoft YaHei" w:eastAsia="微软雅黑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64" w:lineRule="auto"/>
    </w:pPr>
    <w:rPr>
      <w:rFonts w:ascii="Microsoft YaHei" w:hAnsi="Microsoft YaHei" w:eastAsia="微软雅黑"/>
      <w:b w:val="0"/>
      <w:color w:val="24344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52" w:lineRule="auto"/>
    </w:pPr>
    <w:rPr>
      <w:rFonts w:ascii="Microsoft YaHei" w:hAnsi="Microsoft YaHei" w:eastAsia="微软雅黑"/>
      <w:b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通用审批流微服务第一阶段技术方案</dc:title>
  <dc:subject>轻量级通用审批平台 MVP 架构与实施方案</dc:subject>
  <dc:creator>Approval Platform Architecture Team</dc:creator>
  <cp:keywords>审批流, Dubbo, DDD, Flowable, 微服务, MVP</cp:keywords>
  <dc:description>Generated as a first-phase solution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