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6DA2F" w14:textId="77777777" w:rsidR="00F9465F" w:rsidRDefault="00000000" w:rsidP="006971C4">
      <w:pPr>
        <w:pStyle w:val="Heading1"/>
        <w:spacing w:before="0"/>
        <w:jc w:val="center"/>
      </w:pPr>
      <w:bookmarkStart w:id="0" w:name="X1ccbf2477f1e9b1aa249665e5532f7b1238e713"/>
      <w:r>
        <w:t>Predicting the Annual CES Benchmark Revision</w:t>
      </w:r>
    </w:p>
    <w:p w14:paraId="3A1D0396" w14:textId="7F2FB662" w:rsidR="00F9465F" w:rsidRDefault="00000000" w:rsidP="006971C4">
      <w:pPr>
        <w:pStyle w:val="Heading2"/>
        <w:spacing w:before="0"/>
        <w:jc w:val="center"/>
      </w:pPr>
      <w:bookmarkStart w:id="1" w:name="X37872970c087ead4ed02f31aba27a1adbb72c1b"/>
      <w:r>
        <w:t>Methodology for the Alt-NFP Nowcasting System</w:t>
      </w:r>
      <w:r w:rsidR="006971C4">
        <w:t>: Version 2 (2-25-2026)</w:t>
      </w:r>
    </w:p>
    <w:p w14:paraId="3BC1625E" w14:textId="77777777" w:rsidR="006971C4" w:rsidRDefault="006971C4">
      <w:pPr>
        <w:pStyle w:val="Heading2"/>
      </w:pPr>
      <w:bookmarkStart w:id="2" w:name="X68176248b5df84b8ba9a408825372d28125bf9c"/>
      <w:bookmarkEnd w:id="1"/>
    </w:p>
    <w:p w14:paraId="061F590D" w14:textId="1C3A85C1" w:rsidR="00F9465F" w:rsidRDefault="006971C4">
      <w:pPr>
        <w:pStyle w:val="Heading2"/>
      </w:pPr>
      <w:r>
        <w:t>Overview</w:t>
      </w:r>
    </w:p>
    <w:p w14:paraId="7BA80D1A" w14:textId="21E8F7B8" w:rsidR="00F9465F" w:rsidRDefault="00000000">
      <w:pPr>
        <w:pStyle w:val="FirstParagraph"/>
      </w:pPr>
      <w:r>
        <w:t xml:space="preserve">Each February, BLS publishes the </w:t>
      </w:r>
      <w:r w:rsidR="006971C4">
        <w:t xml:space="preserve">year </w:t>
      </w:r>
      <w:r w:rsidR="006971C4">
        <w:rPr>
          <w:i/>
          <w:iCs/>
        </w:rPr>
        <w:t>Y+</w:t>
      </w:r>
      <w:r w:rsidR="006971C4" w:rsidRPr="006971C4">
        <w:t>1</w:t>
      </w:r>
      <w:r w:rsidR="006971C4">
        <w:t xml:space="preserve"> </w:t>
      </w:r>
      <w:r w:rsidRPr="006971C4">
        <w:t>January</w:t>
      </w:r>
      <w:r>
        <w:t xml:space="preserve"> Employment Situation report alongside the annual benchmark revision: CES re-anchors </w:t>
      </w:r>
      <w:r w:rsidR="006971C4">
        <w:t>March</w:t>
      </w:r>
      <w:r>
        <w:t xml:space="preserve"> </w:t>
      </w:r>
      <w:r w:rsidR="006971C4">
        <w:rPr>
          <w:i/>
          <w:iCs/>
        </w:rPr>
        <w:t xml:space="preserve">Y </w:t>
      </w:r>
      <w:r>
        <w:t>employment level to the QCEW-derived near-census count, then distributes the revision linearly across the preceding 11 months via the wedge-back procedure. The revision affects 21 months of NSA data (April</w:t>
      </w:r>
      <w:r w:rsidR="00DC76D8">
        <w:t xml:space="preserve"> </w:t>
      </w:r>
      <w:r w:rsidR="00DC76D8">
        <w:rPr>
          <w:i/>
          <w:iCs/>
        </w:rPr>
        <w:t>Y-1</w:t>
      </w:r>
      <w:r>
        <w:t xml:space="preserve"> through</w:t>
      </w:r>
      <w:r w:rsidR="00DC76D8">
        <w:t xml:space="preserve"> </w:t>
      </w:r>
      <w:r>
        <w:t>December</w:t>
      </w:r>
      <w:r w:rsidR="00DC76D8" w:rsidRPr="00DC76D8">
        <w:rPr>
          <w:i/>
          <w:iCs/>
        </w:rPr>
        <w:t xml:space="preserve"> </w:t>
      </w:r>
      <w:r w:rsidR="00DC76D8">
        <w:rPr>
          <w:i/>
          <w:iCs/>
        </w:rPr>
        <w:t>Y</w:t>
      </w:r>
      <w:r>
        <w:t>) and 5 years of re-seasonalized SA data.</w:t>
      </w:r>
    </w:p>
    <w:p w14:paraId="790BA64A" w14:textId="2CE3C636" w:rsidR="00F9465F" w:rsidRDefault="00000000">
      <w:pPr>
        <w:pStyle w:val="BodyText"/>
      </w:pPr>
      <w:r>
        <w:t xml:space="preserve">Recent magnitudes have been </w:t>
      </w:r>
      <w:r w:rsidR="00DC76D8">
        <w:t>large</w:t>
      </w:r>
      <w:r>
        <w:t>:</w:t>
      </w:r>
    </w:p>
    <w:tbl>
      <w:tblPr>
        <w:tblStyle w:val="Table"/>
        <w:tblW w:w="5000" w:type="pct"/>
        <w:tblLayout w:type="fixed"/>
        <w:tblLook w:val="0020" w:firstRow="1" w:lastRow="0" w:firstColumn="0" w:lastColumn="0" w:noHBand="0" w:noVBand="0"/>
      </w:tblPr>
      <w:tblGrid>
        <w:gridCol w:w="2151"/>
        <w:gridCol w:w="2150"/>
        <w:gridCol w:w="2150"/>
        <w:gridCol w:w="2909"/>
      </w:tblGrid>
      <w:tr w:rsidR="00F9465F" w14:paraId="531F8CB6" w14:textId="77777777" w:rsidTr="00F9465F">
        <w:trPr>
          <w:cnfStyle w:val="100000000000" w:firstRow="1" w:lastRow="0" w:firstColumn="0" w:lastColumn="0" w:oddVBand="0" w:evenVBand="0" w:oddHBand="0" w:evenHBand="0" w:firstRowFirstColumn="0" w:firstRowLastColumn="0" w:lastRowFirstColumn="0" w:lastRowLastColumn="0"/>
          <w:tblHeader/>
        </w:trPr>
        <w:tc>
          <w:tcPr>
            <w:tcW w:w="1819" w:type="dxa"/>
          </w:tcPr>
          <w:p w14:paraId="4EF74ADC" w14:textId="77777777" w:rsidR="00F9465F" w:rsidRDefault="00000000">
            <w:pPr>
              <w:pStyle w:val="Compact"/>
            </w:pPr>
            <w:r>
              <w:t>Benchmark (March Y)</w:t>
            </w:r>
          </w:p>
        </w:tc>
        <w:tc>
          <w:tcPr>
            <w:tcW w:w="1819" w:type="dxa"/>
          </w:tcPr>
          <w:p w14:paraId="7FFFBC00" w14:textId="77777777" w:rsidR="00F9465F" w:rsidRDefault="00000000">
            <w:pPr>
              <w:pStyle w:val="Compact"/>
            </w:pPr>
            <w:r>
              <w:t>NSA revision (000s)</w:t>
            </w:r>
          </w:p>
        </w:tc>
        <w:tc>
          <w:tcPr>
            <w:tcW w:w="1819" w:type="dxa"/>
          </w:tcPr>
          <w:p w14:paraId="10DC434A" w14:textId="77777777" w:rsidR="00F9465F" w:rsidRDefault="00000000">
            <w:pPr>
              <w:pStyle w:val="Compact"/>
            </w:pPr>
            <w:r>
              <w:t>% of employment</w:t>
            </w:r>
          </w:p>
        </w:tc>
        <w:tc>
          <w:tcPr>
            <w:tcW w:w="2461" w:type="dxa"/>
          </w:tcPr>
          <w:p w14:paraId="6D0E27F3" w14:textId="77777777" w:rsidR="00F9465F" w:rsidRDefault="00000000">
            <w:pPr>
              <w:pStyle w:val="Compact"/>
            </w:pPr>
            <w:r>
              <w:t>Cumulative B/D forecast (000s)</w:t>
            </w:r>
          </w:p>
        </w:tc>
      </w:tr>
      <w:tr w:rsidR="00F9465F" w14:paraId="413FF7B1" w14:textId="77777777">
        <w:tc>
          <w:tcPr>
            <w:tcW w:w="1819" w:type="dxa"/>
          </w:tcPr>
          <w:p w14:paraId="7C66107C" w14:textId="77777777" w:rsidR="00F9465F" w:rsidRDefault="00000000">
            <w:pPr>
              <w:pStyle w:val="Compact"/>
            </w:pPr>
            <w:r>
              <w:t>2025</w:t>
            </w:r>
          </w:p>
        </w:tc>
        <w:tc>
          <w:tcPr>
            <w:tcW w:w="1819" w:type="dxa"/>
          </w:tcPr>
          <w:p w14:paraId="7293543D" w14:textId="77777777" w:rsidR="00F9465F" w:rsidRDefault="00000000">
            <w:pPr>
              <w:pStyle w:val="Compact"/>
            </w:pPr>
            <w:r>
              <w:t>−862</w:t>
            </w:r>
          </w:p>
        </w:tc>
        <w:tc>
          <w:tcPr>
            <w:tcW w:w="1819" w:type="dxa"/>
          </w:tcPr>
          <w:p w14:paraId="19139748" w14:textId="77777777" w:rsidR="00F9465F" w:rsidRDefault="00000000">
            <w:pPr>
              <w:pStyle w:val="Compact"/>
            </w:pPr>
            <w:r>
              <w:t>−0.5%</w:t>
            </w:r>
          </w:p>
        </w:tc>
        <w:tc>
          <w:tcPr>
            <w:tcW w:w="2461" w:type="dxa"/>
          </w:tcPr>
          <w:p w14:paraId="1F9F6705" w14:textId="77777777" w:rsidR="00F9465F" w:rsidRDefault="00000000">
            <w:pPr>
              <w:pStyle w:val="Compact"/>
            </w:pPr>
            <w:r>
              <w:t>~1,400+</w:t>
            </w:r>
          </w:p>
        </w:tc>
      </w:tr>
      <w:tr w:rsidR="00F9465F" w14:paraId="2E206DB9" w14:textId="77777777">
        <w:tc>
          <w:tcPr>
            <w:tcW w:w="1819" w:type="dxa"/>
          </w:tcPr>
          <w:p w14:paraId="4E0E2913" w14:textId="77777777" w:rsidR="00F9465F" w:rsidRDefault="00000000">
            <w:pPr>
              <w:pStyle w:val="Compact"/>
            </w:pPr>
            <w:r>
              <w:t>2024</w:t>
            </w:r>
          </w:p>
        </w:tc>
        <w:tc>
          <w:tcPr>
            <w:tcW w:w="1819" w:type="dxa"/>
          </w:tcPr>
          <w:p w14:paraId="104AADB3" w14:textId="77777777" w:rsidR="00F9465F" w:rsidRDefault="00000000">
            <w:pPr>
              <w:pStyle w:val="Compact"/>
            </w:pPr>
            <w:r>
              <w:t>−598</w:t>
            </w:r>
          </w:p>
        </w:tc>
        <w:tc>
          <w:tcPr>
            <w:tcW w:w="1819" w:type="dxa"/>
          </w:tcPr>
          <w:p w14:paraId="1BF65FCE" w14:textId="77777777" w:rsidR="00F9465F" w:rsidRDefault="00000000">
            <w:pPr>
              <w:pStyle w:val="Compact"/>
            </w:pPr>
            <w:r>
              <w:t>−0.4%</w:t>
            </w:r>
          </w:p>
        </w:tc>
        <w:tc>
          <w:tcPr>
            <w:tcW w:w="2461" w:type="dxa"/>
          </w:tcPr>
          <w:p w14:paraId="55C62904" w14:textId="77777777" w:rsidR="00F9465F" w:rsidRDefault="00000000">
            <w:pPr>
              <w:pStyle w:val="Compact"/>
            </w:pPr>
            <w:r>
              <w:t>+1,365</w:t>
            </w:r>
          </w:p>
        </w:tc>
      </w:tr>
      <w:tr w:rsidR="00F9465F" w14:paraId="425D85C1" w14:textId="77777777">
        <w:tc>
          <w:tcPr>
            <w:tcW w:w="1819" w:type="dxa"/>
          </w:tcPr>
          <w:p w14:paraId="2D1E21EF" w14:textId="77777777" w:rsidR="00F9465F" w:rsidRDefault="00000000">
            <w:pPr>
              <w:pStyle w:val="Compact"/>
            </w:pPr>
            <w:r>
              <w:t>2023</w:t>
            </w:r>
          </w:p>
        </w:tc>
        <w:tc>
          <w:tcPr>
            <w:tcW w:w="1819" w:type="dxa"/>
          </w:tcPr>
          <w:p w14:paraId="78088B7D" w14:textId="77777777" w:rsidR="00F9465F" w:rsidRDefault="00000000">
            <w:pPr>
              <w:pStyle w:val="Compact"/>
            </w:pPr>
            <w:r>
              <w:t>−105</w:t>
            </w:r>
          </w:p>
        </w:tc>
        <w:tc>
          <w:tcPr>
            <w:tcW w:w="1819" w:type="dxa"/>
          </w:tcPr>
          <w:p w14:paraId="7ADC270E" w14:textId="77777777" w:rsidR="00F9465F" w:rsidRDefault="00000000">
            <w:pPr>
              <w:pStyle w:val="Compact"/>
            </w:pPr>
            <w:r>
              <w:t>−0.07%</w:t>
            </w:r>
          </w:p>
        </w:tc>
        <w:tc>
          <w:tcPr>
            <w:tcW w:w="2461" w:type="dxa"/>
          </w:tcPr>
          <w:p w14:paraId="6AD32C75" w14:textId="77777777" w:rsidR="00F9465F" w:rsidRDefault="00000000">
            <w:pPr>
              <w:pStyle w:val="Compact"/>
            </w:pPr>
            <w:r>
              <w:t>~900</w:t>
            </w:r>
          </w:p>
        </w:tc>
      </w:tr>
      <w:tr w:rsidR="00F9465F" w14:paraId="1FA33CA2" w14:textId="77777777">
        <w:tc>
          <w:tcPr>
            <w:tcW w:w="1819" w:type="dxa"/>
          </w:tcPr>
          <w:p w14:paraId="18E123B1" w14:textId="77777777" w:rsidR="00F9465F" w:rsidRDefault="00000000">
            <w:pPr>
              <w:pStyle w:val="Compact"/>
            </w:pPr>
            <w:r>
              <w:t>2019</w:t>
            </w:r>
          </w:p>
        </w:tc>
        <w:tc>
          <w:tcPr>
            <w:tcW w:w="1819" w:type="dxa"/>
          </w:tcPr>
          <w:p w14:paraId="10230A55" w14:textId="77777777" w:rsidR="00F9465F" w:rsidRDefault="00000000">
            <w:pPr>
              <w:pStyle w:val="Compact"/>
            </w:pPr>
            <w:r>
              <w:t>−505</w:t>
            </w:r>
          </w:p>
        </w:tc>
        <w:tc>
          <w:tcPr>
            <w:tcW w:w="1819" w:type="dxa"/>
          </w:tcPr>
          <w:p w14:paraId="2B5007DE" w14:textId="77777777" w:rsidR="00F9465F" w:rsidRDefault="00000000">
            <w:pPr>
              <w:pStyle w:val="Compact"/>
            </w:pPr>
            <w:r>
              <w:t>−0.3%</w:t>
            </w:r>
          </w:p>
        </w:tc>
        <w:tc>
          <w:tcPr>
            <w:tcW w:w="2461" w:type="dxa"/>
          </w:tcPr>
          <w:p w14:paraId="384A90D6" w14:textId="77777777" w:rsidR="00F9465F" w:rsidRDefault="00000000">
            <w:pPr>
              <w:pStyle w:val="Compact"/>
            </w:pPr>
            <w:r>
              <w:t>+1,068</w:t>
            </w:r>
          </w:p>
        </w:tc>
      </w:tr>
      <w:tr w:rsidR="00F9465F" w14:paraId="511932A3" w14:textId="77777777">
        <w:tc>
          <w:tcPr>
            <w:tcW w:w="1819" w:type="dxa"/>
          </w:tcPr>
          <w:p w14:paraId="5459D2FD" w14:textId="77777777" w:rsidR="00F9465F" w:rsidRDefault="00000000">
            <w:pPr>
              <w:pStyle w:val="Compact"/>
            </w:pPr>
            <w:r>
              <w:t>2009</w:t>
            </w:r>
          </w:p>
        </w:tc>
        <w:tc>
          <w:tcPr>
            <w:tcW w:w="1819" w:type="dxa"/>
          </w:tcPr>
          <w:p w14:paraId="15002056" w14:textId="77777777" w:rsidR="00F9465F" w:rsidRDefault="00000000">
            <w:pPr>
              <w:pStyle w:val="Compact"/>
            </w:pPr>
            <w:r>
              <w:t>−902</w:t>
            </w:r>
          </w:p>
        </w:tc>
        <w:tc>
          <w:tcPr>
            <w:tcW w:w="1819" w:type="dxa"/>
          </w:tcPr>
          <w:p w14:paraId="40E53059" w14:textId="77777777" w:rsidR="00F9465F" w:rsidRDefault="00000000">
            <w:pPr>
              <w:pStyle w:val="Compact"/>
            </w:pPr>
            <w:r>
              <w:t>—</w:t>
            </w:r>
          </w:p>
        </w:tc>
        <w:tc>
          <w:tcPr>
            <w:tcW w:w="2461" w:type="dxa"/>
          </w:tcPr>
          <w:p w14:paraId="337CAD82" w14:textId="77777777" w:rsidR="00F9465F" w:rsidRDefault="00000000">
            <w:pPr>
              <w:pStyle w:val="Compact"/>
            </w:pPr>
            <w:r>
              <w:t>+717</w:t>
            </w:r>
          </w:p>
        </w:tc>
      </w:tr>
    </w:tbl>
    <w:p w14:paraId="4EB86BF5" w14:textId="355CB8A1" w:rsidR="00F9465F" w:rsidRDefault="00000000">
      <w:pPr>
        <w:pStyle w:val="BodyText"/>
      </w:pPr>
      <w:r>
        <w:t xml:space="preserve">The revision is overwhelmingly a birth/death </w:t>
      </w:r>
      <w:r w:rsidR="006971C4">
        <w:t xml:space="preserve">(B/D) </w:t>
      </w:r>
      <w:r>
        <w:t>model phenomenon. The B/D model contributes roughly one-third to two-thirds of reported CES job gains in any given year, and when it errs, it errs large and persistently. The 10-year average absolute revision is ±0.1</w:t>
      </w:r>
      <w:r w:rsidR="00DC76D8">
        <w:t xml:space="preserve"> (~0</w:t>
      </w:r>
      <w:r>
        <w:t>.2% of employment</w:t>
      </w:r>
      <w:r w:rsidR="00DC76D8">
        <w:t>)</w:t>
      </w:r>
      <w:r>
        <w:t>; 2024 and 2025 exceeded this by 2–5×.</w:t>
      </w:r>
    </w:p>
    <w:p w14:paraId="1412808E" w14:textId="77777777" w:rsidR="00F9465F" w:rsidRDefault="00000000">
      <w:pPr>
        <w:pStyle w:val="BodyText"/>
      </w:pPr>
      <w:r>
        <w:t>A preliminary benchmark is published in August/September (~6 months before the final). Recent preliminary-to-final gaps (−818K → −598K for 2024; −911K → −862K for 2025) suggest the preliminary systematically overstates downward revisions by 100–220K.</w:t>
      </w:r>
    </w:p>
    <w:p w14:paraId="24DA864E" w14:textId="77777777" w:rsidR="00F9465F" w:rsidRDefault="00000000">
      <w:pPr>
        <w:pStyle w:val="BodyText"/>
      </w:pPr>
      <w:r>
        <w:t>Predicting this revision — especially before the preliminary — is the highest-value application of the payroll-provider nowcasting system. Providers observe continuing-units employment in real time, giving a direct read on the gap between what CES reports and what is actually happening.</w:t>
      </w:r>
    </w:p>
    <w:p w14:paraId="5B317B02" w14:textId="77777777" w:rsidR="00DC76D8" w:rsidRDefault="00DC76D8">
      <w:pPr>
        <w:pStyle w:val="Heading2"/>
      </w:pPr>
      <w:bookmarkStart w:id="3" w:name="X60c0f160e5c0727ec7a04796a40f63569ee45ae"/>
      <w:bookmarkEnd w:id="2"/>
    </w:p>
    <w:p w14:paraId="6E5F1315" w14:textId="75190068" w:rsidR="00F9465F" w:rsidRDefault="00DC76D8">
      <w:pPr>
        <w:pStyle w:val="Heading2"/>
      </w:pPr>
      <w:r>
        <w:t>1. Benchmark Prediction Methodology</w:t>
      </w:r>
    </w:p>
    <w:p w14:paraId="506C0809" w14:textId="1529F796" w:rsidR="00F9465F" w:rsidRDefault="00DC76D8" w:rsidP="00DC76D8">
      <w:pPr>
        <w:pStyle w:val="Heading3"/>
        <w:spacing w:before="240"/>
      </w:pPr>
      <w:bookmarkStart w:id="4" w:name="model-structure-recap"/>
      <w:r>
        <w:t>1.1 Model structure recap</w:t>
      </w:r>
    </w:p>
    <w:p w14:paraId="2A979487" w14:textId="77777777" w:rsidR="00FE0DBE" w:rsidRDefault="00FE0DBE" w:rsidP="00FE0DBE">
      <w:pPr>
        <w:pStyle w:val="FirstParagraph"/>
      </w:pPr>
      <w:r>
        <w:t>The Release 1 model decomposes total employment growth as:</w:t>
      </w:r>
    </w:p>
    <w:p w14:paraId="1429C1E2" w14:textId="77777777" w:rsidR="00FE0DBE" w:rsidRDefault="00000000" w:rsidP="00FE0DBE">
      <w:pPr>
        <w:pStyle w:val="BodyText"/>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total</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cont</m:t>
              </m:r>
            </m:sup>
          </m:sSubSup>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D</m:t>
              </m:r>
            </m:e>
            <m:sub>
              <m:r>
                <w:rPr>
                  <w:rFonts w:ascii="Cambria Math" w:hAnsi="Cambria Math"/>
                </w:rPr>
                <m:t>t</m:t>
              </m:r>
            </m:sub>
          </m:sSub>
        </m:oMath>
      </m:oMathPara>
    </w:p>
    <w:p w14:paraId="20FFAF7B" w14:textId="77777777" w:rsidR="00FE0DBE" w:rsidRDefault="00FE0DBE" w:rsidP="00FE0DBE">
      <w:pPr>
        <w:pStyle w:val="FirstParagraph"/>
      </w:pPr>
      <w:r>
        <w:t xml:space="preserve">where </w:t>
      </w:r>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cont</m:t>
            </m:r>
          </m:sup>
        </m:sSubSup>
      </m:oMath>
      <w:r>
        <w:t xml:space="preserve"> follows an </w:t>
      </w:r>
      <w:proofErr w:type="gramStart"/>
      <w:r>
        <w:t>AR(</w:t>
      </w:r>
      <w:proofErr w:type="gramEnd"/>
      <w:r>
        <w:t xml:space="preserve">1) latent process and </w:t>
      </w:r>
      <m:oMath>
        <m:r>
          <w:rPr>
            <w:rFonts w:ascii="Cambria Math" w:hAnsi="Cambria Math"/>
          </w:rPr>
          <m:t>B</m:t>
        </m:r>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is the structural birth/death offset. Three composite signals feed measurement equations:</w:t>
      </w:r>
    </w:p>
    <w:p w14:paraId="0BFBB3E4" w14:textId="77777777" w:rsidR="00FE0DBE" w:rsidRDefault="00000000" w:rsidP="00FE0DBE">
      <w:pPr>
        <w:pStyle w:val="BodyText"/>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cont</m:t>
              </m:r>
              <m:r>
                <m:rPr>
                  <m:sty m:val="p"/>
                </m:rPr>
                <w:rPr>
                  <w:rFonts w:ascii="Cambria Math" w:hAnsi="Cambria Math"/>
                </w:rPr>
                <m:t>,</m:t>
              </m:r>
              <m:r>
                <w:rPr>
                  <w:rFonts w:ascii="Cambria Math" w:hAnsi="Cambria Math"/>
                </w:rPr>
                <m:t>NSA</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cont</m:t>
              </m:r>
            </m:sup>
          </m:sSub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oMath>
      </m:oMathPara>
    </w:p>
    <w:p w14:paraId="5230D9C4" w14:textId="77777777" w:rsidR="00FE0DBE" w:rsidRDefault="00000000" w:rsidP="00FE0DBE">
      <w:pPr>
        <w:pStyle w:val="FirstParagraph"/>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total</m:t>
              </m:r>
              <m:r>
                <m:rPr>
                  <m:sty m:val="p"/>
                </m:rPr>
                <w:rPr>
                  <w:rFonts w:ascii="Cambria Math" w:hAnsi="Cambria Math"/>
                </w:rPr>
                <m:t>,</m:t>
              </m:r>
              <m:r>
                <w:rPr>
                  <w:rFonts w:ascii="Cambria Math" w:hAnsi="Cambria Math"/>
                </w:rPr>
                <m:t>SA</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cont</m:t>
              </m:r>
            </m:sup>
          </m:sSubSup>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D</m:t>
              </m:r>
            </m:e>
            <m:sub>
              <m:r>
                <w:rPr>
                  <w:rFonts w:ascii="Cambria Math" w:hAnsi="Cambria Math"/>
                </w:rPr>
                <m:t>t</m:t>
              </m:r>
            </m:sub>
          </m:sSub>
        </m:oMath>
      </m:oMathPara>
    </w:p>
    <w:p w14:paraId="371F06ED" w14:textId="77777777" w:rsidR="00FE0DBE" w:rsidRDefault="00000000" w:rsidP="00FE0DBE">
      <w:pPr>
        <w:pStyle w:val="FirstParagraph"/>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total</m:t>
              </m:r>
              <m:r>
                <m:rPr>
                  <m:sty m:val="p"/>
                </m:rPr>
                <w:rPr>
                  <w:rFonts w:ascii="Cambria Math" w:hAnsi="Cambria Math"/>
                </w:rPr>
                <m:t>,</m:t>
              </m:r>
              <m:r>
                <w:rPr>
                  <w:rFonts w:ascii="Cambria Math" w:hAnsi="Cambria Math"/>
                </w:rPr>
                <m:t>NSA</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cont</m:t>
              </m:r>
            </m:sup>
          </m:sSubSup>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oMath>
      </m:oMathPara>
    </w:p>
    <w:p w14:paraId="3C5979F4" w14:textId="77777777" w:rsidR="00FE0DBE" w:rsidRDefault="00FE0DBE" w:rsidP="00FE0DBE">
      <w:pPr>
        <w:pStyle w:val="FirstParagraph"/>
      </w:pPr>
      <w:r>
        <w:t>Three data sources observe these signals through measurement equations. QCEW observes total NSA growth with near-census precision:</w:t>
      </w:r>
    </w:p>
    <w:p w14:paraId="4FA866E6" w14:textId="77777777" w:rsidR="00FE0DBE" w:rsidRDefault="00000000" w:rsidP="00FE0DBE">
      <w:pPr>
        <w:pStyle w:val="BodyText"/>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QCEW</m:t>
              </m:r>
            </m:sup>
          </m:sSubSup>
          <m:r>
            <m:rPr>
              <m:sty m:val="p"/>
            </m:rPr>
            <w:rPr>
              <w:rFonts w:ascii="Cambria Math" w:hAnsi="Cambria Math"/>
            </w:rPr>
            <m:t>∼</m:t>
          </m:r>
          <m:r>
            <w:rPr>
              <w:rFonts w:ascii="Cambria Math" w:hAnsi="Cambria Math"/>
            </w:rPr>
            <m:t>N</m:t>
          </m:r>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total</m:t>
                  </m:r>
                  <m:r>
                    <m:rPr>
                      <m:sty m:val="p"/>
                    </m:rPr>
                    <w:rPr>
                      <w:rFonts w:ascii="Cambria Math" w:hAnsi="Cambria Math"/>
                    </w:rPr>
                    <m:t>,</m:t>
                  </m:r>
                  <m:r>
                    <w:rPr>
                      <w:rFonts w:ascii="Cambria Math" w:hAnsi="Cambria Math"/>
                    </w:rPr>
                    <m:t>NSA</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r>
                    <w:rPr>
                      <w:rFonts w:ascii="Cambria Math" w:hAnsi="Cambria Math"/>
                    </w:rPr>
                    <m:t>QCEW</m:t>
                  </m:r>
                </m:sub>
                <m:sup>
                  <m:r>
                    <w:rPr>
                      <w:rFonts w:ascii="Cambria Math" w:hAnsi="Cambria Math"/>
                    </w:rPr>
                    <m:t>2</m:t>
                  </m:r>
                </m:sup>
              </m:sSubSup>
              <m:d>
                <m:dPr>
                  <m:ctrlPr>
                    <w:rPr>
                      <w:rFonts w:ascii="Cambria Math" w:hAnsi="Cambria Math"/>
                    </w:rPr>
                  </m:ctrlPr>
                </m:dPr>
                <m:e>
                  <m:r>
                    <w:rPr>
                      <w:rFonts w:ascii="Cambria Math" w:hAnsi="Cambria Math"/>
                    </w:rPr>
                    <m:t>t</m:t>
                  </m:r>
                </m:e>
              </m:d>
            </m:e>
          </m:d>
        </m:oMath>
      </m:oMathPara>
    </w:p>
    <w:p w14:paraId="0A80568E" w14:textId="77777777" w:rsidR="00FE0DBE" w:rsidRDefault="00FE0DBE" w:rsidP="00FE0DBE">
      <w:pPr>
        <w:pStyle w:val="FirstParagraph"/>
      </w:pPr>
      <w:r>
        <w:t xml:space="preserve">CES observes total growth (both SA and NSA) with vintage-specific noise, shared bias, and signal loading. For vintage </w:t>
      </w:r>
      <m:oMath>
        <m:r>
          <w:rPr>
            <w:rFonts w:ascii="Cambria Math" w:hAnsi="Cambria Math"/>
          </w:rPr>
          <m:t>v</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w:t>
      </w:r>
    </w:p>
    <w:p w14:paraId="7885469F" w14:textId="77777777" w:rsidR="00FE0DBE" w:rsidRDefault="00000000" w:rsidP="00FE0DBE">
      <w:pPr>
        <w:pStyle w:val="BodyText"/>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v</m:t>
              </m:r>
            </m:sub>
            <m:sup>
              <m:r>
                <w:rPr>
                  <w:rFonts w:ascii="Cambria Math" w:hAnsi="Cambria Math"/>
                </w:rPr>
                <m:t>CES</m:t>
              </m:r>
              <m:r>
                <m:rPr>
                  <m:sty m:val="p"/>
                </m:rPr>
                <w:rPr>
                  <w:rFonts w:ascii="Cambria Math" w:hAnsi="Cambria Math"/>
                </w:rPr>
                <m:t>,</m:t>
              </m:r>
              <m:r>
                <w:rPr>
                  <w:rFonts w:ascii="Cambria Math" w:hAnsi="Cambria Math"/>
                </w:rPr>
                <m:t>SA</m:t>
              </m:r>
            </m:sup>
          </m:sSubSup>
          <m:r>
            <m:rPr>
              <m:sty m:val="p"/>
            </m:rPr>
            <w:rPr>
              <w:rFonts w:ascii="Cambria Math" w:hAnsi="Cambria Math"/>
            </w:rPr>
            <m:t>∼</m:t>
          </m:r>
          <m:r>
            <w:rPr>
              <w:rFonts w:ascii="Cambria Math" w:hAnsi="Cambria Math"/>
            </w:rPr>
            <m:t>N</m:t>
          </m:r>
          <m:d>
            <m:dPr>
              <m:ctrlPr>
                <w:rPr>
                  <w:rFonts w:ascii="Cambria Math" w:hAnsi="Cambria Math"/>
                </w:rPr>
              </m:ctrlPr>
            </m:dPr>
            <m:e>
              <m:sSup>
                <m:sSupPr>
                  <m:ctrlPr>
                    <w:rPr>
                      <w:rFonts w:ascii="Cambria Math" w:hAnsi="Cambria Math"/>
                    </w:rPr>
                  </m:ctrlPr>
                </m:sSupPr>
                <m:e>
                  <m:r>
                    <w:rPr>
                      <w:rFonts w:ascii="Cambria Math" w:hAnsi="Cambria Math"/>
                    </w:rPr>
                    <m:t>α</m:t>
                  </m:r>
                </m:e>
                <m:sup>
                  <m:r>
                    <w:rPr>
                      <w:rFonts w:ascii="Cambria Math" w:hAnsi="Cambria Math"/>
                    </w:rPr>
                    <m:t>CES</m:t>
                  </m:r>
                </m:sup>
              </m:sSup>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CES</m:t>
                  </m:r>
                </m:sup>
              </m:s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total</m:t>
                  </m:r>
                  <m:r>
                    <m:rPr>
                      <m:sty m:val="p"/>
                    </m:rPr>
                    <w:rPr>
                      <w:rFonts w:ascii="Cambria Math" w:hAnsi="Cambria Math"/>
                    </w:rPr>
                    <m:t>,</m:t>
                  </m:r>
                  <m:r>
                    <w:rPr>
                      <w:rFonts w:ascii="Cambria Math" w:hAnsi="Cambria Math"/>
                    </w:rPr>
                    <m:t>SA</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r>
                    <w:rPr>
                      <w:rFonts w:ascii="Cambria Math" w:hAnsi="Cambria Math"/>
                    </w:rPr>
                    <m:t>CES</m:t>
                  </m:r>
                  <m:r>
                    <m:rPr>
                      <m:sty m:val="p"/>
                    </m:rPr>
                    <w:rPr>
                      <w:rFonts w:ascii="Cambria Math" w:hAnsi="Cambria Math"/>
                    </w:rPr>
                    <m:t>,</m:t>
                  </m:r>
                  <m:r>
                    <w:rPr>
                      <w:rFonts w:ascii="Cambria Math" w:hAnsi="Cambria Math"/>
                    </w:rPr>
                    <m:t>SA</m:t>
                  </m:r>
                  <m:r>
                    <m:rPr>
                      <m:sty m:val="p"/>
                    </m:rPr>
                    <w:rPr>
                      <w:rFonts w:ascii="Cambria Math" w:hAnsi="Cambria Math"/>
                    </w:rPr>
                    <m:t>,</m:t>
                  </m:r>
                  <m:r>
                    <w:rPr>
                      <w:rFonts w:ascii="Cambria Math" w:hAnsi="Cambria Math"/>
                    </w:rPr>
                    <m:t>v</m:t>
                  </m:r>
                </m:sub>
                <m:sup>
                  <m:r>
                    <w:rPr>
                      <w:rFonts w:ascii="Cambria Math" w:hAnsi="Cambria Math"/>
                    </w:rPr>
                    <m:t>2</m:t>
                  </m:r>
                </m:sup>
              </m:sSubSup>
            </m:e>
          </m:d>
        </m:oMath>
      </m:oMathPara>
    </w:p>
    <w:p w14:paraId="2BF33514" w14:textId="77777777" w:rsidR="00FE0DBE" w:rsidRDefault="00000000" w:rsidP="00FE0DBE">
      <w:pPr>
        <w:pStyle w:val="FirstParagraph"/>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v</m:t>
              </m:r>
            </m:sub>
            <m:sup>
              <m:r>
                <w:rPr>
                  <w:rFonts w:ascii="Cambria Math" w:hAnsi="Cambria Math"/>
                </w:rPr>
                <m:t>CES</m:t>
              </m:r>
              <m:r>
                <m:rPr>
                  <m:sty m:val="p"/>
                </m:rPr>
                <w:rPr>
                  <w:rFonts w:ascii="Cambria Math" w:hAnsi="Cambria Math"/>
                </w:rPr>
                <m:t>,</m:t>
              </m:r>
              <m:r>
                <w:rPr>
                  <w:rFonts w:ascii="Cambria Math" w:hAnsi="Cambria Math"/>
                </w:rPr>
                <m:t>NSA</m:t>
              </m:r>
            </m:sup>
          </m:sSubSup>
          <m:r>
            <m:rPr>
              <m:sty m:val="p"/>
            </m:rPr>
            <w:rPr>
              <w:rFonts w:ascii="Cambria Math" w:hAnsi="Cambria Math"/>
            </w:rPr>
            <m:t>∼</m:t>
          </m:r>
          <m:r>
            <w:rPr>
              <w:rFonts w:ascii="Cambria Math" w:hAnsi="Cambria Math"/>
            </w:rPr>
            <m:t>N</m:t>
          </m:r>
          <m:d>
            <m:dPr>
              <m:ctrlPr>
                <w:rPr>
                  <w:rFonts w:ascii="Cambria Math" w:hAnsi="Cambria Math"/>
                </w:rPr>
              </m:ctrlPr>
            </m:dPr>
            <m:e>
              <m:sSup>
                <m:sSupPr>
                  <m:ctrlPr>
                    <w:rPr>
                      <w:rFonts w:ascii="Cambria Math" w:hAnsi="Cambria Math"/>
                    </w:rPr>
                  </m:ctrlPr>
                </m:sSupPr>
                <m:e>
                  <m:r>
                    <w:rPr>
                      <w:rFonts w:ascii="Cambria Math" w:hAnsi="Cambria Math"/>
                    </w:rPr>
                    <m:t>α</m:t>
                  </m:r>
                </m:e>
                <m:sup>
                  <m:r>
                    <w:rPr>
                      <w:rFonts w:ascii="Cambria Math" w:hAnsi="Cambria Math"/>
                    </w:rPr>
                    <m:t>CES</m:t>
                  </m:r>
                </m:sup>
              </m:sSup>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CES</m:t>
                  </m:r>
                </m:sup>
              </m:s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total</m:t>
                  </m:r>
                  <m:r>
                    <m:rPr>
                      <m:sty m:val="p"/>
                    </m:rPr>
                    <w:rPr>
                      <w:rFonts w:ascii="Cambria Math" w:hAnsi="Cambria Math"/>
                    </w:rPr>
                    <m:t>,</m:t>
                  </m:r>
                  <m:r>
                    <w:rPr>
                      <w:rFonts w:ascii="Cambria Math" w:hAnsi="Cambria Math"/>
                    </w:rPr>
                    <m:t>NSA</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r>
                    <w:rPr>
                      <w:rFonts w:ascii="Cambria Math" w:hAnsi="Cambria Math"/>
                    </w:rPr>
                    <m:t>CES</m:t>
                  </m:r>
                  <m:r>
                    <m:rPr>
                      <m:sty m:val="p"/>
                    </m:rPr>
                    <w:rPr>
                      <w:rFonts w:ascii="Cambria Math" w:hAnsi="Cambria Math"/>
                    </w:rPr>
                    <m:t>,</m:t>
                  </m:r>
                  <m:r>
                    <w:rPr>
                      <w:rFonts w:ascii="Cambria Math" w:hAnsi="Cambria Math"/>
                    </w:rPr>
                    <m:t>NSA</m:t>
                  </m:r>
                  <m:r>
                    <m:rPr>
                      <m:sty m:val="p"/>
                    </m:rPr>
                    <w:rPr>
                      <w:rFonts w:ascii="Cambria Math" w:hAnsi="Cambria Math"/>
                    </w:rPr>
                    <m:t>,</m:t>
                  </m:r>
                  <m:r>
                    <w:rPr>
                      <w:rFonts w:ascii="Cambria Math" w:hAnsi="Cambria Math"/>
                    </w:rPr>
                    <m:t>v</m:t>
                  </m:r>
                </m:sub>
                <m:sup>
                  <m:r>
                    <w:rPr>
                      <w:rFonts w:ascii="Cambria Math" w:hAnsi="Cambria Math"/>
                    </w:rPr>
                    <m:t>2</m:t>
                  </m:r>
                </m:sup>
              </m:sSubSup>
            </m:e>
          </m:d>
        </m:oMath>
      </m:oMathPara>
    </w:p>
    <w:p w14:paraId="2C4808B9" w14:textId="77777777" w:rsidR="00FE0DBE" w:rsidRDefault="00FE0DBE" w:rsidP="00FE0DBE">
      <w:pPr>
        <w:pStyle w:val="FirstParagraph"/>
      </w:pPr>
      <w:r>
        <w:t>Payroll providers observe continuing-units NSA growth (excluding birth/death dynamics by construction), with provider-specific parameters:</w:t>
      </w:r>
    </w:p>
    <w:p w14:paraId="096C7AF5" w14:textId="0E590FF0" w:rsidR="00F9465F" w:rsidRDefault="00000000" w:rsidP="00FE0DBE">
      <w:pPr>
        <w:pStyle w:val="BodyText"/>
      </w:pPr>
      <m:oMathPara>
        <m:oMath>
          <m:sSubSup>
            <m:sSubSupPr>
              <m:ctrlPr>
                <w:rPr>
                  <w:rFonts w:ascii="Cambria Math" w:hAnsi="Cambria Math"/>
                </w:rPr>
              </m:ctrlPr>
            </m:sSubSupPr>
            <m:e>
              <m:r>
                <w:rPr>
                  <w:rFonts w:ascii="Cambria Math" w:hAnsi="Cambria Math"/>
                </w:rPr>
                <m:t>y</m:t>
              </m:r>
            </m:e>
            <m:sub>
              <m:r>
                <w:rPr>
                  <w:rFonts w:ascii="Cambria Math" w:hAnsi="Cambria Math"/>
                </w:rPr>
                <m:t>p</m:t>
              </m:r>
              <m:r>
                <m:rPr>
                  <m:sty m:val="p"/>
                </m:rPr>
                <w:rPr>
                  <w:rFonts w:ascii="Cambria Math" w:hAnsi="Cambria Math"/>
                </w:rPr>
                <m:t>,</m:t>
              </m:r>
              <m:r>
                <w:rPr>
                  <w:rFonts w:ascii="Cambria Math" w:hAnsi="Cambria Math"/>
                </w:rPr>
                <m:t>t</m:t>
              </m:r>
            </m:sub>
            <m:sup>
              <m:r>
                <w:rPr>
                  <w:rFonts w:ascii="Cambria Math" w:hAnsi="Cambria Math"/>
                </w:rPr>
                <m:t>G</m:t>
              </m:r>
            </m:sup>
          </m:sSub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p</m:t>
              </m:r>
            </m:sub>
          </m:sSub>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cont</m:t>
              </m:r>
              <m:r>
                <m:rPr>
                  <m:sty m:val="p"/>
                </m:rPr>
                <w:rPr>
                  <w:rFonts w:ascii="Cambria Math" w:hAnsi="Cambria Math"/>
                </w:rPr>
                <m:t>,</m:t>
              </m:r>
              <m:r>
                <w:rPr>
                  <w:rFonts w:ascii="Cambria Math" w:hAnsi="Cambria Math"/>
                </w:rPr>
                <m:t>NSA</m:t>
              </m:r>
            </m:sup>
          </m:sSubSup>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p</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r>
                    <w:rPr>
                      <w:rFonts w:ascii="Cambria Math" w:hAnsi="Cambria Math"/>
                    </w:rPr>
                    <m:t>G</m:t>
                  </m:r>
                  <m:r>
                    <m:rPr>
                      <m:sty m:val="p"/>
                    </m:rPr>
                    <w:rPr>
                      <w:rFonts w:ascii="Cambria Math" w:hAnsi="Cambria Math"/>
                    </w:rPr>
                    <m:t>,</m:t>
                  </m:r>
                  <m:r>
                    <w:rPr>
                      <w:rFonts w:ascii="Cambria Math" w:hAnsi="Cambria Math"/>
                    </w:rPr>
                    <m:t>p</m:t>
                  </m:r>
                </m:sub>
                <m:sup>
                  <m:r>
                    <w:rPr>
                      <w:rFonts w:ascii="Cambria Math" w:hAnsi="Cambria Math"/>
                    </w:rPr>
                    <m:t>2</m:t>
                  </m:r>
                </m:sup>
              </m:sSubSup>
            </m:e>
          </m:d>
        </m:oMath>
      </m:oMathPara>
    </w:p>
    <w:p w14:paraId="21B5C83F" w14:textId="4B8052F7" w:rsidR="00F9465F" w:rsidRDefault="00DC76D8" w:rsidP="00FE0DBE">
      <w:pPr>
        <w:pStyle w:val="Heading3"/>
        <w:spacing w:before="240"/>
      </w:pPr>
      <w:bookmarkStart w:id="5" w:name="Xf0200b92de1c1b7fb1b823db7d5dafab789618b"/>
      <w:bookmarkEnd w:id="4"/>
      <w:r>
        <w:t>1.2 The implied revision as a derived quantity</w:t>
      </w:r>
    </w:p>
    <w:p w14:paraId="55CFD80D" w14:textId="77777777" w:rsidR="00F9465F" w:rsidRDefault="00000000">
      <w:pPr>
        <w:pStyle w:val="FirstParagraph"/>
      </w:pPr>
      <w:r>
        <w:t xml:space="preserve">The benchmark revision for March of year </w:t>
      </w:r>
      <m:oMath>
        <m:r>
          <w:rPr>
            <w:rFonts w:ascii="Cambria Math" w:hAnsi="Cambria Math"/>
          </w:rPr>
          <m:t>Y</m:t>
        </m:r>
      </m:oMath>
      <w:r>
        <w:t xml:space="preserve"> is the cumulative difference between “truth” (QCEW-derived employment) and the CES sample-based estimate, accumulated over the 12 months since the prior benchmark.</w:t>
      </w:r>
    </w:p>
    <w:p w14:paraId="21A04949" w14:textId="77777777" w:rsidR="00F9465F" w:rsidRDefault="00000000">
      <w:pPr>
        <w:pStyle w:val="BodyText"/>
      </w:pPr>
      <w:r>
        <w:t xml:space="preserve">Define the cumulative divergence over the benchmark window </w:t>
      </w:r>
      <m:oMath>
        <m:sSub>
          <m:sSubPr>
            <m:ctrlPr>
              <w:rPr>
                <w:rFonts w:ascii="Cambria Math" w:hAnsi="Cambria Math"/>
              </w:rPr>
            </m:ctrlPr>
          </m:sSubPr>
          <m:e>
            <m:r>
              <m:rPr>
                <m:scr m:val="script"/>
                <m:sty m:val="p"/>
              </m:rPr>
              <w:rPr>
                <w:rFonts w:ascii="Cambria Math" w:hAnsi="Cambria Math"/>
              </w:rPr>
              <m:t>W</m:t>
            </m:r>
          </m:e>
          <m:sub>
            <m:r>
              <w:rPr>
                <w:rFonts w:ascii="Cambria Math" w:hAnsi="Cambria Math"/>
              </w:rPr>
              <m:t>Y</m:t>
            </m:r>
          </m:sub>
        </m:sSub>
        <m:r>
          <m:rPr>
            <m:sty m:val="p"/>
          </m:rPr>
          <w:rPr>
            <w:rFonts w:ascii="Cambria Math" w:hAnsi="Cambria Math"/>
          </w:rPr>
          <m:t>={</m:t>
        </m:r>
        <m:r>
          <w:rPr>
            <w:rFonts w:ascii="Cambria Math" w:hAnsi="Cambria Math"/>
          </w:rPr>
          <m:t>Ap</m:t>
        </m:r>
        <m:sSub>
          <m:sSubPr>
            <m:ctrlPr>
              <w:rPr>
                <w:rFonts w:ascii="Cambria Math" w:hAnsi="Cambria Math"/>
              </w:rPr>
            </m:ctrlPr>
          </m:sSubPr>
          <m:e>
            <m:r>
              <w:rPr>
                <w:rFonts w:ascii="Cambria Math" w:hAnsi="Cambria Math"/>
              </w:rPr>
              <m:t>r</m:t>
            </m:r>
          </m:e>
          <m:sub>
            <m:r>
              <w:rPr>
                <w:rFonts w:ascii="Cambria Math" w:hAnsi="Cambria Math"/>
              </w:rPr>
              <m:t>Y</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Ma</m:t>
        </m:r>
        <m:sSub>
          <m:sSubPr>
            <m:ctrlPr>
              <w:rPr>
                <w:rFonts w:ascii="Cambria Math" w:hAnsi="Cambria Math"/>
              </w:rPr>
            </m:ctrlPr>
          </m:sSubPr>
          <m:e>
            <m:r>
              <w:rPr>
                <w:rFonts w:ascii="Cambria Math" w:hAnsi="Cambria Math"/>
              </w:rPr>
              <m:t>r</m:t>
            </m:r>
          </m:e>
          <m:sub>
            <m:r>
              <w:rPr>
                <w:rFonts w:ascii="Cambria Math" w:hAnsi="Cambria Math"/>
              </w:rPr>
              <m:t>Y</m:t>
            </m:r>
          </m:sub>
        </m:sSub>
        <m:r>
          <m:rPr>
            <m:sty m:val="p"/>
          </m:rPr>
          <w:rPr>
            <w:rFonts w:ascii="Cambria Math" w:hAnsi="Cambria Math"/>
          </w:rPr>
          <m:t>}</m:t>
        </m:r>
      </m:oMath>
      <w:r>
        <w:t>:</w:t>
      </w:r>
    </w:p>
    <w:p w14:paraId="1D2831D7" w14:textId="77777777" w:rsidR="00F9465F"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Ma</m:t>
              </m:r>
              <m:sSub>
                <m:sSubPr>
                  <m:ctrlPr>
                    <w:rPr>
                      <w:rFonts w:ascii="Cambria Math" w:hAnsi="Cambria Math"/>
                    </w:rPr>
                  </m:ctrlPr>
                </m:sSubPr>
                <m:e>
                  <m:r>
                    <w:rPr>
                      <w:rFonts w:ascii="Cambria Math" w:hAnsi="Cambria Math"/>
                    </w:rPr>
                    <m:t>r</m:t>
                  </m:r>
                </m:e>
                <m:sub>
                  <m:r>
                    <w:rPr>
                      <w:rFonts w:ascii="Cambria Math" w:hAnsi="Cambria Math"/>
                    </w:rPr>
                    <m:t>Y</m:t>
                  </m:r>
                  <m:r>
                    <m:rPr>
                      <m:sty m:val="p"/>
                    </m:rPr>
                    <w:rPr>
                      <w:rFonts w:ascii="Cambria Math" w:hAnsi="Cambria Math"/>
                    </w:rPr>
                    <m:t>-</m:t>
                  </m:r>
                  <m:r>
                    <w:rPr>
                      <w:rFonts w:ascii="Cambria Math" w:hAnsi="Cambria Math"/>
                    </w:rPr>
                    <m:t>1</m:t>
                  </m:r>
                </m:sub>
              </m:sSub>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exp</m:t>
              </m:r>
              <m:r>
                <w:rPr>
                  <w:rFonts w:ascii="Cambria Math" w:hAnsi="Cambria Math"/>
                </w:rPr>
                <m:t>​</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W</m:t>
                          </m:r>
                        </m:e>
                        <m:sub>
                          <m:r>
                            <w:rPr>
                              <w:rFonts w:ascii="Cambria Math" w:hAnsi="Cambria Math"/>
                            </w:rPr>
                            <m:t>Y</m:t>
                          </m:r>
                        </m:sub>
                      </m:sSub>
                    </m:sub>
                    <m:sup>
                      <m:r>
                        <w:rPr>
                          <w:rFonts w:ascii="Cambria Math" w:hAnsi="Cambria Math"/>
                        </w:rPr>
                        <m:t>​</m:t>
                      </m:r>
                    </m:sup>
                    <m:e>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total</m:t>
                          </m:r>
                          <m:r>
                            <m:rPr>
                              <m:sty m:val="p"/>
                            </m:rPr>
                            <w:rPr>
                              <w:rFonts w:ascii="Cambria Math" w:hAnsi="Cambria Math"/>
                            </w:rPr>
                            <m:t>,</m:t>
                          </m:r>
                          <m:r>
                            <w:rPr>
                              <w:rFonts w:ascii="Cambria Math" w:hAnsi="Cambria Math"/>
                            </w:rPr>
                            <m:t>NSA</m:t>
                          </m:r>
                        </m:sup>
                      </m:sSubSup>
                    </m:e>
                  </m:nary>
                </m:e>
              </m:d>
              <m:r>
                <m:rPr>
                  <m:sty m:val="p"/>
                </m:rPr>
                <w:rPr>
                  <w:rFonts w:ascii="Cambria Math" w:hAnsi="Cambria Math"/>
                </w:rPr>
                <m:t>-exp</m:t>
              </m:r>
              <m:r>
                <w:rPr>
                  <w:rFonts w:ascii="Cambria Math" w:hAnsi="Cambria Math"/>
                </w:rPr>
                <m:t>​</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W</m:t>
                          </m:r>
                        </m:e>
                        <m:sub>
                          <m:r>
                            <w:rPr>
                              <w:rFonts w:ascii="Cambria Math" w:hAnsi="Cambria Math"/>
                            </w:rPr>
                            <m:t>Y</m:t>
                          </m:r>
                        </m:sub>
                      </m:sSub>
                    </m:sub>
                    <m:sup>
                      <m:r>
                        <w:rPr>
                          <w:rFonts w:ascii="Cambria Math" w:hAnsi="Cambria Math"/>
                        </w:rPr>
                        <m:t>​</m:t>
                      </m:r>
                    </m:sup>
                    <m:e>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CES</m:t>
                          </m:r>
                          <m:r>
                            <m:rPr>
                              <m:sty m:val="p"/>
                            </m:rPr>
                            <w:rPr>
                              <w:rFonts w:ascii="Cambria Math" w:hAnsi="Cambria Math"/>
                            </w:rPr>
                            <m:t>,</m:t>
                          </m:r>
                          <m:r>
                            <w:rPr>
                              <w:rFonts w:ascii="Cambria Math" w:hAnsi="Cambria Math"/>
                            </w:rPr>
                            <m:t>NSA</m:t>
                          </m:r>
                        </m:sup>
                      </m:sSubSup>
                    </m:e>
                  </m:nary>
                </m:e>
              </m:d>
            </m:e>
          </m:d>
        </m:oMath>
      </m:oMathPara>
    </w:p>
    <w:p w14:paraId="2A0CC10D" w14:textId="77777777" w:rsidR="00F9465F" w:rsidRDefault="00000000">
      <w:pPr>
        <w:pStyle w:val="FirstParagraph"/>
      </w:pPr>
      <w:r>
        <w:t xml:space="preserve">where </w:t>
      </w:r>
      <m:oMath>
        <m:sSub>
          <m:sSubPr>
            <m:ctrlPr>
              <w:rPr>
                <w:rFonts w:ascii="Cambria Math" w:hAnsi="Cambria Math"/>
              </w:rPr>
            </m:ctrlPr>
          </m:sSubPr>
          <m:e>
            <m:r>
              <w:rPr>
                <w:rFonts w:ascii="Cambria Math" w:hAnsi="Cambria Math"/>
              </w:rPr>
              <m:t>L</m:t>
            </m:r>
          </m:e>
          <m:sub>
            <m:r>
              <w:rPr>
                <w:rFonts w:ascii="Cambria Math" w:hAnsi="Cambria Math"/>
              </w:rPr>
              <m:t>Ma</m:t>
            </m:r>
            <m:sSub>
              <m:sSubPr>
                <m:ctrlPr>
                  <w:rPr>
                    <w:rFonts w:ascii="Cambria Math" w:hAnsi="Cambria Math"/>
                  </w:rPr>
                </m:ctrlPr>
              </m:sSubPr>
              <m:e>
                <m:r>
                  <w:rPr>
                    <w:rFonts w:ascii="Cambria Math" w:hAnsi="Cambria Math"/>
                  </w:rPr>
                  <m:t>r</m:t>
                </m:r>
              </m:e>
              <m:sub>
                <m:r>
                  <w:rPr>
                    <w:rFonts w:ascii="Cambria Math" w:hAnsi="Cambria Math"/>
                  </w:rPr>
                  <m:t>Y</m:t>
                </m:r>
                <m:r>
                  <m:rPr>
                    <m:sty m:val="p"/>
                  </m:rPr>
                  <w:rPr>
                    <w:rFonts w:ascii="Cambria Math" w:hAnsi="Cambria Math"/>
                  </w:rPr>
                  <m:t>-</m:t>
                </m:r>
                <m:r>
                  <w:rPr>
                    <w:rFonts w:ascii="Cambria Math" w:hAnsi="Cambria Math"/>
                  </w:rPr>
                  <m:t>1</m:t>
                </m:r>
              </m:sub>
            </m:sSub>
          </m:sub>
        </m:sSub>
      </m:oMath>
      <w:r>
        <w:t xml:space="preserve"> is the employment level at the prior benchmark anchor and </w:t>
      </w:r>
      <m:oMath>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CES</m:t>
            </m:r>
            <m:r>
              <m:rPr>
                <m:sty m:val="p"/>
              </m:rPr>
              <w:rPr>
                <w:rFonts w:ascii="Cambria Math" w:hAnsi="Cambria Math"/>
              </w:rPr>
              <m:t>,</m:t>
            </m:r>
            <m:r>
              <w:rPr>
                <w:rFonts w:ascii="Cambria Math" w:hAnsi="Cambria Math"/>
              </w:rPr>
              <m:t>NSA</m:t>
            </m:r>
          </m:sup>
        </m:sSubSup>
      </m:oMath>
      <w:r>
        <w:t xml:space="preserve"> is the observed (pre-benchmark) CES NSA growth rate.</w:t>
      </w:r>
    </w:p>
    <w:p w14:paraId="4656CF30" w14:textId="77777777" w:rsidR="00F9465F" w:rsidRDefault="00000000">
      <w:pPr>
        <w:pStyle w:val="BodyText"/>
      </w:pPr>
      <w:r>
        <w:t xml:space="preserve">The first term has a full posterior distribution from MCMC. The second is a known constant. The posterior over </w:t>
      </w:r>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Y</m:t>
            </m:r>
          </m:sub>
        </m:sSub>
      </m:oMath>
      <w:r>
        <w:t xml:space="preserve"> therefore drops out directly from the existing model output — a deterministic transformation of </w:t>
      </w:r>
      <w:r>
        <w:rPr>
          <w:rStyle w:val="VerbatimChar"/>
        </w:rPr>
        <w:t>g_total_nsa</w:t>
      </w:r>
      <w:r>
        <w:t xml:space="preserve"> requiring no additional parameters.</w:t>
      </w:r>
    </w:p>
    <w:p w14:paraId="0B573883" w14:textId="569E8E30" w:rsidR="00F9465F" w:rsidRDefault="00DC76D8" w:rsidP="00DC76D8">
      <w:pPr>
        <w:pStyle w:val="Heading3"/>
        <w:spacing w:before="240"/>
      </w:pPr>
      <w:bookmarkStart w:id="6" w:name="what-drives-the-prediction"/>
      <w:bookmarkEnd w:id="5"/>
      <w:r>
        <w:lastRenderedPageBreak/>
        <w:t>1.3 What drives the prediction</w:t>
      </w:r>
    </w:p>
    <w:p w14:paraId="2C1FA56D" w14:textId="12166C53" w:rsidR="00F9465F" w:rsidRDefault="00000000">
      <w:pPr>
        <w:pStyle w:val="FirstParagraph"/>
      </w:pPr>
      <m:oMath>
        <m:sSup>
          <m:sSupPr>
            <m:ctrlPr>
              <w:rPr>
                <w:rFonts w:ascii="Cambria Math" w:hAnsi="Cambria Math"/>
                <w:b/>
                <w:bCs/>
              </w:rPr>
            </m:ctrlPr>
          </m:sSupPr>
          <m:e>
            <m:r>
              <m:rPr>
                <m:sty m:val="bi"/>
              </m:rPr>
              <w:rPr>
                <w:rFonts w:ascii="Cambria Math" w:hAnsi="Cambria Math"/>
              </w:rPr>
              <m:t>α</m:t>
            </m:r>
          </m:e>
          <m:sup>
            <m:r>
              <m:rPr>
                <m:sty m:val="bi"/>
              </m:rPr>
              <w:rPr>
                <w:rFonts w:ascii="Cambria Math" w:hAnsi="Cambria Math"/>
              </w:rPr>
              <m:t>CES</m:t>
            </m:r>
          </m:sup>
        </m:sSup>
      </m:oMath>
      <w:r w:rsidRPr="00DC76D8">
        <w:rPr>
          <w:b/>
          <w:bCs/>
        </w:rPr>
        <w:t xml:space="preserve"> (CES bias).</w:t>
      </w:r>
      <w:r>
        <w:t xml:space="preserve"> A persistent positive </w:t>
      </w:r>
      <m:oMath>
        <m:sSup>
          <m:sSupPr>
            <m:ctrlPr>
              <w:rPr>
                <w:rFonts w:ascii="Cambria Math" w:hAnsi="Cambria Math"/>
              </w:rPr>
            </m:ctrlPr>
          </m:sSupPr>
          <m:e>
            <m:r>
              <w:rPr>
                <w:rFonts w:ascii="Cambria Math" w:hAnsi="Cambria Math"/>
              </w:rPr>
              <m:t>α</m:t>
            </m:r>
          </m:e>
          <m:sup>
            <m:r>
              <w:rPr>
                <w:rFonts w:ascii="Cambria Math" w:hAnsi="Cambria Math"/>
              </w:rPr>
              <m:t>CES</m:t>
            </m:r>
          </m:sup>
        </m:sSup>
      </m:oMath>
      <w:r>
        <w:t xml:space="preserve"> means CES systematically overstates growth. Over 12 months this accumulates into a predicted negative revision of approximately </w:t>
      </w:r>
      <m:oMath>
        <m:r>
          <w:rPr>
            <w:rFonts w:ascii="Cambria Math" w:hAnsi="Cambria Math"/>
          </w:rPr>
          <m:t>12</m:t>
        </m:r>
        <m:r>
          <m:rPr>
            <m:sty m:val="p"/>
          </m:rP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CES</m:t>
            </m:r>
          </m:sup>
        </m:s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1000</m:t>
        </m:r>
      </m:oMath>
      <w:r>
        <w:t xml:space="preserve"> thousand jobs.</w:t>
      </w:r>
    </w:p>
    <w:p w14:paraId="551A040A" w14:textId="70D21958" w:rsidR="00F9465F" w:rsidRDefault="00DC76D8">
      <w:pPr>
        <w:pStyle w:val="BodyText"/>
      </w:pPr>
      <m:oMath>
        <m:r>
          <m:rPr>
            <m:sty m:val="bi"/>
          </m:rPr>
          <w:rPr>
            <w:rFonts w:ascii="Cambria Math" w:hAnsi="Cambria Math"/>
          </w:rPr>
          <m:t>B</m:t>
        </m:r>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t</m:t>
            </m:r>
          </m:sub>
        </m:sSub>
      </m:oMath>
      <w:r w:rsidRPr="00DC76D8">
        <w:rPr>
          <w:b/>
          <w:bCs/>
        </w:rPr>
        <w:t xml:space="preserve"> (structural birth/death).</w:t>
      </w:r>
      <w:r>
        <w:t xml:space="preserve"> If the model’s </w:t>
      </w:r>
      <m:oMath>
        <m:r>
          <w:rPr>
            <w:rFonts w:ascii="Cambria Math" w:hAnsi="Cambria Math"/>
          </w:rPr>
          <m:t>B</m:t>
        </m:r>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diverges from the implicit CES birth/death (which enters through the CES measurement equation), that divergence accumulates into the revision prediction.</w:t>
      </w:r>
    </w:p>
    <w:p w14:paraId="6219CB5F" w14:textId="77777777" w:rsidR="00F9465F" w:rsidRDefault="00000000">
      <w:pPr>
        <w:pStyle w:val="BodyText"/>
      </w:pPr>
      <w:r>
        <w:rPr>
          <w:b/>
          <w:bCs/>
        </w:rPr>
        <w:t>Provider signal vs. CES signal.</w:t>
      </w:r>
      <w:r>
        <w:t xml:space="preserve"> When providers tell a consistently different story than CES, the latent </w:t>
      </w:r>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cont</m:t>
            </m:r>
          </m:sup>
        </m:sSubSup>
      </m:oMath>
      <w:r>
        <w:t xml:space="preserve"> is pulled toward providers, dragging </w:t>
      </w:r>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total</m:t>
            </m:r>
          </m:sup>
        </m:sSubSup>
      </m:oMath>
      <w:r>
        <w:t xml:space="preserve"> away from CES. The relative precision weighting (</w:t>
      </w:r>
      <m:oMath>
        <m:sSub>
          <m:sSubPr>
            <m:ctrlPr>
              <w:rPr>
                <w:rFonts w:ascii="Cambria Math" w:hAnsi="Cambria Math"/>
              </w:rPr>
            </m:ctrlPr>
          </m:sSubPr>
          <m:e>
            <m:r>
              <w:rPr>
                <w:rFonts w:ascii="Cambria Math" w:hAnsi="Cambria Math"/>
              </w:rPr>
              <m:t>σ</m:t>
            </m:r>
          </m:e>
          <m:sub>
            <m:r>
              <w:rPr>
                <w:rFonts w:ascii="Cambria Math" w:hAnsi="Cambria Math"/>
              </w:rPr>
              <m:t>CES</m:t>
            </m:r>
            <m:r>
              <m:rPr>
                <m:sty m:val="p"/>
              </m:rPr>
              <w:rPr>
                <w:rFonts w:ascii="Cambria Math" w:hAnsi="Cambria Math"/>
              </w:rPr>
              <m:t>,</m:t>
            </m:r>
            <m:r>
              <w:rPr>
                <w:rFonts w:ascii="Cambria Math" w:hAnsi="Cambria Math"/>
              </w:rPr>
              <m:t>v</m:t>
            </m:r>
          </m:sub>
        </m:sSub>
      </m:oMath>
      <w:r>
        <w:t xml:space="preserve"> vs. </w:t>
      </w:r>
      <m:oMath>
        <m:sSub>
          <m:sSubPr>
            <m:ctrlPr>
              <w:rPr>
                <w:rFonts w:ascii="Cambria Math" w:hAnsi="Cambria Math"/>
              </w:rPr>
            </m:ctrlPr>
          </m:sSubPr>
          <m:e>
            <m:r>
              <w:rPr>
                <w:rFonts w:ascii="Cambria Math" w:hAnsi="Cambria Math"/>
              </w:rPr>
              <m:t>σ</m:t>
            </m:r>
          </m:e>
          <m:sub>
            <m:r>
              <w:rPr>
                <w:rFonts w:ascii="Cambria Math" w:hAnsi="Cambria Math"/>
              </w:rPr>
              <m:t>G</m:t>
            </m:r>
            <m:r>
              <m:rPr>
                <m:sty m:val="p"/>
              </m:rPr>
              <w:rPr>
                <w:rFonts w:ascii="Cambria Math" w:hAnsi="Cambria Math"/>
              </w:rPr>
              <m:t>,</m:t>
            </m:r>
            <m:r>
              <w:rPr>
                <w:rFonts w:ascii="Cambria Math" w:hAnsi="Cambria Math"/>
              </w:rPr>
              <m:t>p</m:t>
            </m:r>
          </m:sub>
        </m:sSub>
      </m:oMath>
      <w:r>
        <w:t>) governs the strength of this pull.</w:t>
      </w:r>
    </w:p>
    <w:p w14:paraId="129BF041" w14:textId="77777777" w:rsidR="00F9465F" w:rsidRDefault="00000000">
      <w:pPr>
        <w:pStyle w:val="BodyText"/>
      </w:pPr>
      <w:r>
        <w:rPr>
          <w:b/>
          <w:bCs/>
        </w:rPr>
        <w:t>QCEW anchoring.</w:t>
      </w:r>
      <w:r>
        <w:t xml:space="preserve"> When QCEW observations arrive (~5–6 month lag), they pin the latent state with high precision. The revision over those months is then locked in.</w:t>
      </w:r>
    </w:p>
    <w:p w14:paraId="4F7EFD76" w14:textId="77777777" w:rsidR="00CC12CD" w:rsidRDefault="00CC12CD">
      <w:pPr>
        <w:pStyle w:val="Heading2"/>
      </w:pPr>
      <w:bookmarkStart w:id="7" w:name="prediction-horizons-and-information-sets"/>
      <w:bookmarkEnd w:id="3"/>
      <w:bookmarkEnd w:id="6"/>
    </w:p>
    <w:p w14:paraId="035CA0F1" w14:textId="468AA23E" w:rsidR="00F9465F" w:rsidRDefault="00CC12CD">
      <w:pPr>
        <w:pStyle w:val="Heading2"/>
      </w:pPr>
      <w:r>
        <w:t>2. Prediction horizons and information sets</w:t>
      </w:r>
    </w:p>
    <w:p w14:paraId="1397014A" w14:textId="6F6AF634" w:rsidR="00F9465F" w:rsidRDefault="00CC12CD" w:rsidP="00CC12CD">
      <w:pPr>
        <w:pStyle w:val="Heading3"/>
        <w:spacing w:before="240"/>
      </w:pPr>
      <w:bookmarkStart w:id="8" w:name="horizon-taxonomy"/>
      <w:r>
        <w:t>2.1 Horizon taxonomy</w:t>
      </w:r>
    </w:p>
    <w:p w14:paraId="23192F27" w14:textId="77777777" w:rsidR="00F9465F" w:rsidRDefault="00000000">
      <w:pPr>
        <w:pStyle w:val="FirstParagraph"/>
      </w:pPr>
      <w:r>
        <w:t xml:space="preserve">For benchmark year </w:t>
      </w:r>
      <m:oMath>
        <m:r>
          <w:rPr>
            <w:rFonts w:ascii="Cambria Math" w:hAnsi="Cambria Math"/>
          </w:rPr>
          <m:t>Y</m:t>
        </m:r>
      </m:oMath>
      <w:r>
        <w:t xml:space="preserve"> (March </w:t>
      </w:r>
      <m:oMath>
        <m:r>
          <w:rPr>
            <w:rFonts w:ascii="Cambria Math" w:hAnsi="Cambria Math"/>
          </w:rPr>
          <m:t>Y</m:t>
        </m:r>
      </m:oMath>
      <w:r>
        <w:t xml:space="preserve"> reference, published February </w:t>
      </w:r>
      <m:oMath>
        <m:r>
          <w:rPr>
            <w:rFonts w:ascii="Cambria Math" w:hAnsi="Cambria Math"/>
          </w:rPr>
          <m:t>Y</m:t>
        </m:r>
        <m:r>
          <m:rPr>
            <m:sty m:val="p"/>
          </m:rPr>
          <w:rPr>
            <w:rFonts w:ascii="Cambria Math" w:hAnsi="Cambria Math"/>
          </w:rPr>
          <m:t>+</m:t>
        </m:r>
        <m:r>
          <w:rPr>
            <w:rFonts w:ascii="Cambria Math" w:hAnsi="Cambria Math"/>
          </w:rPr>
          <m:t>1</m:t>
        </m:r>
      </m:oMath>
      <w:r>
        <w:t>):</w:t>
      </w:r>
    </w:p>
    <w:tbl>
      <w:tblPr>
        <w:tblStyle w:val="Table"/>
        <w:tblW w:w="5000" w:type="pct"/>
        <w:tblLayout w:type="fixed"/>
        <w:tblLook w:val="0020" w:firstRow="1" w:lastRow="0" w:firstColumn="0" w:lastColumn="0" w:noHBand="0" w:noVBand="0"/>
      </w:tblPr>
      <w:tblGrid>
        <w:gridCol w:w="1170"/>
        <w:gridCol w:w="1890"/>
        <w:gridCol w:w="2970"/>
        <w:gridCol w:w="3330"/>
      </w:tblGrid>
      <w:tr w:rsidR="00F9465F" w14:paraId="5AA02372" w14:textId="77777777" w:rsidTr="00866D75">
        <w:trPr>
          <w:cnfStyle w:val="100000000000" w:firstRow="1" w:lastRow="0" w:firstColumn="0" w:lastColumn="0" w:oddVBand="0" w:evenVBand="0" w:oddHBand="0" w:evenHBand="0" w:firstRowFirstColumn="0" w:firstRowLastColumn="0" w:lastRowFirstColumn="0" w:lastRowLastColumn="0"/>
          <w:tblHeader/>
        </w:trPr>
        <w:tc>
          <w:tcPr>
            <w:tcW w:w="1170" w:type="dxa"/>
          </w:tcPr>
          <w:p w14:paraId="1832B8A6" w14:textId="77777777" w:rsidR="00F9465F" w:rsidRDefault="00000000">
            <w:pPr>
              <w:pStyle w:val="Compact"/>
            </w:pPr>
            <w:r>
              <w:t>Horizon</w:t>
            </w:r>
          </w:p>
        </w:tc>
        <w:tc>
          <w:tcPr>
            <w:tcW w:w="1890" w:type="dxa"/>
          </w:tcPr>
          <w:p w14:paraId="6CE264BC" w14:textId="77777777" w:rsidR="00F9465F" w:rsidRDefault="00000000">
            <w:pPr>
              <w:pStyle w:val="Compact"/>
            </w:pPr>
            <w:r>
              <w:t>Calendar date</w:t>
            </w:r>
          </w:p>
        </w:tc>
        <w:tc>
          <w:tcPr>
            <w:tcW w:w="2970" w:type="dxa"/>
          </w:tcPr>
          <w:p w14:paraId="443F757C" w14:textId="77777777" w:rsidR="00F9465F" w:rsidRDefault="00000000">
            <w:pPr>
              <w:pStyle w:val="Compact"/>
            </w:pPr>
            <w:r>
              <w:t>Key information arriving</w:t>
            </w:r>
          </w:p>
        </w:tc>
        <w:tc>
          <w:tcPr>
            <w:tcW w:w="3330" w:type="dxa"/>
          </w:tcPr>
          <w:p w14:paraId="518AF32F" w14:textId="77777777" w:rsidR="00F9465F" w:rsidRDefault="00000000">
            <w:pPr>
              <w:pStyle w:val="Compact"/>
            </w:pPr>
            <w:r>
              <w:t>Primary driver</w:t>
            </w:r>
          </w:p>
        </w:tc>
      </w:tr>
      <w:tr w:rsidR="00F9465F" w14:paraId="31CCEC36" w14:textId="77777777" w:rsidTr="00866D75">
        <w:tc>
          <w:tcPr>
            <w:tcW w:w="1170" w:type="dxa"/>
          </w:tcPr>
          <w:p w14:paraId="4C7CB04B" w14:textId="77777777" w:rsidR="00F9465F" w:rsidRDefault="00000000">
            <w:pPr>
              <w:pStyle w:val="Compact"/>
            </w:pPr>
            <w:r>
              <w:t>T−12</w:t>
            </w:r>
          </w:p>
        </w:tc>
        <w:tc>
          <w:tcPr>
            <w:tcW w:w="1890" w:type="dxa"/>
          </w:tcPr>
          <w:p w14:paraId="66840BF4" w14:textId="77777777" w:rsidR="00F9465F" w:rsidRDefault="00000000">
            <w:pPr>
              <w:pStyle w:val="Compact"/>
            </w:pPr>
            <w:r>
              <w:t xml:space="preserve">~Apr </w:t>
            </w:r>
            <m:oMath>
              <m:r>
                <w:rPr>
                  <w:rFonts w:ascii="Cambria Math" w:hAnsi="Cambria Math"/>
                </w:rPr>
                <m:t>Y</m:t>
              </m:r>
            </m:oMath>
          </w:p>
        </w:tc>
        <w:tc>
          <w:tcPr>
            <w:tcW w:w="2970" w:type="dxa"/>
          </w:tcPr>
          <w:p w14:paraId="72CB8041" w14:textId="77777777" w:rsidR="00F9465F" w:rsidRDefault="00000000">
            <w:pPr>
              <w:pStyle w:val="Compact"/>
            </w:pPr>
            <w:r>
              <w:t>Benchmark window opens</w:t>
            </w:r>
          </w:p>
        </w:tc>
        <w:tc>
          <w:tcPr>
            <w:tcW w:w="3330" w:type="dxa"/>
          </w:tcPr>
          <w:p w14:paraId="04043E0B" w14:textId="77777777" w:rsidR="00F9465F" w:rsidRDefault="00000000">
            <w:pPr>
              <w:pStyle w:val="Compact"/>
            </w:pPr>
            <w:r>
              <w:t xml:space="preserve">Provider divergence from CES begins accumulating. Only </w:t>
            </w:r>
            <m:oMath>
              <m:r>
                <w:rPr>
                  <w:rFonts w:ascii="Cambria Math" w:hAnsi="Cambria Math"/>
                </w:rPr>
                <m:t>B</m:t>
              </m:r>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structural model and provider signal matter. No QCEW for this year yet.</w:t>
            </w:r>
          </w:p>
        </w:tc>
      </w:tr>
      <w:tr w:rsidR="00F9465F" w14:paraId="1D4A2232" w14:textId="77777777" w:rsidTr="00866D75">
        <w:tc>
          <w:tcPr>
            <w:tcW w:w="1170" w:type="dxa"/>
          </w:tcPr>
          <w:p w14:paraId="1D8EA0A5" w14:textId="77777777" w:rsidR="00F9465F" w:rsidRDefault="00000000">
            <w:pPr>
              <w:pStyle w:val="Compact"/>
            </w:pPr>
            <w:r>
              <w:t>T−9</w:t>
            </w:r>
          </w:p>
        </w:tc>
        <w:tc>
          <w:tcPr>
            <w:tcW w:w="1890" w:type="dxa"/>
          </w:tcPr>
          <w:p w14:paraId="03B5A94B" w14:textId="77777777" w:rsidR="00F9465F" w:rsidRDefault="00000000">
            <w:pPr>
              <w:pStyle w:val="Compact"/>
            </w:pPr>
            <w:r>
              <w:t xml:space="preserve">~Jul </w:t>
            </w:r>
            <m:oMath>
              <m:r>
                <w:rPr>
                  <w:rFonts w:ascii="Cambria Math" w:hAnsi="Cambria Math"/>
                </w:rPr>
                <m:t>Y</m:t>
              </m:r>
            </m:oMath>
          </w:p>
        </w:tc>
        <w:tc>
          <w:tcPr>
            <w:tcW w:w="2970" w:type="dxa"/>
          </w:tcPr>
          <w:p w14:paraId="6B2C636E" w14:textId="77777777" w:rsidR="00F9465F" w:rsidRDefault="00000000">
            <w:pPr>
              <w:pStyle w:val="Compact"/>
            </w:pPr>
            <w:r>
              <w:t>Q1 QCEW in pipeline (not yet published)</w:t>
            </w:r>
          </w:p>
        </w:tc>
        <w:tc>
          <w:tcPr>
            <w:tcW w:w="3330" w:type="dxa"/>
          </w:tcPr>
          <w:p w14:paraId="20EF7437" w14:textId="77777777" w:rsidR="00F9465F" w:rsidRDefault="00000000">
            <w:pPr>
              <w:pStyle w:val="Compact"/>
            </w:pPr>
            <w:r>
              <w:t xml:space="preserve">Pre-QCEW. Cyclical indicators informing </w:t>
            </w:r>
            <m:oMath>
              <m:r>
                <w:rPr>
                  <w:rFonts w:ascii="Cambria Math" w:hAnsi="Cambria Math"/>
                </w:rPr>
                <m:t>B</m:t>
              </m:r>
              <m:sSub>
                <m:sSubPr>
                  <m:ctrlPr>
                    <w:rPr>
                      <w:rFonts w:ascii="Cambria Math" w:hAnsi="Cambria Math"/>
                    </w:rPr>
                  </m:ctrlPr>
                </m:sSubPr>
                <m:e>
                  <m:r>
                    <w:rPr>
                      <w:rFonts w:ascii="Cambria Math" w:hAnsi="Cambria Math"/>
                    </w:rPr>
                    <m:t>D</m:t>
                  </m:r>
                </m:e>
                <m:sub>
                  <m:r>
                    <w:rPr>
                      <w:rFonts w:ascii="Cambria Math" w:hAnsi="Cambria Math"/>
                    </w:rPr>
                    <m:t>t</m:t>
                  </m:r>
                </m:sub>
              </m:sSub>
            </m:oMath>
            <w:r>
              <w:t>.</w:t>
            </w:r>
          </w:p>
        </w:tc>
      </w:tr>
      <w:tr w:rsidR="00F9465F" w14:paraId="41222C6B" w14:textId="77777777" w:rsidTr="00866D75">
        <w:tc>
          <w:tcPr>
            <w:tcW w:w="1170" w:type="dxa"/>
          </w:tcPr>
          <w:p w14:paraId="400EA531" w14:textId="77777777" w:rsidR="00F9465F" w:rsidRDefault="00000000">
            <w:pPr>
              <w:pStyle w:val="Compact"/>
            </w:pPr>
            <w:r>
              <w:t>T−6</w:t>
            </w:r>
          </w:p>
        </w:tc>
        <w:tc>
          <w:tcPr>
            <w:tcW w:w="1890" w:type="dxa"/>
          </w:tcPr>
          <w:p w14:paraId="0CE41827" w14:textId="77777777" w:rsidR="00F9465F" w:rsidRDefault="00000000">
            <w:pPr>
              <w:pStyle w:val="Compact"/>
            </w:pPr>
            <w:r>
              <w:t xml:space="preserve">~Sep–Oct </w:t>
            </w:r>
            <m:oMath>
              <m:r>
                <w:rPr>
                  <w:rFonts w:ascii="Cambria Math" w:hAnsi="Cambria Math"/>
                </w:rPr>
                <m:t>Y</m:t>
              </m:r>
            </m:oMath>
          </w:p>
        </w:tc>
        <w:tc>
          <w:tcPr>
            <w:tcW w:w="2970" w:type="dxa"/>
          </w:tcPr>
          <w:p w14:paraId="257F515C" w14:textId="23BBE55F" w:rsidR="00F9465F" w:rsidRDefault="00DC76D8">
            <w:pPr>
              <w:pStyle w:val="Compact"/>
            </w:pPr>
            <w:r>
              <w:rPr>
                <w:i/>
                <w:iCs/>
              </w:rPr>
              <w:t>Y-1</w:t>
            </w:r>
            <w:r>
              <w:t xml:space="preserve"> (~September). Contains Jan–Mar </w:t>
            </w:r>
            <m:oMath>
              <m:r>
                <w:rPr>
                  <w:rFonts w:ascii="Cambria Math" w:hAnsi="Cambria Math"/>
                </w:rPr>
                <m:t>Y</m:t>
              </m:r>
            </m:oMath>
            <w:r>
              <w:t>.</w:t>
            </w:r>
          </w:p>
        </w:tc>
        <w:tc>
          <w:tcPr>
            <w:tcW w:w="3330" w:type="dxa"/>
          </w:tcPr>
          <w:p w14:paraId="2060EAF3" w14:textId="77777777" w:rsidR="00F9465F" w:rsidRDefault="00000000">
            <w:pPr>
              <w:pStyle w:val="Compact"/>
            </w:pPr>
            <w:r>
              <w:t xml:space="preserve">Critical event. QCEW directly observes March </w:t>
            </w:r>
            <m:oMath>
              <m:r>
                <w:rPr>
                  <w:rFonts w:ascii="Cambria Math" w:hAnsi="Cambria Math"/>
                </w:rPr>
                <m:t>Y</m:t>
              </m:r>
            </m:oMath>
            <w:r>
              <w:t>, giving a near-census anchor at the benchmark month. Revision largely determined.</w:t>
            </w:r>
          </w:p>
        </w:tc>
      </w:tr>
      <w:tr w:rsidR="00F9465F" w14:paraId="1AF821BE" w14:textId="77777777" w:rsidTr="00866D75">
        <w:tc>
          <w:tcPr>
            <w:tcW w:w="1170" w:type="dxa"/>
          </w:tcPr>
          <w:p w14:paraId="570ECAEE" w14:textId="77777777" w:rsidR="00F9465F" w:rsidRDefault="00000000">
            <w:pPr>
              <w:pStyle w:val="Compact"/>
            </w:pPr>
            <w:r>
              <w:t>T−5</w:t>
            </w:r>
          </w:p>
        </w:tc>
        <w:tc>
          <w:tcPr>
            <w:tcW w:w="1890" w:type="dxa"/>
          </w:tcPr>
          <w:p w14:paraId="6D8BDFEE" w14:textId="77777777" w:rsidR="00F9465F" w:rsidRDefault="00000000">
            <w:pPr>
              <w:pStyle w:val="Compact"/>
            </w:pPr>
            <w:r>
              <w:t xml:space="preserve">~Nov </w:t>
            </w:r>
            <m:oMath>
              <m:r>
                <w:rPr>
                  <w:rFonts w:ascii="Cambria Math" w:hAnsi="Cambria Math"/>
                </w:rPr>
                <m:t>Y</m:t>
              </m:r>
            </m:oMath>
          </w:p>
        </w:tc>
        <w:tc>
          <w:tcPr>
            <w:tcW w:w="2970" w:type="dxa"/>
          </w:tcPr>
          <w:p w14:paraId="2A1A94A4" w14:textId="77777777" w:rsidR="00F9465F" w:rsidRDefault="00000000">
            <w:pPr>
              <w:pStyle w:val="Compact"/>
            </w:pPr>
            <w:r>
              <w:t>Preliminary benchmark published (~Aug/Sep).</w:t>
            </w:r>
          </w:p>
        </w:tc>
        <w:tc>
          <w:tcPr>
            <w:tcW w:w="3330" w:type="dxa"/>
          </w:tcPr>
          <w:p w14:paraId="58C50FB3" w14:textId="77777777" w:rsidR="00F9465F" w:rsidRDefault="00000000">
            <w:pPr>
              <w:pStyle w:val="Compact"/>
            </w:pPr>
            <w:r>
              <w:t>Model competes against BLS’s own first estimate.</w:t>
            </w:r>
          </w:p>
        </w:tc>
      </w:tr>
      <w:tr w:rsidR="00F9465F" w14:paraId="25590631" w14:textId="77777777" w:rsidTr="00866D75">
        <w:tc>
          <w:tcPr>
            <w:tcW w:w="1170" w:type="dxa"/>
          </w:tcPr>
          <w:p w14:paraId="3C333616" w14:textId="77777777" w:rsidR="00F9465F" w:rsidRDefault="00000000">
            <w:pPr>
              <w:pStyle w:val="Compact"/>
            </w:pPr>
            <w:r>
              <w:t>T−3</w:t>
            </w:r>
          </w:p>
        </w:tc>
        <w:tc>
          <w:tcPr>
            <w:tcW w:w="1890" w:type="dxa"/>
          </w:tcPr>
          <w:p w14:paraId="13AECF73" w14:textId="77777777" w:rsidR="00F9465F" w:rsidRDefault="00000000">
            <w:pPr>
              <w:pStyle w:val="Compact"/>
            </w:pPr>
            <w:r>
              <w:t xml:space="preserve">~Dec </w:t>
            </w:r>
            <m:oMath>
              <m:r>
                <w:rPr>
                  <w:rFonts w:ascii="Cambria Math" w:hAnsi="Cambria Math"/>
                </w:rPr>
                <m:t>Y</m:t>
              </m:r>
            </m:oMath>
          </w:p>
        </w:tc>
        <w:tc>
          <w:tcPr>
            <w:tcW w:w="2970" w:type="dxa"/>
          </w:tcPr>
          <w:p w14:paraId="34592002" w14:textId="77777777" w:rsidR="00F9465F" w:rsidRDefault="00000000">
            <w:pPr>
              <w:pStyle w:val="Compact"/>
            </w:pPr>
            <w:r>
              <w:t>QCEW Q2 published (~December).</w:t>
            </w:r>
          </w:p>
        </w:tc>
        <w:tc>
          <w:tcPr>
            <w:tcW w:w="3330" w:type="dxa"/>
          </w:tcPr>
          <w:p w14:paraId="5A2DAD2A" w14:textId="77777777" w:rsidR="00F9465F" w:rsidRDefault="00000000">
            <w:pPr>
              <w:pStyle w:val="Compact"/>
            </w:pPr>
            <w:r>
              <w:t>Full-year provider divergence visible. Estimate tightens.</w:t>
            </w:r>
          </w:p>
        </w:tc>
      </w:tr>
      <w:tr w:rsidR="00F9465F" w14:paraId="647BC80B" w14:textId="77777777" w:rsidTr="00866D75">
        <w:tc>
          <w:tcPr>
            <w:tcW w:w="1170" w:type="dxa"/>
          </w:tcPr>
          <w:p w14:paraId="634F48C9" w14:textId="77777777" w:rsidR="00F9465F" w:rsidRDefault="00000000">
            <w:pPr>
              <w:pStyle w:val="Compact"/>
            </w:pPr>
            <w:r>
              <w:lastRenderedPageBreak/>
              <w:t>T−1</w:t>
            </w:r>
          </w:p>
        </w:tc>
        <w:tc>
          <w:tcPr>
            <w:tcW w:w="1890" w:type="dxa"/>
          </w:tcPr>
          <w:p w14:paraId="73A82FB1" w14:textId="77777777" w:rsidR="00F9465F" w:rsidRDefault="00000000">
            <w:pPr>
              <w:pStyle w:val="Compact"/>
            </w:pPr>
            <w:r>
              <w:t xml:space="preserve">~Jan </w:t>
            </w:r>
            <m:oMath>
              <m:r>
                <w:rPr>
                  <w:rFonts w:ascii="Cambria Math" w:hAnsi="Cambria Math"/>
                </w:rPr>
                <m:t>Y</m:t>
              </m:r>
              <m:r>
                <m:rPr>
                  <m:sty m:val="p"/>
                </m:rPr>
                <w:rPr>
                  <w:rFonts w:ascii="Cambria Math" w:hAnsi="Cambria Math"/>
                </w:rPr>
                <m:t>+</m:t>
              </m:r>
              <m:r>
                <w:rPr>
                  <w:rFonts w:ascii="Cambria Math" w:hAnsi="Cambria Math"/>
                </w:rPr>
                <m:t>1</m:t>
              </m:r>
            </m:oMath>
          </w:p>
        </w:tc>
        <w:tc>
          <w:tcPr>
            <w:tcW w:w="2970" w:type="dxa"/>
          </w:tcPr>
          <w:p w14:paraId="163A8FFD" w14:textId="77777777" w:rsidR="00F9465F" w:rsidRDefault="00000000">
            <w:pPr>
              <w:pStyle w:val="Compact"/>
            </w:pPr>
            <w:r>
              <w:t>QCEW Q3 may be available. All CES through Dec in hand.</w:t>
            </w:r>
          </w:p>
        </w:tc>
        <w:tc>
          <w:tcPr>
            <w:tcW w:w="3330" w:type="dxa"/>
          </w:tcPr>
          <w:p w14:paraId="5FB2ABF5" w14:textId="77777777" w:rsidR="00F9465F" w:rsidRDefault="00000000">
            <w:pPr>
              <w:pStyle w:val="Compact"/>
            </w:pPr>
            <w:r>
              <w:t>Minimal remaining uncertainty.</w:t>
            </w:r>
          </w:p>
        </w:tc>
      </w:tr>
      <w:tr w:rsidR="00F9465F" w14:paraId="6ED6CAC0" w14:textId="77777777" w:rsidTr="00866D75">
        <w:tc>
          <w:tcPr>
            <w:tcW w:w="1170" w:type="dxa"/>
          </w:tcPr>
          <w:p w14:paraId="7BB6395D" w14:textId="77777777" w:rsidR="00F9465F" w:rsidRDefault="00000000">
            <w:pPr>
              <w:pStyle w:val="Compact"/>
            </w:pPr>
            <w:r>
              <w:t>T−0</w:t>
            </w:r>
          </w:p>
        </w:tc>
        <w:tc>
          <w:tcPr>
            <w:tcW w:w="1890" w:type="dxa"/>
          </w:tcPr>
          <w:p w14:paraId="18C3B028" w14:textId="77777777" w:rsidR="00F9465F" w:rsidRDefault="00000000">
            <w:pPr>
              <w:pStyle w:val="Compact"/>
            </w:pPr>
            <w:r>
              <w:t xml:space="preserve">~Feb </w:t>
            </w:r>
            <m:oMath>
              <m:r>
                <w:rPr>
                  <w:rFonts w:ascii="Cambria Math" w:hAnsi="Cambria Math"/>
                </w:rPr>
                <m:t>Y</m:t>
              </m:r>
              <m:r>
                <m:rPr>
                  <m:sty m:val="p"/>
                </m:rPr>
                <w:rPr>
                  <w:rFonts w:ascii="Cambria Math" w:hAnsi="Cambria Math"/>
                </w:rPr>
                <m:t>+</m:t>
              </m:r>
              <m:r>
                <w:rPr>
                  <w:rFonts w:ascii="Cambria Math" w:hAnsi="Cambria Math"/>
                </w:rPr>
                <m:t>1</m:t>
              </m:r>
            </m:oMath>
          </w:p>
        </w:tc>
        <w:tc>
          <w:tcPr>
            <w:tcW w:w="2970" w:type="dxa"/>
          </w:tcPr>
          <w:p w14:paraId="26499C50" w14:textId="77777777" w:rsidR="00F9465F" w:rsidRDefault="00000000">
            <w:pPr>
              <w:pStyle w:val="Compact"/>
            </w:pPr>
            <w:r>
              <w:t>Benchmark published.</w:t>
            </w:r>
          </w:p>
        </w:tc>
        <w:tc>
          <w:tcPr>
            <w:tcW w:w="3330" w:type="dxa"/>
          </w:tcPr>
          <w:p w14:paraId="70FE8239" w14:textId="77777777" w:rsidR="00F9465F" w:rsidRDefault="00000000">
            <w:pPr>
              <w:pStyle w:val="Compact"/>
            </w:pPr>
            <w:r>
              <w:t>Revealed.</w:t>
            </w:r>
          </w:p>
        </w:tc>
      </w:tr>
    </w:tbl>
    <w:p w14:paraId="412D264E" w14:textId="3F1C1776" w:rsidR="00F9465F" w:rsidRDefault="00CC12CD" w:rsidP="00CC12CD">
      <w:pPr>
        <w:pStyle w:val="Heading3"/>
        <w:spacing w:before="240"/>
      </w:pPr>
      <w:bookmarkStart w:id="9" w:name="where-the-model-adds-unique-value"/>
      <w:bookmarkEnd w:id="8"/>
      <w:r>
        <w:t>2.2 Where the model adds unique value</w:t>
      </w:r>
    </w:p>
    <w:p w14:paraId="7C23503B" w14:textId="77777777" w:rsidR="00F9465F" w:rsidRDefault="00000000">
      <w:pPr>
        <w:pStyle w:val="FirstParagraph"/>
      </w:pPr>
      <w:r>
        <w:t xml:space="preserve">The most valuable horizons </w:t>
      </w:r>
      <w:r w:rsidRPr="00866D75">
        <w:t>are T−12 through T−6 — before</w:t>
      </w:r>
      <w:r>
        <w:t xml:space="preserve"> QCEW Q1 publishes. During this window, the only signals come from: (1) the accumulating provider–CES divergence, (2) the structural </w:t>
      </w:r>
      <m:oMath>
        <m:r>
          <w:rPr>
            <w:rFonts w:ascii="Cambria Math" w:hAnsi="Cambria Math"/>
          </w:rPr>
          <m:t>B</m:t>
        </m:r>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model’s cyclical indicators, and (3) provider birth-rate data.</w:t>
      </w:r>
    </w:p>
    <w:p w14:paraId="71C9D5BA" w14:textId="77777777" w:rsidR="00F9465F" w:rsidRDefault="00000000">
      <w:pPr>
        <w:pStyle w:val="BodyText"/>
      </w:pPr>
      <w:r>
        <w:t>After QCEW Q1 publishes (~September), anyone with QCEW access can compute a reasonable benchmark prediction from QCEW-minus-CES at March. The model still adds value through proper uncertainty quantification, the 3% non-covered-sector adjustment, and handling of M1/M2 QCEW noise — but marginal value is smaller.</w:t>
      </w:r>
    </w:p>
    <w:p w14:paraId="5FD2D226" w14:textId="77777777" w:rsidR="00CC12CD" w:rsidRDefault="00CC12CD">
      <w:pPr>
        <w:pStyle w:val="Heading2"/>
      </w:pPr>
      <w:bookmarkStart w:id="10" w:name="X690f7e91c87592ad8326a55dfe9e7ebe88467c0"/>
      <w:bookmarkEnd w:id="7"/>
      <w:bookmarkEnd w:id="9"/>
    </w:p>
    <w:p w14:paraId="671928CB" w14:textId="7B1E98A4" w:rsidR="00F9465F" w:rsidRDefault="00CC12CD">
      <w:pPr>
        <w:pStyle w:val="Heading2"/>
      </w:pPr>
      <w:r>
        <w:t>3. Extracting the benchmark prediction from the posterior</w:t>
      </w:r>
    </w:p>
    <w:p w14:paraId="4B3EE70F" w14:textId="658A063F" w:rsidR="00F9465F" w:rsidRDefault="00CC12CD" w:rsidP="00CC12CD">
      <w:pPr>
        <w:pStyle w:val="Heading3"/>
        <w:spacing w:before="240"/>
      </w:pPr>
      <w:bookmarkStart w:id="11" w:name="computation"/>
      <w:r>
        <w:t>3.1 Computation</w:t>
      </w:r>
    </w:p>
    <w:p w14:paraId="47331931" w14:textId="2FF06B38" w:rsidR="00F9465F" w:rsidRDefault="00866D75">
      <w:pPr>
        <w:pStyle w:val="FirstParagraph"/>
      </w:pPr>
      <w:r>
        <w:t>Create a function that takes the posterior inference data, the loaded data dict, and the March reference year. It returns a flat array of posterior samples of the implied revision in thousands of jobs.</w:t>
      </w:r>
    </w:p>
    <w:p w14:paraId="0E5A587A" w14:textId="77777777" w:rsidR="00F9465F" w:rsidRDefault="00000000">
      <w:pPr>
        <w:pStyle w:val="BodyText"/>
      </w:pPr>
      <w:r>
        <w:t>The procedure:</w:t>
      </w:r>
    </w:p>
    <w:p w14:paraId="3B00F479" w14:textId="77777777" w:rsidR="00F9465F" w:rsidRDefault="00000000">
      <w:pPr>
        <w:numPr>
          <w:ilvl w:val="0"/>
          <w:numId w:val="2"/>
        </w:numPr>
      </w:pPr>
      <w:r>
        <w:rPr>
          <w:b/>
          <w:bCs/>
        </w:rPr>
        <w:t>Identify the benchmark window.</w:t>
      </w:r>
      <w:r>
        <w:t xml:space="preserve"> Locate time indices for April </w:t>
      </w:r>
      <m:oMath>
        <m:r>
          <w:rPr>
            <w:rFonts w:ascii="Cambria Math" w:hAnsi="Cambria Math"/>
          </w:rPr>
          <m:t>Y</m:t>
        </m:r>
        <m:r>
          <m:rPr>
            <m:sty m:val="p"/>
          </m:rPr>
          <w:rPr>
            <w:rFonts w:ascii="Cambria Math" w:hAnsi="Cambria Math"/>
          </w:rPr>
          <m:t>-</m:t>
        </m:r>
        <m:r>
          <w:rPr>
            <w:rFonts w:ascii="Cambria Math" w:hAnsi="Cambria Math"/>
          </w:rPr>
          <m:t>1</m:t>
        </m:r>
      </m:oMath>
      <w:r>
        <w:t xml:space="preserve"> through March </w:t>
      </w:r>
      <m:oMath>
        <m:r>
          <w:rPr>
            <w:rFonts w:ascii="Cambria Math" w:hAnsi="Cambria Math"/>
          </w:rPr>
          <m:t>Y</m:t>
        </m:r>
      </m:oMath>
      <w:r>
        <w:t>.</w:t>
      </w:r>
    </w:p>
    <w:p w14:paraId="2EAF899E" w14:textId="77777777" w:rsidR="00F9465F" w:rsidRDefault="00000000">
      <w:pPr>
        <w:numPr>
          <w:ilvl w:val="0"/>
          <w:numId w:val="2"/>
        </w:numPr>
      </w:pPr>
      <w:r>
        <w:rPr>
          <w:b/>
          <w:bCs/>
        </w:rPr>
        <w:t>Cumulate posterior latent growth.</w:t>
      </w:r>
      <w:r>
        <w:t xml:space="preserve"> Sum </w:t>
      </w:r>
      <w:r>
        <w:rPr>
          <w:rStyle w:val="VerbatimChar"/>
        </w:rPr>
        <w:t>g_total_nsa</w:t>
      </w:r>
      <w:r>
        <w:t xml:space="preserve"> posterior samples over the window, yielding a (chains × draws) matrix of cumulative latent growth.</w:t>
      </w:r>
    </w:p>
    <w:p w14:paraId="1F3F4D10" w14:textId="77777777" w:rsidR="00F9465F" w:rsidRDefault="00000000">
      <w:pPr>
        <w:numPr>
          <w:ilvl w:val="0"/>
          <w:numId w:val="2"/>
        </w:numPr>
      </w:pPr>
      <w:r>
        <w:rPr>
          <w:b/>
          <w:bCs/>
        </w:rPr>
        <w:t>Cumulate observed CES NSA growth.</w:t>
      </w:r>
      <w:r>
        <w:t xml:space="preserve"> Sum published CES NSA growth rates over the same window (a known scalar).</w:t>
      </w:r>
    </w:p>
    <w:p w14:paraId="5A7C3068" w14:textId="77777777" w:rsidR="00F9465F" w:rsidRDefault="00000000">
      <w:pPr>
        <w:numPr>
          <w:ilvl w:val="0"/>
          <w:numId w:val="2"/>
        </w:numPr>
      </w:pPr>
      <w:r>
        <w:rPr>
          <w:b/>
          <w:bCs/>
        </w:rPr>
        <w:t>Convert to level-space revision.</w:t>
      </w:r>
      <w:r>
        <w:t xml:space="preserve"> Look up CES NSA employment level at March </w:t>
      </w:r>
      <m:oMath>
        <m:r>
          <w:rPr>
            <w:rFonts w:ascii="Cambria Math" w:hAnsi="Cambria Math"/>
          </w:rPr>
          <m:t>Y</m:t>
        </m:r>
        <m:r>
          <m:rPr>
            <m:sty m:val="p"/>
          </m:rPr>
          <w:rPr>
            <w:rFonts w:ascii="Cambria Math" w:hAnsi="Cambria Math"/>
          </w:rPr>
          <m:t>-</m:t>
        </m:r>
        <m:r>
          <w:rPr>
            <w:rFonts w:ascii="Cambria Math" w:hAnsi="Cambria Math"/>
          </w:rPr>
          <m:t>1</m:t>
        </m:r>
      </m:oMath>
      <w:r>
        <w:t xml:space="preserve"> (the prior benchmark anchor). The implied revision is the base level times the difference between exponentiated latent and CES cumulative growth, scaled to thousands.</w:t>
      </w:r>
    </w:p>
    <w:p w14:paraId="6959FE90" w14:textId="77777777" w:rsidR="00F9465F" w:rsidRDefault="00000000">
      <w:pPr>
        <w:numPr>
          <w:ilvl w:val="0"/>
          <w:numId w:val="2"/>
        </w:numPr>
      </w:pPr>
      <w:r>
        <w:rPr>
          <w:b/>
          <w:bCs/>
        </w:rPr>
        <w:t>Flatten.</w:t>
      </w:r>
      <w:r>
        <w:t xml:space="preserve"> Collapse chain and draw dimensions into a single posterior sample vector.</w:t>
      </w:r>
    </w:p>
    <w:p w14:paraId="3C87D306" w14:textId="45C930BD" w:rsidR="00F9465F" w:rsidRDefault="00CC12CD" w:rsidP="00CC12CD">
      <w:pPr>
        <w:pStyle w:val="Heading3"/>
        <w:spacing w:before="240"/>
      </w:pPr>
      <w:bookmarkStart w:id="12" w:name="interpretation"/>
      <w:bookmarkEnd w:id="11"/>
      <w:r>
        <w:lastRenderedPageBreak/>
        <w:t>3.2 Interpretation</w:t>
      </w:r>
    </w:p>
    <w:p w14:paraId="41B7588F" w14:textId="77777777" w:rsidR="00F9465F" w:rsidRDefault="00000000">
      <w:pPr>
        <w:pStyle w:val="FirstParagraph"/>
      </w:pPr>
      <w:r>
        <w:t>The posterior mean is the point prediction; the distribution provides credible intervals. The posterior will be wide at early horizons (T−12, providers only) and narrow at late horizons (T−1, QCEW-anchored). This uncertainty evolution across horizons quantifies the providers’ marginal contribution at each stage.</w:t>
      </w:r>
    </w:p>
    <w:p w14:paraId="31CD3573" w14:textId="3699A7FA" w:rsidR="00F9465F" w:rsidRDefault="00CC12CD" w:rsidP="00CC12CD">
      <w:pPr>
        <w:pStyle w:val="Heading3"/>
        <w:spacing w:before="240"/>
      </w:pPr>
      <w:bookmarkStart w:id="13" w:name="decomposition"/>
      <w:bookmarkEnd w:id="12"/>
      <w:r>
        <w:t>3.3 Decomposition</w:t>
      </w:r>
    </w:p>
    <w:p w14:paraId="28884BE7" w14:textId="77777777" w:rsidR="00F9465F" w:rsidRDefault="00000000">
      <w:pPr>
        <w:pStyle w:val="FirstParagraph"/>
      </w:pPr>
      <w:r>
        <w:t>The revision can be approximately decomposed:</w:t>
      </w:r>
    </w:p>
    <w:p w14:paraId="0FD4AF91" w14:textId="77777777" w:rsidR="00F9465F"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Y</m:t>
              </m:r>
            </m:sub>
          </m:sSub>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r>
                    <w:rPr>
                      <w:rFonts w:ascii="Cambria Math" w:hAnsi="Cambria Math"/>
                    </w:rPr>
                    <m:t>L</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exp</m:t>
                      </m:r>
                      <m:r>
                        <w:rPr>
                          <w:rFonts w:ascii="Cambria Math" w:hAnsi="Cambria Math"/>
                        </w:rPr>
                        <m:t>​</m:t>
                      </m:r>
                      <m:d>
                        <m:dPr>
                          <m:ctrlPr>
                            <w:rPr>
                              <w:rFonts w:ascii="Cambria Math" w:hAnsi="Cambria Math"/>
                            </w:rPr>
                          </m:ctrlPr>
                        </m:dPr>
                        <m:e>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cont</m:t>
                              </m:r>
                              <m:r>
                                <m:rPr>
                                  <m:sty m:val="p"/>
                                </m:rPr>
                                <w:rPr>
                                  <w:rFonts w:ascii="Cambria Math" w:hAnsi="Cambria Math"/>
                                </w:rPr>
                                <m:t>,</m:t>
                              </m:r>
                              <m:r>
                                <w:rPr>
                                  <w:rFonts w:ascii="Cambria Math" w:hAnsi="Cambria Math"/>
                                </w:rPr>
                                <m:t>NSA</m:t>
                              </m:r>
                            </m:sup>
                          </m:sSubSup>
                        </m:e>
                      </m:d>
                      <m:r>
                        <m:rPr>
                          <m:sty m:val="p"/>
                        </m:rPr>
                        <w:rPr>
                          <w:rFonts w:ascii="Cambria Math" w:hAnsi="Cambria Math"/>
                        </w:rPr>
                        <m:t>-exp</m:t>
                      </m:r>
                      <m:r>
                        <w:rPr>
                          <w:rFonts w:ascii="Cambria Math" w:hAnsi="Cambria Math"/>
                        </w:rPr>
                        <m:t>​</m:t>
                      </m:r>
                      <m:d>
                        <m:dPr>
                          <m:ctrlPr>
                            <w:rPr>
                              <w:rFonts w:ascii="Cambria Math" w:hAnsi="Cambria Math"/>
                            </w:rPr>
                          </m:ctrlPr>
                        </m:dPr>
                        <m:e>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CES</m:t>
                              </m:r>
                              <m:r>
                                <m:rPr>
                                  <m:sty m:val="p"/>
                                </m:rPr>
                                <w:rPr>
                                  <w:rFonts w:ascii="Cambria Math" w:hAnsi="Cambria Math"/>
                                </w:rPr>
                                <m:t>,</m:t>
                              </m:r>
                              <m:r>
                                <w:rPr>
                                  <w:rFonts w:ascii="Cambria Math" w:hAnsi="Cambria Math"/>
                                </w:rPr>
                                <m:t>NSA</m:t>
                              </m:r>
                            </m:sup>
                          </m:sSubSup>
                        </m:e>
                      </m:d>
                    </m:e>
                  </m:d>
                </m:e>
                <m:lim>
                  <m:r>
                    <m:rPr>
                      <m:sty m:val="p"/>
                    </m:rPr>
                    <w:rPr>
                      <w:rFonts w:ascii="Cambria Math" w:hAnsi="Cambria Math"/>
                    </w:rPr>
                    <m:t>⏟</m:t>
                  </m:r>
                </m:lim>
              </m:limLow>
            </m:e>
            <m:lim>
              <m:r>
                <m:rPr>
                  <m:nor/>
                </m:rPr>
                <m:t>Continuing-units divergence</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r>
                    <w:rPr>
                      <w:rFonts w:ascii="Cambria Math" w:hAnsi="Cambria Math"/>
                    </w:rPr>
                    <m:t>L</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exp</m:t>
                      </m:r>
                      <m: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D</m:t>
                              </m:r>
                            </m:e>
                            <m:sub>
                              <m:r>
                                <w:rPr>
                                  <w:rFonts w:ascii="Cambria Math" w:hAnsi="Cambria Math"/>
                                </w:rPr>
                                <m:t>t</m:t>
                              </m:r>
                            </m:sub>
                          </m:sSub>
                        </m:e>
                      </m:d>
                      <m:r>
                        <m:rPr>
                          <m:sty m:val="p"/>
                        </m:rPr>
                        <w:rPr>
                          <w:rFonts w:ascii="Cambria Math" w:hAnsi="Cambria Math"/>
                        </w:rPr>
                        <m:t>-</m:t>
                      </m:r>
                      <m:r>
                        <w:rPr>
                          <w:rFonts w:ascii="Cambria Math" w:hAnsi="Cambria Math"/>
                        </w:rPr>
                        <m:t>1</m:t>
                      </m:r>
                    </m:e>
                  </m:d>
                </m:e>
                <m:lim>
                  <m:r>
                    <m:rPr>
                      <m:sty m:val="p"/>
                    </m:rPr>
                    <w:rPr>
                      <w:rFonts w:ascii="Cambria Math" w:hAnsi="Cambria Math"/>
                    </w:rPr>
                    <m:t>⏟</m:t>
                  </m:r>
                </m:lim>
              </m:limLow>
            </m:e>
            <m:lim>
              <m:r>
                <m:rPr>
                  <m:nor/>
                </m:rPr>
                <m:t>Model BD accumulation</m:t>
              </m:r>
            </m:lim>
          </m:limLow>
        </m:oMath>
      </m:oMathPara>
    </w:p>
    <w:p w14:paraId="6D600E90" w14:textId="77777777" w:rsidR="00F9465F" w:rsidRDefault="00000000">
      <w:pPr>
        <w:pStyle w:val="FirstParagraph"/>
      </w:pPr>
      <w:r>
        <w:t>This separates “CES sample is off on continuing-units growth” from “CES birth/death model is wrong.” In practice the BD term should dominate. If the continuing-units divergence is large, it may indicate provider sample representativeness issues rather than genuine CES error.</w:t>
      </w:r>
    </w:p>
    <w:p w14:paraId="5CB7EE81" w14:textId="77777777" w:rsidR="00CC12CD" w:rsidRDefault="00CC12CD">
      <w:pPr>
        <w:pStyle w:val="Heading2"/>
      </w:pPr>
      <w:bookmarkStart w:id="14" w:name="backtesting"/>
      <w:bookmarkEnd w:id="10"/>
      <w:bookmarkEnd w:id="13"/>
    </w:p>
    <w:p w14:paraId="191B8FB1" w14:textId="0CBFB2AD" w:rsidR="00F9465F" w:rsidRDefault="00CC12CD">
      <w:pPr>
        <w:pStyle w:val="Heading2"/>
      </w:pPr>
      <w:r>
        <w:t>4. Backtesting</w:t>
      </w:r>
    </w:p>
    <w:p w14:paraId="516449FF" w14:textId="0C12F537" w:rsidR="00F9465F" w:rsidRDefault="00CC12CD" w:rsidP="00CC12CD">
      <w:pPr>
        <w:pStyle w:val="Heading3"/>
        <w:spacing w:before="240"/>
      </w:pPr>
      <w:bookmarkStart w:id="15" w:name="objective"/>
      <w:r>
        <w:t>4.1 Objective</w:t>
      </w:r>
    </w:p>
    <w:p w14:paraId="0F77AD88" w14:textId="77777777" w:rsidR="00F9465F" w:rsidRDefault="00000000">
      <w:pPr>
        <w:pStyle w:val="FirstParagraph"/>
      </w:pPr>
      <w:r>
        <w:t xml:space="preserve">For each historical benchmark year </w:t>
      </w:r>
      <m:oMath>
        <m:r>
          <w:rPr>
            <w:rFonts w:ascii="Cambria Math" w:hAnsi="Cambria Math"/>
          </w:rPr>
          <m:t>Y</m:t>
        </m:r>
      </m:oMath>
      <w:r>
        <w:t>, produce the implied revision prediction at multiple horizons using only information available at each horizon. Compare against the actual benchmark revision.</w:t>
      </w:r>
    </w:p>
    <w:p w14:paraId="7D48F17A" w14:textId="5165EE22" w:rsidR="00F9465F" w:rsidRDefault="00CC12CD" w:rsidP="00CC12CD">
      <w:pPr>
        <w:pStyle w:val="Heading3"/>
        <w:spacing w:before="240"/>
      </w:pPr>
      <w:bookmarkStart w:id="16" w:name="truth-definition"/>
      <w:bookmarkEnd w:id="15"/>
      <w:r>
        <w:t>4.2 Truth definition</w:t>
      </w:r>
    </w:p>
    <w:p w14:paraId="7264C290" w14:textId="696A6720" w:rsidR="00F9465F" w:rsidRDefault="00000000">
      <w:pPr>
        <w:pStyle w:val="FirstParagraph"/>
      </w:pPr>
      <w:r>
        <w:t xml:space="preserve">The evaluation target is the </w:t>
      </w:r>
      <w:r w:rsidRPr="00CC12CD">
        <w:t>final</w:t>
      </w:r>
      <w:r>
        <w:t xml:space="preserve"> benchmark revision (NSA total nonfarm) as published in the February </w:t>
      </w:r>
      <m:oMath>
        <m:r>
          <w:rPr>
            <w:rFonts w:ascii="Cambria Math" w:hAnsi="Cambria Math"/>
          </w:rPr>
          <m:t>Y</m:t>
        </m:r>
        <m:r>
          <m:rPr>
            <m:sty m:val="p"/>
          </m:rPr>
          <w:rPr>
            <w:rFonts w:ascii="Cambria Math" w:hAnsi="Cambria Math"/>
          </w:rPr>
          <m:t>+</m:t>
        </m:r>
        <m:r>
          <w:rPr>
            <w:rFonts w:ascii="Cambria Math" w:hAnsi="Cambria Math"/>
          </w:rPr>
          <m:t>1</m:t>
        </m:r>
      </m:oMath>
      <w:r>
        <w:t xml:space="preserve"> Employment Situation release.</w:t>
      </w:r>
    </w:p>
    <w:p w14:paraId="1E890813" w14:textId="77777777" w:rsidR="00F9465F" w:rsidRDefault="00000000">
      <w:pPr>
        <w:pStyle w:val="BodyText"/>
      </w:pPr>
      <w:r>
        <w:t>Two considerations: (1) use NSA as the primary metric since the benchmark is fundamentally an NSA concept; (2) evaluate against the final, not the preliminary, though the preliminary-to-final gap is a secondary target.</w:t>
      </w:r>
    </w:p>
    <w:p w14:paraId="0A077AD3" w14:textId="57C14045" w:rsidR="00F9465F" w:rsidRDefault="00CC12CD" w:rsidP="00CC12CD">
      <w:pPr>
        <w:pStyle w:val="Heading3"/>
        <w:spacing w:before="240"/>
      </w:pPr>
      <w:bookmarkStart w:id="17" w:name="information-set-construction"/>
      <w:bookmarkEnd w:id="16"/>
      <w:r>
        <w:t>4.3 Information set construction</w:t>
      </w:r>
    </w:p>
    <w:p w14:paraId="646322F4" w14:textId="77777777" w:rsidR="00866D75" w:rsidRDefault="00000000" w:rsidP="00866D75">
      <w:pPr>
        <w:pStyle w:val="FirstParagraph"/>
      </w:pPr>
      <w:r>
        <w:t>Valid backtesting requires preventing lookahead bias. The current</w:t>
      </w:r>
      <w:r w:rsidR="00866D75">
        <w:t xml:space="preserve"> system functionality</w:t>
      </w:r>
      <w:r>
        <w:t xml:space="preserve"> supports</w:t>
      </w:r>
      <w:r w:rsidR="00866D75">
        <w:t xml:space="preserve"> CES censoring </w:t>
      </w:r>
      <w:r>
        <w:t xml:space="preserve">but lacks QCEW and provider censoring. </w:t>
      </w:r>
    </w:p>
    <w:p w14:paraId="57E82D92" w14:textId="465C778C" w:rsidR="00F9465F" w:rsidRDefault="00000000" w:rsidP="00866D75">
      <w:pPr>
        <w:pStyle w:val="FirstParagraph"/>
      </w:pPr>
      <w:r>
        <w:t>QCEW censoring is most important. The publication schedule:</w:t>
      </w:r>
    </w:p>
    <w:tbl>
      <w:tblPr>
        <w:tblStyle w:val="Table"/>
        <w:tblW w:w="5000" w:type="pct"/>
        <w:tblLayout w:type="fixed"/>
        <w:tblLook w:val="0020" w:firstRow="1" w:lastRow="0" w:firstColumn="0" w:lastColumn="0" w:noHBand="0" w:noVBand="0"/>
      </w:tblPr>
      <w:tblGrid>
        <w:gridCol w:w="3077"/>
        <w:gridCol w:w="4103"/>
        <w:gridCol w:w="2180"/>
      </w:tblGrid>
      <w:tr w:rsidR="00F9465F" w14:paraId="6E974A8F" w14:textId="77777777" w:rsidTr="00F9465F">
        <w:trPr>
          <w:cnfStyle w:val="100000000000" w:firstRow="1" w:lastRow="0" w:firstColumn="0" w:lastColumn="0" w:oddVBand="0" w:evenVBand="0" w:oddHBand="0" w:evenHBand="0" w:firstRowFirstColumn="0" w:firstRowLastColumn="0" w:lastRowFirstColumn="0" w:lastRowLastColumn="0"/>
          <w:tblHeader/>
        </w:trPr>
        <w:tc>
          <w:tcPr>
            <w:tcW w:w="2603" w:type="dxa"/>
          </w:tcPr>
          <w:p w14:paraId="01292FD5" w14:textId="77777777" w:rsidR="00F9465F" w:rsidRDefault="00000000">
            <w:pPr>
              <w:pStyle w:val="Compact"/>
            </w:pPr>
            <w:r>
              <w:lastRenderedPageBreak/>
              <w:t>Reference quarter</w:t>
            </w:r>
          </w:p>
        </w:tc>
        <w:tc>
          <w:tcPr>
            <w:tcW w:w="3471" w:type="dxa"/>
          </w:tcPr>
          <w:p w14:paraId="241CB72D" w14:textId="77777777" w:rsidR="00F9465F" w:rsidRDefault="00000000">
            <w:pPr>
              <w:pStyle w:val="Compact"/>
            </w:pPr>
            <w:r>
              <w:t>Approximate publication</w:t>
            </w:r>
          </w:p>
        </w:tc>
        <w:tc>
          <w:tcPr>
            <w:tcW w:w="1844" w:type="dxa"/>
          </w:tcPr>
          <w:p w14:paraId="7CAC070C" w14:textId="77777777" w:rsidR="00F9465F" w:rsidRDefault="00000000">
            <w:pPr>
              <w:pStyle w:val="Compact"/>
            </w:pPr>
            <w:r>
              <w:t>Content</w:t>
            </w:r>
          </w:p>
        </w:tc>
      </w:tr>
      <w:tr w:rsidR="00F9465F" w14:paraId="3A0856BB" w14:textId="77777777">
        <w:tc>
          <w:tcPr>
            <w:tcW w:w="2603" w:type="dxa"/>
          </w:tcPr>
          <w:p w14:paraId="3D144776" w14:textId="77777777" w:rsidR="00F9465F" w:rsidRDefault="00000000">
            <w:pPr>
              <w:pStyle w:val="Compact"/>
            </w:pPr>
            <w:r>
              <w:t xml:space="preserve">Q1 (Jan–Mar </w:t>
            </w:r>
            <m:oMath>
              <m:r>
                <w:rPr>
                  <w:rFonts w:ascii="Cambria Math" w:hAnsi="Cambria Math"/>
                </w:rPr>
                <m:t>Y</m:t>
              </m:r>
            </m:oMath>
            <w:r>
              <w:t>)</w:t>
            </w:r>
          </w:p>
        </w:tc>
        <w:tc>
          <w:tcPr>
            <w:tcW w:w="3471" w:type="dxa"/>
          </w:tcPr>
          <w:p w14:paraId="4E0648EA" w14:textId="77777777" w:rsidR="00F9465F" w:rsidRDefault="00000000">
            <w:pPr>
              <w:pStyle w:val="Compact"/>
            </w:pPr>
            <w:r>
              <w:t xml:space="preserve">September </w:t>
            </w:r>
            <m:oMath>
              <m:r>
                <w:rPr>
                  <w:rFonts w:ascii="Cambria Math" w:hAnsi="Cambria Math"/>
                </w:rPr>
                <m:t>Y</m:t>
              </m:r>
            </m:oMath>
          </w:p>
        </w:tc>
        <w:tc>
          <w:tcPr>
            <w:tcW w:w="1844" w:type="dxa"/>
          </w:tcPr>
          <w:p w14:paraId="62282B0C" w14:textId="34280436" w:rsidR="00F9465F" w:rsidRDefault="00000000">
            <w:pPr>
              <w:pStyle w:val="Compact"/>
            </w:pPr>
            <w:r w:rsidRPr="00CC12CD">
              <w:t xml:space="preserve">Contains March </w:t>
            </w:r>
            <m:oMath>
              <m:r>
                <w:rPr>
                  <w:rFonts w:ascii="Cambria Math" w:hAnsi="Cambria Math"/>
                </w:rPr>
                <m:t>Y</m:t>
              </m:r>
            </m:oMath>
            <w:r>
              <w:t xml:space="preserve"> — the benchmark month</w:t>
            </w:r>
          </w:p>
        </w:tc>
      </w:tr>
      <w:tr w:rsidR="00F9465F" w14:paraId="6BD40E9F" w14:textId="77777777">
        <w:tc>
          <w:tcPr>
            <w:tcW w:w="2603" w:type="dxa"/>
          </w:tcPr>
          <w:p w14:paraId="6CF428EF" w14:textId="77777777" w:rsidR="00F9465F" w:rsidRDefault="00000000">
            <w:pPr>
              <w:pStyle w:val="Compact"/>
            </w:pPr>
            <w:r>
              <w:t xml:space="preserve">Q2 (Apr–Jun </w:t>
            </w:r>
            <m:oMath>
              <m:r>
                <w:rPr>
                  <w:rFonts w:ascii="Cambria Math" w:hAnsi="Cambria Math"/>
                </w:rPr>
                <m:t>Y</m:t>
              </m:r>
            </m:oMath>
            <w:r>
              <w:t>)</w:t>
            </w:r>
          </w:p>
        </w:tc>
        <w:tc>
          <w:tcPr>
            <w:tcW w:w="3471" w:type="dxa"/>
          </w:tcPr>
          <w:p w14:paraId="6DD35354" w14:textId="77777777" w:rsidR="00F9465F" w:rsidRDefault="00000000">
            <w:pPr>
              <w:pStyle w:val="Compact"/>
            </w:pPr>
            <w:r>
              <w:t xml:space="preserve">December </w:t>
            </w:r>
            <m:oMath>
              <m:r>
                <w:rPr>
                  <w:rFonts w:ascii="Cambria Math" w:hAnsi="Cambria Math"/>
                </w:rPr>
                <m:t>Y</m:t>
              </m:r>
            </m:oMath>
          </w:p>
        </w:tc>
        <w:tc>
          <w:tcPr>
            <w:tcW w:w="1844" w:type="dxa"/>
          </w:tcPr>
          <w:p w14:paraId="5F30BD1E" w14:textId="77777777" w:rsidR="00F9465F" w:rsidRDefault="00F9465F">
            <w:pPr>
              <w:pStyle w:val="Compact"/>
            </w:pPr>
          </w:p>
        </w:tc>
      </w:tr>
      <w:tr w:rsidR="00F9465F" w14:paraId="374D7877" w14:textId="77777777">
        <w:tc>
          <w:tcPr>
            <w:tcW w:w="2603" w:type="dxa"/>
          </w:tcPr>
          <w:p w14:paraId="4141EB17" w14:textId="77777777" w:rsidR="00F9465F" w:rsidRDefault="00000000">
            <w:pPr>
              <w:pStyle w:val="Compact"/>
            </w:pPr>
            <w:r>
              <w:t xml:space="preserve">Q3 (Jul–Sep </w:t>
            </w:r>
            <m:oMath>
              <m:r>
                <w:rPr>
                  <w:rFonts w:ascii="Cambria Math" w:hAnsi="Cambria Math"/>
                </w:rPr>
                <m:t>Y</m:t>
              </m:r>
            </m:oMath>
            <w:r>
              <w:t>)</w:t>
            </w:r>
          </w:p>
        </w:tc>
        <w:tc>
          <w:tcPr>
            <w:tcW w:w="3471" w:type="dxa"/>
          </w:tcPr>
          <w:p w14:paraId="18E49877" w14:textId="77777777" w:rsidR="00F9465F" w:rsidRDefault="00000000">
            <w:pPr>
              <w:pStyle w:val="Compact"/>
            </w:pPr>
            <w:r>
              <w:t xml:space="preserve">March </w:t>
            </w:r>
            <m:oMath>
              <m:r>
                <w:rPr>
                  <w:rFonts w:ascii="Cambria Math" w:hAnsi="Cambria Math"/>
                </w:rPr>
                <m:t>Y</m:t>
              </m:r>
              <m:r>
                <m:rPr>
                  <m:sty m:val="p"/>
                </m:rPr>
                <w:rPr>
                  <w:rFonts w:ascii="Cambria Math" w:hAnsi="Cambria Math"/>
                </w:rPr>
                <m:t>+</m:t>
              </m:r>
              <m:r>
                <w:rPr>
                  <w:rFonts w:ascii="Cambria Math" w:hAnsi="Cambria Math"/>
                </w:rPr>
                <m:t>1</m:t>
              </m:r>
            </m:oMath>
          </w:p>
        </w:tc>
        <w:tc>
          <w:tcPr>
            <w:tcW w:w="1844" w:type="dxa"/>
          </w:tcPr>
          <w:p w14:paraId="14B9CF2C" w14:textId="77777777" w:rsidR="00F9465F" w:rsidRDefault="00000000">
            <w:pPr>
              <w:pStyle w:val="Compact"/>
            </w:pPr>
            <w:r>
              <w:t>Often just before benchmark</w:t>
            </w:r>
          </w:p>
        </w:tc>
      </w:tr>
      <w:tr w:rsidR="00F9465F" w14:paraId="7BF6B983" w14:textId="77777777">
        <w:tc>
          <w:tcPr>
            <w:tcW w:w="2603" w:type="dxa"/>
          </w:tcPr>
          <w:p w14:paraId="321350E3" w14:textId="77777777" w:rsidR="00F9465F" w:rsidRDefault="00000000">
            <w:pPr>
              <w:pStyle w:val="Compact"/>
            </w:pPr>
            <w:r>
              <w:t xml:space="preserve">Q4 (Oct–Dec </w:t>
            </w:r>
            <m:oMath>
              <m:r>
                <w:rPr>
                  <w:rFonts w:ascii="Cambria Math" w:hAnsi="Cambria Math"/>
                </w:rPr>
                <m:t>Y</m:t>
              </m:r>
            </m:oMath>
            <w:r>
              <w:t>)</w:t>
            </w:r>
          </w:p>
        </w:tc>
        <w:tc>
          <w:tcPr>
            <w:tcW w:w="3471" w:type="dxa"/>
          </w:tcPr>
          <w:p w14:paraId="2A12DE45" w14:textId="77777777" w:rsidR="00F9465F" w:rsidRDefault="00000000">
            <w:pPr>
              <w:pStyle w:val="Compact"/>
            </w:pPr>
            <w:r>
              <w:t xml:space="preserve">June </w:t>
            </w:r>
            <m:oMath>
              <m:r>
                <w:rPr>
                  <w:rFonts w:ascii="Cambria Math" w:hAnsi="Cambria Math"/>
                </w:rPr>
                <m:t>Y</m:t>
              </m:r>
              <m:r>
                <m:rPr>
                  <m:sty m:val="p"/>
                </m:rPr>
                <w:rPr>
                  <w:rFonts w:ascii="Cambria Math" w:hAnsi="Cambria Math"/>
                </w:rPr>
                <m:t>+</m:t>
              </m:r>
              <m:r>
                <w:rPr>
                  <w:rFonts w:ascii="Cambria Math" w:hAnsi="Cambria Math"/>
                </w:rPr>
                <m:t>1</m:t>
              </m:r>
            </m:oMath>
          </w:p>
        </w:tc>
        <w:tc>
          <w:tcPr>
            <w:tcW w:w="1844" w:type="dxa"/>
          </w:tcPr>
          <w:p w14:paraId="30E5D3AF" w14:textId="77777777" w:rsidR="00F9465F" w:rsidRDefault="00000000">
            <w:pPr>
              <w:pStyle w:val="Compact"/>
            </w:pPr>
            <w:r>
              <w:t>After benchmark</w:t>
            </w:r>
          </w:p>
        </w:tc>
      </w:tr>
    </w:tbl>
    <w:p w14:paraId="4337C7BB" w14:textId="47273253" w:rsidR="00F9465F" w:rsidRDefault="00000000">
      <w:pPr>
        <w:pStyle w:val="BodyText"/>
      </w:pPr>
      <w:r>
        <w:t>When</w:t>
      </w:r>
      <w:r w:rsidR="00866D75">
        <w:t xml:space="preserve"> QCEW censoring</w:t>
      </w:r>
      <w:r>
        <w:t xml:space="preserve"> is provided, each source is masked to only include observations published by that date. QCEW availability is determined by comparing the reference quarter’s publication date. CES, provider, and cyclical data are masked analogously using their respective publication lags.</w:t>
      </w:r>
    </w:p>
    <w:p w14:paraId="4DF63569" w14:textId="3ABF3787" w:rsidR="00F9465F" w:rsidRDefault="00CC12CD" w:rsidP="00CC12CD">
      <w:pPr>
        <w:pStyle w:val="Heading3"/>
        <w:spacing w:before="240"/>
      </w:pPr>
      <w:bookmarkStart w:id="18" w:name="backtest-procedure"/>
      <w:bookmarkEnd w:id="17"/>
      <w:r>
        <w:t xml:space="preserve">4.4 </w:t>
      </w:r>
      <w:proofErr w:type="spellStart"/>
      <w:r>
        <w:t>Backtest</w:t>
      </w:r>
      <w:proofErr w:type="spellEnd"/>
      <w:r>
        <w:t xml:space="preserve"> procedure</w:t>
      </w:r>
    </w:p>
    <w:p w14:paraId="796BED3C" w14:textId="77777777" w:rsidR="00F9465F" w:rsidRDefault="00000000">
      <w:pPr>
        <w:pStyle w:val="FirstParagraph"/>
      </w:pPr>
      <w:r>
        <w:t>The backtest iterates over benchmark years and horizons.</w:t>
      </w:r>
    </w:p>
    <w:p w14:paraId="3C790CCF" w14:textId="77777777" w:rsidR="00F9465F" w:rsidRDefault="00000000">
      <w:pPr>
        <w:pStyle w:val="BodyText"/>
      </w:pPr>
      <w:r>
        <w:rPr>
          <w:b/>
          <w:bCs/>
        </w:rPr>
        <w:t>Outer loop:</w:t>
      </w:r>
      <w:r>
        <w:t xml:space="preserve"> all years with both provider data and actual benchmark revisions available. Exclude 2020–2021 (COVID) from standard evaluation.</w:t>
      </w:r>
    </w:p>
    <w:p w14:paraId="0AED3E57" w14:textId="77777777" w:rsidR="00F9465F" w:rsidRDefault="00000000">
      <w:pPr>
        <w:pStyle w:val="BodyText"/>
      </w:pPr>
      <w:r>
        <w:rPr>
          <w:b/>
          <w:bCs/>
        </w:rPr>
        <w:t>Inner loop:</w:t>
      </w:r>
      <w:r>
        <w:t xml:space="preserve"> five horizons per year — T−12 (~April </w:t>
      </w:r>
      <m:oMath>
        <m:r>
          <w:rPr>
            <w:rFonts w:ascii="Cambria Math" w:hAnsi="Cambria Math"/>
          </w:rPr>
          <m:t>Y</m:t>
        </m:r>
      </m:oMath>
      <w:r>
        <w:t xml:space="preserve">), T−9 (~July </w:t>
      </w:r>
      <m:oMath>
        <m:r>
          <w:rPr>
            <w:rFonts w:ascii="Cambria Math" w:hAnsi="Cambria Math"/>
          </w:rPr>
          <m:t>Y</m:t>
        </m:r>
      </m:oMath>
      <w:r>
        <w:t xml:space="preserve">), T−6 (~October </w:t>
      </w:r>
      <m:oMath>
        <m:r>
          <w:rPr>
            <w:rFonts w:ascii="Cambria Math" w:hAnsi="Cambria Math"/>
          </w:rPr>
          <m:t>Y</m:t>
        </m:r>
      </m:oMath>
      <w:r>
        <w:t xml:space="preserve">), T−3 (~January </w:t>
      </w:r>
      <m:oMath>
        <m:r>
          <w:rPr>
            <w:rFonts w:ascii="Cambria Math" w:hAnsi="Cambria Math"/>
          </w:rPr>
          <m:t>Y</m:t>
        </m:r>
        <m:r>
          <m:rPr>
            <m:sty m:val="p"/>
          </m:rPr>
          <w:rPr>
            <w:rFonts w:ascii="Cambria Math" w:hAnsi="Cambria Math"/>
          </w:rPr>
          <m:t>+</m:t>
        </m:r>
        <m:r>
          <w:rPr>
            <w:rFonts w:ascii="Cambria Math" w:hAnsi="Cambria Math"/>
          </w:rPr>
          <m:t>1</m:t>
        </m:r>
      </m:oMath>
      <w:r>
        <w:t xml:space="preserve">), T−1 (~February </w:t>
      </w:r>
      <m:oMath>
        <m:r>
          <w:rPr>
            <w:rFonts w:ascii="Cambria Math" w:hAnsi="Cambria Math"/>
          </w:rPr>
          <m:t>Y</m:t>
        </m:r>
        <m:r>
          <m:rPr>
            <m:sty m:val="p"/>
          </m:rPr>
          <w:rPr>
            <w:rFonts w:ascii="Cambria Math" w:hAnsi="Cambria Math"/>
          </w:rPr>
          <m:t>+</m:t>
        </m:r>
        <m:r>
          <w:rPr>
            <w:rFonts w:ascii="Cambria Math" w:hAnsi="Cambria Math"/>
          </w:rPr>
          <m:t>1</m:t>
        </m:r>
      </m:oMath>
      <w:r>
        <w:t>).</w:t>
      </w:r>
    </w:p>
    <w:p w14:paraId="4A7D3A9D" w14:textId="77777777" w:rsidR="00F9465F" w:rsidRDefault="00000000">
      <w:pPr>
        <w:pStyle w:val="BodyText"/>
      </w:pPr>
      <w:r>
        <w:rPr>
          <w:b/>
          <w:bCs/>
        </w:rPr>
        <w:t>At each (year, horizon) pair:</w:t>
      </w:r>
    </w:p>
    <w:p w14:paraId="413E7CEA" w14:textId="11D46E96" w:rsidR="00F9465F" w:rsidRDefault="00000000">
      <w:pPr>
        <w:pStyle w:val="Compact"/>
        <w:numPr>
          <w:ilvl w:val="0"/>
          <w:numId w:val="3"/>
        </w:numPr>
      </w:pPr>
      <w:r>
        <w:t xml:space="preserve">Load data </w:t>
      </w:r>
      <w:r w:rsidR="00866D75">
        <w:t xml:space="preserve">and censor </w:t>
      </w:r>
      <w:r>
        <w:t>to the horizon cutoff, masking unpublished observations.</w:t>
      </w:r>
    </w:p>
    <w:p w14:paraId="154AFBB8" w14:textId="77777777" w:rsidR="00F9465F" w:rsidRDefault="00000000">
      <w:pPr>
        <w:pStyle w:val="Compact"/>
        <w:numPr>
          <w:ilvl w:val="0"/>
          <w:numId w:val="3"/>
        </w:numPr>
      </w:pPr>
      <w:r>
        <w:t>Run the standard Release 1 model (no modifications needed).</w:t>
      </w:r>
    </w:p>
    <w:p w14:paraId="78A78C18" w14:textId="1DA32578" w:rsidR="00F9465F" w:rsidRDefault="00000000">
      <w:pPr>
        <w:pStyle w:val="Compact"/>
        <w:numPr>
          <w:ilvl w:val="0"/>
          <w:numId w:val="3"/>
        </w:numPr>
      </w:pPr>
      <w:r>
        <w:t>Extract the implied revision posterior.</w:t>
      </w:r>
    </w:p>
    <w:p w14:paraId="4EB67525" w14:textId="77777777" w:rsidR="00F9465F" w:rsidRDefault="00000000">
      <w:pPr>
        <w:pStyle w:val="Compact"/>
        <w:numPr>
          <w:ilvl w:val="0"/>
          <w:numId w:val="3"/>
        </w:numPr>
      </w:pPr>
      <w:r>
        <w:t>Record posterior mean, standard deviation, 90% HDI, and the actual revision.</w:t>
      </w:r>
    </w:p>
    <w:p w14:paraId="48B8F305" w14:textId="309828ED" w:rsidR="00F9465F" w:rsidRDefault="00CC12CD" w:rsidP="00CC12CD">
      <w:pPr>
        <w:pStyle w:val="Heading3"/>
        <w:spacing w:before="240"/>
      </w:pPr>
      <w:bookmarkStart w:id="19" w:name="benchmark-revision-lookup"/>
      <w:bookmarkEnd w:id="18"/>
      <w:r>
        <w:t>4.5 Benchmark revision lookup</w:t>
      </w:r>
    </w:p>
    <w:p w14:paraId="7A4FD3D7" w14:textId="77777777" w:rsidR="00F9465F" w:rsidRDefault="00000000">
      <w:pPr>
        <w:pStyle w:val="FirstParagraph"/>
      </w:pPr>
      <w:r>
        <w:t>Historical benchmark revisions (NSA total nonfarm, 000s):</w:t>
      </w:r>
    </w:p>
    <w:tbl>
      <w:tblPr>
        <w:tblStyle w:val="Table"/>
        <w:tblW w:w="0" w:type="auto"/>
        <w:tblLook w:val="0020" w:firstRow="1" w:lastRow="0" w:firstColumn="0" w:lastColumn="0" w:noHBand="0" w:noVBand="0"/>
      </w:tblPr>
      <w:tblGrid>
        <w:gridCol w:w="1050"/>
        <w:gridCol w:w="1093"/>
        <w:gridCol w:w="1927"/>
      </w:tblGrid>
      <w:tr w:rsidR="00F9465F" w14:paraId="48C4DDA5" w14:textId="77777777" w:rsidTr="00F9465F">
        <w:trPr>
          <w:cnfStyle w:val="100000000000" w:firstRow="1" w:lastRow="0" w:firstColumn="0" w:lastColumn="0" w:oddVBand="0" w:evenVBand="0" w:oddHBand="0" w:evenHBand="0" w:firstRowFirstColumn="0" w:firstRowLastColumn="0" w:lastRowFirstColumn="0" w:lastRowLastColumn="0"/>
          <w:tblHeader/>
        </w:trPr>
        <w:tc>
          <w:tcPr>
            <w:tcW w:w="0" w:type="auto"/>
          </w:tcPr>
          <w:p w14:paraId="637ED4D1" w14:textId="77777777" w:rsidR="00F9465F" w:rsidRDefault="00000000">
            <w:pPr>
              <w:pStyle w:val="Compact"/>
            </w:pPr>
            <w:r>
              <w:t>March Y</w:t>
            </w:r>
          </w:p>
        </w:tc>
        <w:tc>
          <w:tcPr>
            <w:tcW w:w="0" w:type="auto"/>
          </w:tcPr>
          <w:p w14:paraId="13B73D8E" w14:textId="77777777" w:rsidR="00F9465F" w:rsidRDefault="00000000">
            <w:pPr>
              <w:pStyle w:val="Compact"/>
            </w:pPr>
            <w:r>
              <w:t>Revision</w:t>
            </w:r>
          </w:p>
        </w:tc>
        <w:tc>
          <w:tcPr>
            <w:tcW w:w="0" w:type="auto"/>
          </w:tcPr>
          <w:p w14:paraId="77C12C13" w14:textId="77777777" w:rsidR="00F9465F" w:rsidRDefault="00000000">
            <w:pPr>
              <w:pStyle w:val="Compact"/>
            </w:pPr>
            <w:r>
              <w:t>Notes</w:t>
            </w:r>
          </w:p>
        </w:tc>
      </w:tr>
      <w:tr w:rsidR="00F9465F" w14:paraId="6A905F15" w14:textId="77777777">
        <w:tc>
          <w:tcPr>
            <w:tcW w:w="0" w:type="auto"/>
          </w:tcPr>
          <w:p w14:paraId="4377EFD0" w14:textId="77777777" w:rsidR="00F9465F" w:rsidRDefault="00000000">
            <w:pPr>
              <w:pStyle w:val="Compact"/>
            </w:pPr>
            <w:r>
              <w:t>2009</w:t>
            </w:r>
          </w:p>
        </w:tc>
        <w:tc>
          <w:tcPr>
            <w:tcW w:w="0" w:type="auto"/>
          </w:tcPr>
          <w:p w14:paraId="6B37D57A" w14:textId="77777777" w:rsidR="00F9465F" w:rsidRDefault="00000000">
            <w:pPr>
              <w:pStyle w:val="Compact"/>
            </w:pPr>
            <w:r>
              <w:t>−902</w:t>
            </w:r>
          </w:p>
        </w:tc>
        <w:tc>
          <w:tcPr>
            <w:tcW w:w="0" w:type="auto"/>
          </w:tcPr>
          <w:p w14:paraId="58059E22" w14:textId="77777777" w:rsidR="00F9465F" w:rsidRDefault="00000000">
            <w:pPr>
              <w:pStyle w:val="Compact"/>
            </w:pPr>
            <w:r>
              <w:t>Great Recession</w:t>
            </w:r>
          </w:p>
        </w:tc>
      </w:tr>
      <w:tr w:rsidR="00F9465F" w14:paraId="4C156BA6" w14:textId="77777777">
        <w:tc>
          <w:tcPr>
            <w:tcW w:w="0" w:type="auto"/>
          </w:tcPr>
          <w:p w14:paraId="3F9C9593" w14:textId="77777777" w:rsidR="00F9465F" w:rsidRDefault="00000000">
            <w:pPr>
              <w:pStyle w:val="Compact"/>
            </w:pPr>
            <w:r>
              <w:t>2010</w:t>
            </w:r>
          </w:p>
        </w:tc>
        <w:tc>
          <w:tcPr>
            <w:tcW w:w="0" w:type="auto"/>
          </w:tcPr>
          <w:p w14:paraId="75230649" w14:textId="77777777" w:rsidR="00F9465F" w:rsidRDefault="00000000">
            <w:pPr>
              <w:pStyle w:val="Compact"/>
            </w:pPr>
            <w:r>
              <w:t>−378</w:t>
            </w:r>
          </w:p>
        </w:tc>
        <w:tc>
          <w:tcPr>
            <w:tcW w:w="0" w:type="auto"/>
          </w:tcPr>
          <w:p w14:paraId="5BB50F36" w14:textId="77777777" w:rsidR="00F9465F" w:rsidRDefault="00F9465F">
            <w:pPr>
              <w:pStyle w:val="Compact"/>
            </w:pPr>
          </w:p>
        </w:tc>
      </w:tr>
      <w:tr w:rsidR="00F9465F" w14:paraId="16AA0897" w14:textId="77777777">
        <w:tc>
          <w:tcPr>
            <w:tcW w:w="0" w:type="auto"/>
          </w:tcPr>
          <w:p w14:paraId="6CCFA1C2" w14:textId="77777777" w:rsidR="00F9465F" w:rsidRDefault="00000000">
            <w:pPr>
              <w:pStyle w:val="Compact"/>
            </w:pPr>
            <w:r>
              <w:t>2011</w:t>
            </w:r>
          </w:p>
        </w:tc>
        <w:tc>
          <w:tcPr>
            <w:tcW w:w="0" w:type="auto"/>
          </w:tcPr>
          <w:p w14:paraId="747D833D" w14:textId="77777777" w:rsidR="00F9465F" w:rsidRDefault="00000000">
            <w:pPr>
              <w:pStyle w:val="Compact"/>
            </w:pPr>
            <w:r>
              <w:t>+229</w:t>
            </w:r>
          </w:p>
        </w:tc>
        <w:tc>
          <w:tcPr>
            <w:tcW w:w="0" w:type="auto"/>
          </w:tcPr>
          <w:p w14:paraId="0E20AD6E" w14:textId="77777777" w:rsidR="00F9465F" w:rsidRDefault="00F9465F">
            <w:pPr>
              <w:pStyle w:val="Compact"/>
            </w:pPr>
          </w:p>
        </w:tc>
      </w:tr>
      <w:tr w:rsidR="00F9465F" w14:paraId="5DCBF0E0" w14:textId="77777777">
        <w:tc>
          <w:tcPr>
            <w:tcW w:w="0" w:type="auto"/>
          </w:tcPr>
          <w:p w14:paraId="1418421B" w14:textId="77777777" w:rsidR="00F9465F" w:rsidRDefault="00000000">
            <w:pPr>
              <w:pStyle w:val="Compact"/>
            </w:pPr>
            <w:r>
              <w:t>2012</w:t>
            </w:r>
          </w:p>
        </w:tc>
        <w:tc>
          <w:tcPr>
            <w:tcW w:w="0" w:type="auto"/>
          </w:tcPr>
          <w:p w14:paraId="01ACB099" w14:textId="77777777" w:rsidR="00F9465F" w:rsidRDefault="00000000">
            <w:pPr>
              <w:pStyle w:val="Compact"/>
            </w:pPr>
            <w:r>
              <w:t>+481</w:t>
            </w:r>
          </w:p>
        </w:tc>
        <w:tc>
          <w:tcPr>
            <w:tcW w:w="0" w:type="auto"/>
          </w:tcPr>
          <w:p w14:paraId="58FF8631" w14:textId="77777777" w:rsidR="00F9465F" w:rsidRDefault="00F9465F">
            <w:pPr>
              <w:pStyle w:val="Compact"/>
            </w:pPr>
          </w:p>
        </w:tc>
      </w:tr>
      <w:tr w:rsidR="00F9465F" w14:paraId="4A468CB5" w14:textId="77777777">
        <w:tc>
          <w:tcPr>
            <w:tcW w:w="0" w:type="auto"/>
          </w:tcPr>
          <w:p w14:paraId="73E4A181" w14:textId="77777777" w:rsidR="00F9465F" w:rsidRDefault="00000000">
            <w:pPr>
              <w:pStyle w:val="Compact"/>
            </w:pPr>
            <w:r>
              <w:t>2013</w:t>
            </w:r>
          </w:p>
        </w:tc>
        <w:tc>
          <w:tcPr>
            <w:tcW w:w="0" w:type="auto"/>
          </w:tcPr>
          <w:p w14:paraId="2514D3CA" w14:textId="77777777" w:rsidR="00F9465F" w:rsidRDefault="00000000">
            <w:pPr>
              <w:pStyle w:val="Compact"/>
            </w:pPr>
            <w:r>
              <w:t>+340</w:t>
            </w:r>
          </w:p>
        </w:tc>
        <w:tc>
          <w:tcPr>
            <w:tcW w:w="0" w:type="auto"/>
          </w:tcPr>
          <w:p w14:paraId="2B0DC4E0" w14:textId="77777777" w:rsidR="00F9465F" w:rsidRDefault="00F9465F">
            <w:pPr>
              <w:pStyle w:val="Compact"/>
            </w:pPr>
          </w:p>
        </w:tc>
      </w:tr>
      <w:tr w:rsidR="00F9465F" w14:paraId="733B9F75" w14:textId="77777777">
        <w:tc>
          <w:tcPr>
            <w:tcW w:w="0" w:type="auto"/>
          </w:tcPr>
          <w:p w14:paraId="0F90D299" w14:textId="77777777" w:rsidR="00F9465F" w:rsidRDefault="00000000">
            <w:pPr>
              <w:pStyle w:val="Compact"/>
            </w:pPr>
            <w:r>
              <w:t>2014</w:t>
            </w:r>
          </w:p>
        </w:tc>
        <w:tc>
          <w:tcPr>
            <w:tcW w:w="0" w:type="auto"/>
          </w:tcPr>
          <w:p w14:paraId="41EBFF10" w14:textId="77777777" w:rsidR="00F9465F" w:rsidRDefault="00000000">
            <w:pPr>
              <w:pStyle w:val="Compact"/>
            </w:pPr>
            <w:r>
              <w:t>+105</w:t>
            </w:r>
          </w:p>
        </w:tc>
        <w:tc>
          <w:tcPr>
            <w:tcW w:w="0" w:type="auto"/>
          </w:tcPr>
          <w:p w14:paraId="15A4ED98" w14:textId="77777777" w:rsidR="00F9465F" w:rsidRDefault="00F9465F">
            <w:pPr>
              <w:pStyle w:val="Compact"/>
            </w:pPr>
          </w:p>
        </w:tc>
      </w:tr>
      <w:tr w:rsidR="00F9465F" w14:paraId="2A8EFFD8" w14:textId="77777777">
        <w:tc>
          <w:tcPr>
            <w:tcW w:w="0" w:type="auto"/>
          </w:tcPr>
          <w:p w14:paraId="51613108" w14:textId="77777777" w:rsidR="00F9465F" w:rsidRDefault="00000000">
            <w:pPr>
              <w:pStyle w:val="Compact"/>
            </w:pPr>
            <w:r>
              <w:t>2015</w:t>
            </w:r>
          </w:p>
        </w:tc>
        <w:tc>
          <w:tcPr>
            <w:tcW w:w="0" w:type="auto"/>
          </w:tcPr>
          <w:p w14:paraId="18A2DE8B" w14:textId="77777777" w:rsidR="00F9465F" w:rsidRDefault="00000000">
            <w:pPr>
              <w:pStyle w:val="Compact"/>
            </w:pPr>
            <w:r>
              <w:t>−259</w:t>
            </w:r>
          </w:p>
        </w:tc>
        <w:tc>
          <w:tcPr>
            <w:tcW w:w="0" w:type="auto"/>
          </w:tcPr>
          <w:p w14:paraId="3B403DC8" w14:textId="77777777" w:rsidR="00F9465F" w:rsidRDefault="00F9465F">
            <w:pPr>
              <w:pStyle w:val="Compact"/>
            </w:pPr>
          </w:p>
        </w:tc>
      </w:tr>
      <w:tr w:rsidR="00F9465F" w14:paraId="7E1085C8" w14:textId="77777777">
        <w:tc>
          <w:tcPr>
            <w:tcW w:w="0" w:type="auto"/>
          </w:tcPr>
          <w:p w14:paraId="4AF9C14F" w14:textId="77777777" w:rsidR="00F9465F" w:rsidRDefault="00000000">
            <w:pPr>
              <w:pStyle w:val="Compact"/>
            </w:pPr>
            <w:r>
              <w:lastRenderedPageBreak/>
              <w:t>2016</w:t>
            </w:r>
          </w:p>
        </w:tc>
        <w:tc>
          <w:tcPr>
            <w:tcW w:w="0" w:type="auto"/>
          </w:tcPr>
          <w:p w14:paraId="6A79C43F" w14:textId="77777777" w:rsidR="00F9465F" w:rsidRDefault="00000000">
            <w:pPr>
              <w:pStyle w:val="Compact"/>
            </w:pPr>
            <w:r>
              <w:t>−151</w:t>
            </w:r>
          </w:p>
        </w:tc>
        <w:tc>
          <w:tcPr>
            <w:tcW w:w="0" w:type="auto"/>
          </w:tcPr>
          <w:p w14:paraId="5C6A88D7" w14:textId="77777777" w:rsidR="00F9465F" w:rsidRDefault="00F9465F">
            <w:pPr>
              <w:pStyle w:val="Compact"/>
            </w:pPr>
          </w:p>
        </w:tc>
      </w:tr>
      <w:tr w:rsidR="00F9465F" w14:paraId="2B5D2792" w14:textId="77777777">
        <w:tc>
          <w:tcPr>
            <w:tcW w:w="0" w:type="auto"/>
          </w:tcPr>
          <w:p w14:paraId="5AE93627" w14:textId="77777777" w:rsidR="00F9465F" w:rsidRDefault="00000000">
            <w:pPr>
              <w:pStyle w:val="Compact"/>
            </w:pPr>
            <w:r>
              <w:t>2017</w:t>
            </w:r>
          </w:p>
        </w:tc>
        <w:tc>
          <w:tcPr>
            <w:tcW w:w="0" w:type="auto"/>
          </w:tcPr>
          <w:p w14:paraId="3FCF509B" w14:textId="77777777" w:rsidR="00F9465F" w:rsidRDefault="00000000">
            <w:pPr>
              <w:pStyle w:val="Compact"/>
            </w:pPr>
            <w:r>
              <w:t>+136</w:t>
            </w:r>
          </w:p>
        </w:tc>
        <w:tc>
          <w:tcPr>
            <w:tcW w:w="0" w:type="auto"/>
          </w:tcPr>
          <w:p w14:paraId="0F542D5E" w14:textId="77777777" w:rsidR="00F9465F" w:rsidRDefault="00F9465F">
            <w:pPr>
              <w:pStyle w:val="Compact"/>
            </w:pPr>
          </w:p>
        </w:tc>
      </w:tr>
      <w:tr w:rsidR="00F9465F" w14:paraId="59C379AD" w14:textId="77777777">
        <w:tc>
          <w:tcPr>
            <w:tcW w:w="0" w:type="auto"/>
          </w:tcPr>
          <w:p w14:paraId="2FC3DD43" w14:textId="77777777" w:rsidR="00F9465F" w:rsidRDefault="00000000">
            <w:pPr>
              <w:pStyle w:val="Compact"/>
            </w:pPr>
            <w:r>
              <w:t>2018</w:t>
            </w:r>
          </w:p>
        </w:tc>
        <w:tc>
          <w:tcPr>
            <w:tcW w:w="0" w:type="auto"/>
          </w:tcPr>
          <w:p w14:paraId="080C2949" w14:textId="77777777" w:rsidR="00F9465F" w:rsidRDefault="00000000">
            <w:pPr>
              <w:pStyle w:val="Compact"/>
            </w:pPr>
            <w:r>
              <w:t>−43</w:t>
            </w:r>
          </w:p>
        </w:tc>
        <w:tc>
          <w:tcPr>
            <w:tcW w:w="0" w:type="auto"/>
          </w:tcPr>
          <w:p w14:paraId="5598961B" w14:textId="77777777" w:rsidR="00F9465F" w:rsidRDefault="00F9465F">
            <w:pPr>
              <w:pStyle w:val="Compact"/>
            </w:pPr>
          </w:p>
        </w:tc>
      </w:tr>
      <w:tr w:rsidR="00F9465F" w14:paraId="7A67C9B4" w14:textId="77777777">
        <w:tc>
          <w:tcPr>
            <w:tcW w:w="0" w:type="auto"/>
          </w:tcPr>
          <w:p w14:paraId="3B1FC2F5" w14:textId="77777777" w:rsidR="00F9465F" w:rsidRDefault="00000000">
            <w:pPr>
              <w:pStyle w:val="Compact"/>
            </w:pPr>
            <w:r>
              <w:t>2019</w:t>
            </w:r>
          </w:p>
        </w:tc>
        <w:tc>
          <w:tcPr>
            <w:tcW w:w="0" w:type="auto"/>
          </w:tcPr>
          <w:p w14:paraId="4C86F410" w14:textId="77777777" w:rsidR="00F9465F" w:rsidRDefault="00000000">
            <w:pPr>
              <w:pStyle w:val="Compact"/>
            </w:pPr>
            <w:r>
              <w:t>−505</w:t>
            </w:r>
          </w:p>
        </w:tc>
        <w:tc>
          <w:tcPr>
            <w:tcW w:w="0" w:type="auto"/>
          </w:tcPr>
          <w:p w14:paraId="704DF974" w14:textId="77777777" w:rsidR="00F9465F" w:rsidRDefault="00F9465F">
            <w:pPr>
              <w:pStyle w:val="Compact"/>
            </w:pPr>
          </w:p>
        </w:tc>
      </w:tr>
      <w:tr w:rsidR="00F9465F" w14:paraId="68FC0259" w14:textId="77777777">
        <w:tc>
          <w:tcPr>
            <w:tcW w:w="0" w:type="auto"/>
          </w:tcPr>
          <w:p w14:paraId="7AB1F440" w14:textId="77777777" w:rsidR="00F9465F" w:rsidRDefault="00000000">
            <w:pPr>
              <w:pStyle w:val="Compact"/>
            </w:pPr>
            <w:r>
              <w:t>2020</w:t>
            </w:r>
          </w:p>
        </w:tc>
        <w:tc>
          <w:tcPr>
            <w:tcW w:w="0" w:type="auto"/>
          </w:tcPr>
          <w:p w14:paraId="17F430D1" w14:textId="77777777" w:rsidR="00F9465F" w:rsidRDefault="00000000">
            <w:pPr>
              <w:pStyle w:val="Compact"/>
            </w:pPr>
            <w:r>
              <w:t>—</w:t>
            </w:r>
          </w:p>
        </w:tc>
        <w:tc>
          <w:tcPr>
            <w:tcW w:w="0" w:type="auto"/>
          </w:tcPr>
          <w:p w14:paraId="0E017541" w14:textId="22DCFAD6" w:rsidR="00F9465F" w:rsidRDefault="00000000">
            <w:pPr>
              <w:pStyle w:val="Compact"/>
            </w:pPr>
            <w:r>
              <w:t>COVI</w:t>
            </w:r>
            <w:r w:rsidR="008C1D59">
              <w:t>D</w:t>
            </w:r>
          </w:p>
        </w:tc>
      </w:tr>
      <w:tr w:rsidR="00F9465F" w14:paraId="4922C38C" w14:textId="77777777">
        <w:tc>
          <w:tcPr>
            <w:tcW w:w="0" w:type="auto"/>
          </w:tcPr>
          <w:p w14:paraId="26F2F1F7" w14:textId="77777777" w:rsidR="00F9465F" w:rsidRDefault="00000000">
            <w:pPr>
              <w:pStyle w:val="Compact"/>
            </w:pPr>
            <w:r>
              <w:t>2021</w:t>
            </w:r>
          </w:p>
        </w:tc>
        <w:tc>
          <w:tcPr>
            <w:tcW w:w="0" w:type="auto"/>
          </w:tcPr>
          <w:p w14:paraId="51395E35" w14:textId="77777777" w:rsidR="00F9465F" w:rsidRDefault="00000000">
            <w:pPr>
              <w:pStyle w:val="Compact"/>
            </w:pPr>
            <w:r>
              <w:t>—</w:t>
            </w:r>
          </w:p>
        </w:tc>
        <w:tc>
          <w:tcPr>
            <w:tcW w:w="0" w:type="auto"/>
          </w:tcPr>
          <w:p w14:paraId="20DFEA0D" w14:textId="5E81D0C7" w:rsidR="00F9465F" w:rsidRDefault="00000000">
            <w:pPr>
              <w:pStyle w:val="Compact"/>
            </w:pPr>
            <w:r>
              <w:t>COVID</w:t>
            </w:r>
          </w:p>
        </w:tc>
      </w:tr>
      <w:tr w:rsidR="00F9465F" w14:paraId="227F3705" w14:textId="77777777">
        <w:tc>
          <w:tcPr>
            <w:tcW w:w="0" w:type="auto"/>
          </w:tcPr>
          <w:p w14:paraId="55B4AEFF" w14:textId="77777777" w:rsidR="00F9465F" w:rsidRDefault="00000000">
            <w:pPr>
              <w:pStyle w:val="Compact"/>
            </w:pPr>
            <w:r>
              <w:t>2022</w:t>
            </w:r>
          </w:p>
        </w:tc>
        <w:tc>
          <w:tcPr>
            <w:tcW w:w="0" w:type="auto"/>
          </w:tcPr>
          <w:p w14:paraId="0FAA3E03" w14:textId="77777777" w:rsidR="00F9465F" w:rsidRDefault="00000000">
            <w:pPr>
              <w:pStyle w:val="Compact"/>
            </w:pPr>
            <w:r>
              <w:t>+462</w:t>
            </w:r>
          </w:p>
        </w:tc>
        <w:tc>
          <w:tcPr>
            <w:tcW w:w="0" w:type="auto"/>
          </w:tcPr>
          <w:p w14:paraId="1119B69C" w14:textId="35333D08" w:rsidR="00F9465F" w:rsidRDefault="00F9465F">
            <w:pPr>
              <w:pStyle w:val="Compact"/>
            </w:pPr>
          </w:p>
        </w:tc>
      </w:tr>
      <w:tr w:rsidR="00F9465F" w14:paraId="0DF038C9" w14:textId="77777777">
        <w:tc>
          <w:tcPr>
            <w:tcW w:w="0" w:type="auto"/>
          </w:tcPr>
          <w:p w14:paraId="056E8513" w14:textId="77777777" w:rsidR="00F9465F" w:rsidRDefault="00000000">
            <w:pPr>
              <w:pStyle w:val="Compact"/>
            </w:pPr>
            <w:r>
              <w:t>2023</w:t>
            </w:r>
          </w:p>
        </w:tc>
        <w:tc>
          <w:tcPr>
            <w:tcW w:w="0" w:type="auto"/>
          </w:tcPr>
          <w:p w14:paraId="7BF3DD99" w14:textId="77777777" w:rsidR="00F9465F" w:rsidRDefault="00000000">
            <w:pPr>
              <w:pStyle w:val="Compact"/>
            </w:pPr>
            <w:r>
              <w:t>−105</w:t>
            </w:r>
          </w:p>
        </w:tc>
        <w:tc>
          <w:tcPr>
            <w:tcW w:w="0" w:type="auto"/>
          </w:tcPr>
          <w:p w14:paraId="55894385" w14:textId="77777777" w:rsidR="00F9465F" w:rsidRDefault="00F9465F">
            <w:pPr>
              <w:pStyle w:val="Compact"/>
            </w:pPr>
          </w:p>
        </w:tc>
      </w:tr>
      <w:tr w:rsidR="00F9465F" w14:paraId="31C68E8D" w14:textId="77777777">
        <w:tc>
          <w:tcPr>
            <w:tcW w:w="0" w:type="auto"/>
          </w:tcPr>
          <w:p w14:paraId="53BF26F9" w14:textId="77777777" w:rsidR="00F9465F" w:rsidRDefault="00000000">
            <w:pPr>
              <w:pStyle w:val="Compact"/>
            </w:pPr>
            <w:r>
              <w:t>2024</w:t>
            </w:r>
          </w:p>
        </w:tc>
        <w:tc>
          <w:tcPr>
            <w:tcW w:w="0" w:type="auto"/>
          </w:tcPr>
          <w:p w14:paraId="674701E3" w14:textId="77777777" w:rsidR="00F9465F" w:rsidRDefault="00000000">
            <w:pPr>
              <w:pStyle w:val="Compact"/>
            </w:pPr>
            <w:r>
              <w:t>−598</w:t>
            </w:r>
          </w:p>
        </w:tc>
        <w:tc>
          <w:tcPr>
            <w:tcW w:w="0" w:type="auto"/>
          </w:tcPr>
          <w:p w14:paraId="2A203CBB" w14:textId="77777777" w:rsidR="00F9465F" w:rsidRDefault="00F9465F">
            <w:pPr>
              <w:pStyle w:val="Compact"/>
            </w:pPr>
          </w:p>
        </w:tc>
      </w:tr>
      <w:tr w:rsidR="00F9465F" w14:paraId="055B1B71" w14:textId="77777777">
        <w:tc>
          <w:tcPr>
            <w:tcW w:w="0" w:type="auto"/>
          </w:tcPr>
          <w:p w14:paraId="29578F0A" w14:textId="77777777" w:rsidR="00F9465F" w:rsidRDefault="00000000">
            <w:pPr>
              <w:pStyle w:val="Compact"/>
            </w:pPr>
            <w:r>
              <w:t>2025</w:t>
            </w:r>
          </w:p>
        </w:tc>
        <w:tc>
          <w:tcPr>
            <w:tcW w:w="0" w:type="auto"/>
          </w:tcPr>
          <w:p w14:paraId="1F1747FA" w14:textId="77777777" w:rsidR="00F9465F" w:rsidRDefault="00000000">
            <w:pPr>
              <w:pStyle w:val="Compact"/>
            </w:pPr>
            <w:r>
              <w:t>−862</w:t>
            </w:r>
          </w:p>
        </w:tc>
        <w:tc>
          <w:tcPr>
            <w:tcW w:w="0" w:type="auto"/>
          </w:tcPr>
          <w:p w14:paraId="5B311763" w14:textId="77777777" w:rsidR="00F9465F" w:rsidRDefault="00F9465F">
            <w:pPr>
              <w:pStyle w:val="Compact"/>
            </w:pPr>
          </w:p>
        </w:tc>
      </w:tr>
    </w:tbl>
    <w:p w14:paraId="780BF257" w14:textId="7CB5AF32" w:rsidR="00F9465F" w:rsidRDefault="00CC12CD" w:rsidP="00CC12CD">
      <w:pPr>
        <w:pStyle w:val="Heading3"/>
        <w:spacing w:before="240"/>
      </w:pPr>
      <w:bookmarkStart w:id="20" w:name="evaluation-metrics"/>
      <w:bookmarkEnd w:id="19"/>
      <w:r>
        <w:t>4.6 Evaluation metrics</w:t>
      </w:r>
    </w:p>
    <w:p w14:paraId="7D5CEEA2" w14:textId="77777777" w:rsidR="00F9465F" w:rsidRDefault="00000000">
      <w:pPr>
        <w:pStyle w:val="FirstParagraph"/>
      </w:pPr>
      <w:r>
        <w:rPr>
          <w:b/>
          <w:bCs/>
        </w:rPr>
        <w:t>Primary:</w:t>
      </w:r>
      <w:r>
        <w:t xml:space="preserve"> mean error (bias), MAE, RMSE, 90% HDI coverage (should be ~0.9), and average interval width (should shrink from T−12 to T−1).</w:t>
      </w:r>
    </w:p>
    <w:p w14:paraId="713BC6CB" w14:textId="77777777" w:rsidR="00F9465F" w:rsidRDefault="00000000">
      <w:pPr>
        <w:pStyle w:val="BodyText"/>
      </w:pPr>
      <w:r>
        <w:rPr>
          <w:b/>
          <w:bCs/>
        </w:rPr>
        <w:t>Comparative benchmarks:</w:t>
      </w:r>
    </w:p>
    <w:tbl>
      <w:tblPr>
        <w:tblStyle w:val="Table"/>
        <w:tblW w:w="5000" w:type="pct"/>
        <w:tblLayout w:type="fixed"/>
        <w:tblLook w:val="0020" w:firstRow="1" w:lastRow="0" w:firstColumn="0" w:lastColumn="0" w:noHBand="0" w:noVBand="0"/>
      </w:tblPr>
      <w:tblGrid>
        <w:gridCol w:w="4290"/>
        <w:gridCol w:w="5070"/>
      </w:tblGrid>
      <w:tr w:rsidR="00F9465F" w14:paraId="4D9EE0FE" w14:textId="77777777" w:rsidTr="00F9465F">
        <w:trPr>
          <w:cnfStyle w:val="100000000000" w:firstRow="1" w:lastRow="0" w:firstColumn="0" w:lastColumn="0" w:oddVBand="0" w:evenVBand="0" w:oddHBand="0" w:evenHBand="0" w:firstRowFirstColumn="0" w:firstRowLastColumn="0" w:lastRowFirstColumn="0" w:lastRowLastColumn="0"/>
          <w:tblHeader/>
        </w:trPr>
        <w:tc>
          <w:tcPr>
            <w:tcW w:w="3630" w:type="dxa"/>
          </w:tcPr>
          <w:p w14:paraId="1D464306" w14:textId="77777777" w:rsidR="00F9465F" w:rsidRDefault="00000000">
            <w:pPr>
              <w:pStyle w:val="Compact"/>
            </w:pPr>
            <w:r>
              <w:t>Benchmark</w:t>
            </w:r>
          </w:p>
        </w:tc>
        <w:tc>
          <w:tcPr>
            <w:tcW w:w="4290" w:type="dxa"/>
          </w:tcPr>
          <w:p w14:paraId="2B85F899" w14:textId="77777777" w:rsidR="00F9465F" w:rsidRDefault="00000000">
            <w:pPr>
              <w:pStyle w:val="Compact"/>
            </w:pPr>
            <w:r>
              <w:t>Description</w:t>
            </w:r>
          </w:p>
        </w:tc>
      </w:tr>
      <w:tr w:rsidR="00F9465F" w14:paraId="741A8CF7" w14:textId="77777777">
        <w:tc>
          <w:tcPr>
            <w:tcW w:w="3630" w:type="dxa"/>
          </w:tcPr>
          <w:p w14:paraId="632A6130" w14:textId="77777777" w:rsidR="00F9465F" w:rsidRDefault="00000000">
            <w:pPr>
              <w:pStyle w:val="Compact"/>
            </w:pPr>
            <w:r>
              <w:t>Naive zero</w:t>
            </w:r>
          </w:p>
        </w:tc>
        <w:tc>
          <w:tcPr>
            <w:tcW w:w="4290" w:type="dxa"/>
          </w:tcPr>
          <w:p w14:paraId="6BDF645F" w14:textId="77777777" w:rsidR="00F9465F" w:rsidRDefault="00000000">
            <w:pPr>
              <w:pStyle w:val="Compact"/>
            </w:pPr>
            <w:r>
              <w:t>“No revision expected.” Market default.</w:t>
            </w:r>
          </w:p>
        </w:tc>
      </w:tr>
      <w:tr w:rsidR="00F9465F" w14:paraId="7FF7A6CB" w14:textId="77777777">
        <w:tc>
          <w:tcPr>
            <w:tcW w:w="3630" w:type="dxa"/>
          </w:tcPr>
          <w:p w14:paraId="399ED4B2" w14:textId="77777777" w:rsidR="00F9465F" w:rsidRDefault="00000000">
            <w:pPr>
              <w:pStyle w:val="Compact"/>
            </w:pPr>
            <w:r>
              <w:t>Prior-year revision</w:t>
            </w:r>
          </w:p>
        </w:tc>
        <w:tc>
          <w:tcPr>
            <w:tcW w:w="4290" w:type="dxa"/>
          </w:tcPr>
          <w:p w14:paraId="1D5278F9" w14:textId="77777777" w:rsidR="00F9465F" w:rsidRDefault="00000000">
            <w:pPr>
              <w:pStyle w:val="Compact"/>
            </w:pPr>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Y</m:t>
                  </m:r>
                  <m:r>
                    <m:rPr>
                      <m:sty m:val="p"/>
                    </m:rPr>
                    <w:rPr>
                      <w:rFonts w:ascii="Cambria Math" w:hAnsi="Cambria Math"/>
                    </w:rPr>
                    <m:t>-</m:t>
                  </m:r>
                  <m:r>
                    <w:rPr>
                      <w:rFonts w:ascii="Cambria Math" w:hAnsi="Cambria Math"/>
                    </w:rPr>
                    <m:t>1</m:t>
                  </m:r>
                </m:sub>
              </m:sSub>
            </m:oMath>
            <w:r>
              <w:t>. Simple persistence.</w:t>
            </w:r>
          </w:p>
        </w:tc>
      </w:tr>
      <w:tr w:rsidR="00F9465F" w14:paraId="600F4C8A" w14:textId="77777777">
        <w:tc>
          <w:tcPr>
            <w:tcW w:w="3630" w:type="dxa"/>
          </w:tcPr>
          <w:p w14:paraId="5AC6BEBE" w14:textId="77777777" w:rsidR="00F9465F" w:rsidRDefault="00000000">
            <w:pPr>
              <w:pStyle w:val="Compact"/>
            </w:pPr>
            <w:r>
              <w:t>Cumulative published B/D</w:t>
            </w:r>
          </w:p>
        </w:tc>
        <w:tc>
          <w:tcPr>
            <w:tcW w:w="4290" w:type="dxa"/>
          </w:tcPr>
          <w:p w14:paraId="159068C0" w14:textId="77777777" w:rsidR="00F9465F" w:rsidRDefault="00000000">
            <w:pPr>
              <w:pStyle w:val="Compact"/>
            </w:pPr>
            <w:r>
              <w:t>Predict revision as linear function of summed monthly B/D factors.</w:t>
            </w:r>
          </w:p>
        </w:tc>
      </w:tr>
      <w:tr w:rsidR="00F9465F" w14:paraId="0E40205B" w14:textId="77777777">
        <w:tc>
          <w:tcPr>
            <w:tcW w:w="3630" w:type="dxa"/>
          </w:tcPr>
          <w:p w14:paraId="45F82C37" w14:textId="77777777" w:rsidR="00F9465F" w:rsidRDefault="00000000">
            <w:pPr>
              <w:pStyle w:val="Compact"/>
            </w:pPr>
            <w:r>
              <w:t>CES-ex-BD regression</w:t>
            </w:r>
          </w:p>
        </w:tc>
        <w:tc>
          <w:tcPr>
            <w:tcW w:w="4290" w:type="dxa"/>
          </w:tcPr>
          <w:p w14:paraId="5CC50AE7" w14:textId="77777777" w:rsidR="00F9465F" w:rsidRDefault="00000000">
            <w:pPr>
              <w:pStyle w:val="Compact"/>
            </w:pPr>
            <w:r>
              <w:t>Per Cajner et al.: RMSE = 243K on 2008–2017.</w:t>
            </w:r>
          </w:p>
        </w:tc>
      </w:tr>
      <w:tr w:rsidR="00F9465F" w14:paraId="26AEDE3C" w14:textId="77777777">
        <w:tc>
          <w:tcPr>
            <w:tcW w:w="3630" w:type="dxa"/>
          </w:tcPr>
          <w:p w14:paraId="4D25EDC4" w14:textId="77777777" w:rsidR="00F9465F" w:rsidRDefault="00000000">
            <w:pPr>
              <w:pStyle w:val="Compact"/>
            </w:pPr>
            <w:r>
              <w:t>BED-based prediction</w:t>
            </w:r>
          </w:p>
        </w:tc>
        <w:tc>
          <w:tcPr>
            <w:tcW w:w="4290" w:type="dxa"/>
          </w:tcPr>
          <w:p w14:paraId="431F6693" w14:textId="77777777" w:rsidR="00F9465F" w:rsidRDefault="00000000">
            <w:pPr>
              <w:pStyle w:val="Compact"/>
            </w:pPr>
            <w:r>
              <w:t>Per Decker: adj. R² = 73%, RMSE = 229K in-sample.</w:t>
            </w:r>
          </w:p>
        </w:tc>
      </w:tr>
      <w:tr w:rsidR="00F9465F" w14:paraId="6DEF39C8" w14:textId="77777777">
        <w:tc>
          <w:tcPr>
            <w:tcW w:w="3630" w:type="dxa"/>
          </w:tcPr>
          <w:p w14:paraId="1D906C8E" w14:textId="77777777" w:rsidR="00F9465F" w:rsidRDefault="00000000">
            <w:pPr>
              <w:pStyle w:val="Compact"/>
            </w:pPr>
            <w:r>
              <w:t>Preliminary benchmark</w:t>
            </w:r>
          </w:p>
        </w:tc>
        <w:tc>
          <w:tcPr>
            <w:tcW w:w="4290" w:type="dxa"/>
          </w:tcPr>
          <w:p w14:paraId="48A1455F" w14:textId="77777777" w:rsidR="00F9465F" w:rsidRDefault="00000000">
            <w:pPr>
              <w:pStyle w:val="Compact"/>
            </w:pPr>
            <w:r>
              <w:t>BLS’s own Aug/Sep estimate. Only at T−5.</w:t>
            </w:r>
          </w:p>
        </w:tc>
      </w:tr>
    </w:tbl>
    <w:p w14:paraId="0D88998E" w14:textId="77777777" w:rsidR="00F9465F" w:rsidRDefault="00000000">
      <w:pPr>
        <w:pStyle w:val="BodyText"/>
      </w:pPr>
      <w:r>
        <w:t>Target: beat RMSE = 229K (Decker) at T−6 or earlier.</w:t>
      </w:r>
    </w:p>
    <w:p w14:paraId="4C77A5A4" w14:textId="187387D5" w:rsidR="00F9465F" w:rsidRDefault="00CC12CD" w:rsidP="00CC12CD">
      <w:pPr>
        <w:pStyle w:val="Heading3"/>
        <w:spacing w:before="240"/>
      </w:pPr>
      <w:bookmarkStart w:id="21" w:name="horizon-specific-evaluation"/>
      <w:bookmarkEnd w:id="20"/>
      <w:r>
        <w:t>4.7 Horizon-specific evaluation</w:t>
      </w:r>
    </w:p>
    <w:p w14:paraId="251A623E" w14:textId="77777777" w:rsidR="00F9465F" w:rsidRDefault="00000000">
      <w:pPr>
        <w:pStyle w:val="FirstParagraph"/>
      </w:pPr>
      <w:r>
        <w:t xml:space="preserve">The key output is the </w:t>
      </w:r>
      <w:r>
        <w:rPr>
          <w:b/>
          <w:bCs/>
        </w:rPr>
        <w:t>RMSE-by-horizon curve</w:t>
      </w:r>
      <w:r>
        <w:t>:</w:t>
      </w:r>
    </w:p>
    <w:tbl>
      <w:tblPr>
        <w:tblStyle w:val="Table"/>
        <w:tblW w:w="5000" w:type="pct"/>
        <w:tblLayout w:type="fixed"/>
        <w:tblLook w:val="0020" w:firstRow="1" w:lastRow="0" w:firstColumn="0" w:lastColumn="0" w:noHBand="0" w:noVBand="0"/>
      </w:tblPr>
      <w:tblGrid>
        <w:gridCol w:w="1221"/>
        <w:gridCol w:w="1763"/>
        <w:gridCol w:w="2713"/>
        <w:gridCol w:w="3663"/>
      </w:tblGrid>
      <w:tr w:rsidR="00F9465F" w14:paraId="5A5A4D97" w14:textId="77777777" w:rsidTr="00F9465F">
        <w:trPr>
          <w:cnfStyle w:val="100000000000" w:firstRow="1" w:lastRow="0" w:firstColumn="0" w:lastColumn="0" w:oddVBand="0" w:evenVBand="0" w:oddHBand="0" w:evenHBand="0" w:firstRowFirstColumn="0" w:firstRowLastColumn="0" w:lastRowFirstColumn="0" w:lastRowLastColumn="0"/>
          <w:tblHeader/>
        </w:trPr>
        <w:tc>
          <w:tcPr>
            <w:tcW w:w="1033" w:type="dxa"/>
          </w:tcPr>
          <w:p w14:paraId="003799F4" w14:textId="77777777" w:rsidR="00F9465F" w:rsidRDefault="00000000">
            <w:pPr>
              <w:pStyle w:val="Compact"/>
            </w:pPr>
            <w:r>
              <w:t>Horizon</w:t>
            </w:r>
          </w:p>
        </w:tc>
        <w:tc>
          <w:tcPr>
            <w:tcW w:w="1492" w:type="dxa"/>
          </w:tcPr>
          <w:p w14:paraId="7019C64F" w14:textId="77777777" w:rsidR="00F9465F" w:rsidRDefault="00000000">
            <w:pPr>
              <w:pStyle w:val="Compact"/>
            </w:pPr>
            <w:r>
              <w:t>RMSE (000s)</w:t>
            </w:r>
          </w:p>
        </w:tc>
        <w:tc>
          <w:tcPr>
            <w:tcW w:w="2295" w:type="dxa"/>
          </w:tcPr>
          <w:p w14:paraId="27D9A609" w14:textId="77777777" w:rsidR="00F9465F" w:rsidRDefault="00000000">
            <w:pPr>
              <w:pStyle w:val="Compact"/>
            </w:pPr>
            <w:r>
              <w:t>Coverage (90% HDI)</w:t>
            </w:r>
          </w:p>
        </w:tc>
        <w:tc>
          <w:tcPr>
            <w:tcW w:w="3099" w:type="dxa"/>
          </w:tcPr>
          <w:p w14:paraId="63C3672E" w14:textId="77777777" w:rsidR="00F9465F" w:rsidRDefault="00000000">
            <w:pPr>
              <w:pStyle w:val="Compact"/>
            </w:pPr>
            <w:r>
              <w:t>Avg interval width (000s)</w:t>
            </w:r>
          </w:p>
        </w:tc>
      </w:tr>
      <w:tr w:rsidR="00F9465F" w14:paraId="4C51AE8A" w14:textId="77777777">
        <w:tc>
          <w:tcPr>
            <w:tcW w:w="1033" w:type="dxa"/>
          </w:tcPr>
          <w:p w14:paraId="555F79B0" w14:textId="77777777" w:rsidR="00F9465F" w:rsidRDefault="00000000">
            <w:pPr>
              <w:pStyle w:val="Compact"/>
            </w:pPr>
            <w:r>
              <w:t>T−12</w:t>
            </w:r>
          </w:p>
        </w:tc>
        <w:tc>
          <w:tcPr>
            <w:tcW w:w="1492" w:type="dxa"/>
          </w:tcPr>
          <w:p w14:paraId="4ACC3AFD" w14:textId="77777777" w:rsidR="00F9465F" w:rsidRDefault="00000000">
            <w:pPr>
              <w:pStyle w:val="Compact"/>
            </w:pPr>
            <w:r>
              <w:t>—</w:t>
            </w:r>
          </w:p>
        </w:tc>
        <w:tc>
          <w:tcPr>
            <w:tcW w:w="2295" w:type="dxa"/>
          </w:tcPr>
          <w:p w14:paraId="17FFE4E3" w14:textId="77777777" w:rsidR="00F9465F" w:rsidRDefault="00000000">
            <w:pPr>
              <w:pStyle w:val="Compact"/>
            </w:pPr>
            <w:r>
              <w:t>—</w:t>
            </w:r>
          </w:p>
        </w:tc>
        <w:tc>
          <w:tcPr>
            <w:tcW w:w="3099" w:type="dxa"/>
          </w:tcPr>
          <w:p w14:paraId="4EFC9E4C" w14:textId="77777777" w:rsidR="00F9465F" w:rsidRDefault="00000000">
            <w:pPr>
              <w:pStyle w:val="Compact"/>
            </w:pPr>
            <w:r>
              <w:t>—</w:t>
            </w:r>
          </w:p>
        </w:tc>
      </w:tr>
      <w:tr w:rsidR="00F9465F" w14:paraId="0D8AB263" w14:textId="77777777">
        <w:tc>
          <w:tcPr>
            <w:tcW w:w="1033" w:type="dxa"/>
          </w:tcPr>
          <w:p w14:paraId="74A1B14E" w14:textId="77777777" w:rsidR="00F9465F" w:rsidRDefault="00000000">
            <w:pPr>
              <w:pStyle w:val="Compact"/>
            </w:pPr>
            <w:r>
              <w:t>T−9</w:t>
            </w:r>
          </w:p>
        </w:tc>
        <w:tc>
          <w:tcPr>
            <w:tcW w:w="1492" w:type="dxa"/>
          </w:tcPr>
          <w:p w14:paraId="7A1C00FB" w14:textId="77777777" w:rsidR="00F9465F" w:rsidRDefault="00000000">
            <w:pPr>
              <w:pStyle w:val="Compact"/>
            </w:pPr>
            <w:r>
              <w:t>—</w:t>
            </w:r>
          </w:p>
        </w:tc>
        <w:tc>
          <w:tcPr>
            <w:tcW w:w="2295" w:type="dxa"/>
          </w:tcPr>
          <w:p w14:paraId="1F5EA2EF" w14:textId="77777777" w:rsidR="00F9465F" w:rsidRDefault="00000000">
            <w:pPr>
              <w:pStyle w:val="Compact"/>
            </w:pPr>
            <w:r>
              <w:t>—</w:t>
            </w:r>
          </w:p>
        </w:tc>
        <w:tc>
          <w:tcPr>
            <w:tcW w:w="3099" w:type="dxa"/>
          </w:tcPr>
          <w:p w14:paraId="0C9D6725" w14:textId="77777777" w:rsidR="00F9465F" w:rsidRDefault="00000000">
            <w:pPr>
              <w:pStyle w:val="Compact"/>
            </w:pPr>
            <w:r>
              <w:t>—</w:t>
            </w:r>
          </w:p>
        </w:tc>
      </w:tr>
      <w:tr w:rsidR="00F9465F" w14:paraId="59615FFD" w14:textId="77777777">
        <w:tc>
          <w:tcPr>
            <w:tcW w:w="1033" w:type="dxa"/>
          </w:tcPr>
          <w:p w14:paraId="1CEA3F6E" w14:textId="77777777" w:rsidR="00F9465F" w:rsidRDefault="00000000">
            <w:pPr>
              <w:pStyle w:val="Compact"/>
            </w:pPr>
            <w:r>
              <w:t>T−6</w:t>
            </w:r>
          </w:p>
        </w:tc>
        <w:tc>
          <w:tcPr>
            <w:tcW w:w="1492" w:type="dxa"/>
          </w:tcPr>
          <w:p w14:paraId="61903307" w14:textId="77777777" w:rsidR="00F9465F" w:rsidRDefault="00000000">
            <w:pPr>
              <w:pStyle w:val="Compact"/>
            </w:pPr>
            <w:r>
              <w:t>—</w:t>
            </w:r>
          </w:p>
        </w:tc>
        <w:tc>
          <w:tcPr>
            <w:tcW w:w="2295" w:type="dxa"/>
          </w:tcPr>
          <w:p w14:paraId="74028C1A" w14:textId="77777777" w:rsidR="00F9465F" w:rsidRDefault="00000000">
            <w:pPr>
              <w:pStyle w:val="Compact"/>
            </w:pPr>
            <w:r>
              <w:t>—</w:t>
            </w:r>
          </w:p>
        </w:tc>
        <w:tc>
          <w:tcPr>
            <w:tcW w:w="3099" w:type="dxa"/>
          </w:tcPr>
          <w:p w14:paraId="20C5A541" w14:textId="77777777" w:rsidR="00F9465F" w:rsidRDefault="00000000">
            <w:pPr>
              <w:pStyle w:val="Compact"/>
            </w:pPr>
            <w:r>
              <w:t>—</w:t>
            </w:r>
          </w:p>
        </w:tc>
      </w:tr>
      <w:tr w:rsidR="00F9465F" w14:paraId="37FF56EB" w14:textId="77777777">
        <w:tc>
          <w:tcPr>
            <w:tcW w:w="1033" w:type="dxa"/>
          </w:tcPr>
          <w:p w14:paraId="07AC61A7" w14:textId="77777777" w:rsidR="00F9465F" w:rsidRDefault="00000000">
            <w:pPr>
              <w:pStyle w:val="Compact"/>
            </w:pPr>
            <w:r>
              <w:t>T−3</w:t>
            </w:r>
          </w:p>
        </w:tc>
        <w:tc>
          <w:tcPr>
            <w:tcW w:w="1492" w:type="dxa"/>
          </w:tcPr>
          <w:p w14:paraId="7B2AF6FE" w14:textId="77777777" w:rsidR="00F9465F" w:rsidRDefault="00000000">
            <w:pPr>
              <w:pStyle w:val="Compact"/>
            </w:pPr>
            <w:r>
              <w:t>—</w:t>
            </w:r>
          </w:p>
        </w:tc>
        <w:tc>
          <w:tcPr>
            <w:tcW w:w="2295" w:type="dxa"/>
          </w:tcPr>
          <w:p w14:paraId="3A52585F" w14:textId="77777777" w:rsidR="00F9465F" w:rsidRDefault="00000000">
            <w:pPr>
              <w:pStyle w:val="Compact"/>
            </w:pPr>
            <w:r>
              <w:t>—</w:t>
            </w:r>
          </w:p>
        </w:tc>
        <w:tc>
          <w:tcPr>
            <w:tcW w:w="3099" w:type="dxa"/>
          </w:tcPr>
          <w:p w14:paraId="04151626" w14:textId="77777777" w:rsidR="00F9465F" w:rsidRDefault="00000000">
            <w:pPr>
              <w:pStyle w:val="Compact"/>
            </w:pPr>
            <w:r>
              <w:t>—</w:t>
            </w:r>
          </w:p>
        </w:tc>
      </w:tr>
      <w:tr w:rsidR="00F9465F" w14:paraId="5ABA9F19" w14:textId="77777777">
        <w:tc>
          <w:tcPr>
            <w:tcW w:w="1033" w:type="dxa"/>
          </w:tcPr>
          <w:p w14:paraId="59B6482A" w14:textId="77777777" w:rsidR="00F9465F" w:rsidRDefault="00000000">
            <w:pPr>
              <w:pStyle w:val="Compact"/>
            </w:pPr>
            <w:r>
              <w:lastRenderedPageBreak/>
              <w:t>T−1</w:t>
            </w:r>
          </w:p>
        </w:tc>
        <w:tc>
          <w:tcPr>
            <w:tcW w:w="1492" w:type="dxa"/>
          </w:tcPr>
          <w:p w14:paraId="40FB6872" w14:textId="77777777" w:rsidR="00F9465F" w:rsidRDefault="00000000">
            <w:pPr>
              <w:pStyle w:val="Compact"/>
            </w:pPr>
            <w:r>
              <w:t>—</w:t>
            </w:r>
          </w:p>
        </w:tc>
        <w:tc>
          <w:tcPr>
            <w:tcW w:w="2295" w:type="dxa"/>
          </w:tcPr>
          <w:p w14:paraId="07E2BA8E" w14:textId="77777777" w:rsidR="00F9465F" w:rsidRDefault="00000000">
            <w:pPr>
              <w:pStyle w:val="Compact"/>
            </w:pPr>
            <w:r>
              <w:t>—</w:t>
            </w:r>
          </w:p>
        </w:tc>
        <w:tc>
          <w:tcPr>
            <w:tcW w:w="3099" w:type="dxa"/>
          </w:tcPr>
          <w:p w14:paraId="201B8499" w14:textId="77777777" w:rsidR="00F9465F" w:rsidRDefault="00000000">
            <w:pPr>
              <w:pStyle w:val="Compact"/>
            </w:pPr>
            <w:r>
              <w:t>—</w:t>
            </w:r>
          </w:p>
        </w:tc>
      </w:tr>
    </w:tbl>
    <w:p w14:paraId="447660CB" w14:textId="77777777" w:rsidR="00F9465F" w:rsidRDefault="00000000">
      <w:pPr>
        <w:pStyle w:val="BodyText"/>
      </w:pPr>
      <w:r>
        <w:t>The headline finding would be T−12 RMSE meaningfully beating naive zero — demonstrating that providers detect B/D drift before any official data confirms it. At T−6 (post-QCEW Q1), RMSE should drop sharply. At T−1, it should be very small.</w:t>
      </w:r>
    </w:p>
    <w:p w14:paraId="54B1F4A1" w14:textId="77777777" w:rsidR="00CC12CD" w:rsidRDefault="00CC12CD">
      <w:pPr>
        <w:pStyle w:val="Heading2"/>
      </w:pPr>
      <w:bookmarkStart w:id="22" w:name="potential-model-enhancements"/>
      <w:bookmarkEnd w:id="14"/>
      <w:bookmarkEnd w:id="21"/>
    </w:p>
    <w:p w14:paraId="0C6C1601" w14:textId="623BA5C8" w:rsidR="00F9465F" w:rsidRDefault="00CC12CD">
      <w:pPr>
        <w:pStyle w:val="Heading2"/>
      </w:pPr>
      <w:r>
        <w:t>5. Potential model enhancements</w:t>
      </w:r>
    </w:p>
    <w:p w14:paraId="2994D811" w14:textId="77777777" w:rsidR="00F9465F" w:rsidRDefault="00000000">
      <w:pPr>
        <w:pStyle w:val="FirstParagraph"/>
      </w:pPr>
      <w:r>
        <w:t>No model changes are needed for the baseline methodology above. Three targeted enhancements could improve predictions:</w:t>
      </w:r>
    </w:p>
    <w:p w14:paraId="4E31C464" w14:textId="1988506C" w:rsidR="00F9465F" w:rsidRDefault="00CC12CD" w:rsidP="00CC12CD">
      <w:pPr>
        <w:pStyle w:val="Heading3"/>
        <w:spacing w:before="240"/>
      </w:pPr>
      <w:bookmarkStart w:id="23" w:name="benchmark-error-correction-term"/>
      <w:r>
        <w:t>5.1 Benchmark error-correction term</w:t>
      </w:r>
    </w:p>
    <w:p w14:paraId="6647FD5A" w14:textId="77777777" w:rsidR="00F9465F" w:rsidRDefault="00000000">
      <w:pPr>
        <w:pStyle w:val="FirstParagraph"/>
      </w:pPr>
      <w:r>
        <w:t>Benchmark errors appear autocorrelated (−105K → −598K → −862K). Add a term conditioning on the prior year’s surprise:</w:t>
      </w:r>
    </w:p>
    <w:p w14:paraId="72CF5B68" w14:textId="77777777" w:rsidR="00F9465F" w:rsidRDefault="00000000">
      <w:pPr>
        <w:pStyle w:val="BodyText"/>
      </w:pPr>
      <m:oMathPara>
        <m:oMathParaPr>
          <m:jc m:val="center"/>
        </m:oMathParaPr>
        <m:oMath>
          <m:r>
            <w:rPr>
              <w:rFonts w:ascii="Cambria Math" w:hAnsi="Cambria Math"/>
            </w:rPr>
            <m:t>B</m:t>
          </m:r>
          <m:sSubSup>
            <m:sSubSupPr>
              <m:ctrlPr>
                <w:rPr>
                  <w:rFonts w:ascii="Cambria Math" w:hAnsi="Cambria Math"/>
                </w:rPr>
              </m:ctrlPr>
            </m:sSubSupPr>
            <m:e>
              <m:r>
                <w:rPr>
                  <w:rFonts w:ascii="Cambria Math" w:hAnsi="Cambria Math"/>
                </w:rPr>
                <m:t>D</m:t>
              </m:r>
            </m:e>
            <m:sub>
              <m:r>
                <w:rPr>
                  <w:rFonts w:ascii="Cambria Math" w:hAnsi="Cambria Math"/>
                </w:rPr>
                <m:t>t</m:t>
              </m:r>
            </m:sub>
            <m:sup>
              <m:r>
                <w:rPr>
                  <w:rFonts w:ascii="Cambria Math" w:hAnsi="Cambria Math"/>
                </w:rPr>
                <m:t>adj</m:t>
              </m:r>
            </m:sup>
          </m:sSubSup>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BM</m:t>
              </m:r>
            </m:sub>
          </m:sSub>
          <m:r>
            <m:rPr>
              <m:sty m:val="p"/>
            </m:rP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Y</m:t>
                      </m:r>
                      <m:r>
                        <m:rPr>
                          <m:sty m:val="p"/>
                        </m:rPr>
                        <w:rPr>
                          <w:rFonts w:ascii="Cambria Math" w:hAnsi="Cambria Math"/>
                        </w:rPr>
                        <m:t>-</m:t>
                      </m:r>
                      <m:r>
                        <w:rPr>
                          <w:rFonts w:ascii="Cambria Math" w:hAnsi="Cambria Math"/>
                        </w:rPr>
                        <m:t>1</m:t>
                      </m:r>
                    </m:sub>
                  </m:sSub>
                </m:num>
                <m:den>
                  <m:r>
                    <w:rPr>
                      <w:rFonts w:ascii="Cambria Math" w:hAnsi="Cambria Math"/>
                    </w:rPr>
                    <m:t>12</m:t>
                  </m:r>
                  <m:r>
                    <m:rPr>
                      <m:sty m:val="p"/>
                    </m:rPr>
                    <w:rPr>
                      <w:rFonts w:ascii="Cambria Math" w:hAnsi="Cambria Math"/>
                    </w:rPr>
                    <m:t>⋅</m:t>
                  </m:r>
                  <m:r>
                    <w:rPr>
                      <w:rFonts w:ascii="Cambria Math" w:hAnsi="Cambria Math"/>
                    </w:rPr>
                    <m:t>L</m:t>
                  </m:r>
                </m:den>
              </m:f>
              <m:r>
                <m:rPr>
                  <m:sty m:val="p"/>
                </m:rPr>
                <w:rPr>
                  <w:rFonts w:ascii="Cambria Math" w:hAnsi="Cambria Math"/>
                </w:rPr>
                <m:t>-</m:t>
              </m:r>
              <m:sSubSup>
                <m:sSubSupPr>
                  <m:ctrlPr>
                    <w:rPr>
                      <w:rFonts w:ascii="Cambria Math" w:hAnsi="Cambria Math"/>
                    </w:rPr>
                  </m:ctrlPr>
                </m:sSubSupPr>
                <m:e>
                  <m:bar>
                    <m:barPr>
                      <m:pos m:val="top"/>
                      <m:ctrlPr>
                        <w:rPr>
                          <w:rFonts w:ascii="Cambria Math" w:hAnsi="Cambria Math"/>
                        </w:rPr>
                      </m:ctrlPr>
                    </m:barPr>
                    <m:e>
                      <m:r>
                        <w:rPr>
                          <w:rFonts w:ascii="Cambria Math" w:hAnsi="Cambria Math"/>
                        </w:rPr>
                        <m:t>BD</m:t>
                      </m:r>
                    </m:e>
                  </m:bar>
                </m:e>
                <m:sub>
                  <m:r>
                    <w:rPr>
                      <w:rFonts w:ascii="Cambria Math" w:hAnsi="Cambria Math"/>
                    </w:rPr>
                    <m:t>Y</m:t>
                  </m:r>
                  <m:r>
                    <m:rPr>
                      <m:sty m:val="p"/>
                    </m:rPr>
                    <w:rPr>
                      <w:rFonts w:ascii="Cambria Math" w:hAnsi="Cambria Math"/>
                    </w:rPr>
                    <m:t>-</m:t>
                  </m:r>
                  <m:r>
                    <w:rPr>
                      <w:rFonts w:ascii="Cambria Math" w:hAnsi="Cambria Math"/>
                    </w:rPr>
                    <m:t>1</m:t>
                  </m:r>
                </m:sub>
                <m:sup>
                  <m:r>
                    <w:rPr>
                      <w:rFonts w:ascii="Cambria Math" w:hAnsi="Cambria Math"/>
                    </w:rPr>
                    <m:t>model</m:t>
                  </m:r>
                </m:sup>
              </m:sSubSup>
            </m:e>
          </m:d>
        </m:oMath>
      </m:oMathPara>
    </w:p>
    <w:p w14:paraId="17F28C56" w14:textId="77777777" w:rsidR="00F9465F" w:rsidRDefault="00000000">
      <w:pPr>
        <w:pStyle w:val="FirstParagraph"/>
      </w:pPr>
      <w:r>
        <w:t xml:space="preserve">where </w:t>
      </w:r>
      <m:oMath>
        <m:sSub>
          <m:sSubPr>
            <m:ctrlPr>
              <w:rPr>
                <w:rFonts w:ascii="Cambria Math" w:hAnsi="Cambria Math"/>
              </w:rPr>
            </m:ctrlPr>
          </m:sSubPr>
          <m:e>
            <m:r>
              <w:rPr>
                <w:rFonts w:ascii="Cambria Math" w:hAnsi="Cambria Math"/>
              </w:rPr>
              <m:t>R</m:t>
            </m:r>
          </m:e>
          <m:sub>
            <m:r>
              <w:rPr>
                <w:rFonts w:ascii="Cambria Math" w:hAnsi="Cambria Math"/>
              </w:rPr>
              <m:t>Y</m:t>
            </m:r>
            <m:r>
              <m:rPr>
                <m:sty m:val="p"/>
              </m:rPr>
              <w:rPr>
                <w:rFonts w:ascii="Cambria Math" w:hAnsi="Cambria Math"/>
              </w:rPr>
              <m:t>-</m:t>
            </m:r>
            <m:r>
              <w:rPr>
                <w:rFonts w:ascii="Cambria Math" w:hAnsi="Cambria Math"/>
              </w:rPr>
              <m:t>1</m:t>
            </m:r>
          </m:sub>
        </m:sSub>
      </m:oMath>
      <w:r>
        <w:t xml:space="preserve"> is the known prior-year revision, </w:t>
      </w:r>
      <m:oMath>
        <m:r>
          <w:rPr>
            <w:rFonts w:ascii="Cambria Math" w:hAnsi="Cambria Math"/>
          </w:rPr>
          <m:t>L</m:t>
        </m:r>
      </m:oMath>
      <w:r>
        <w:t xml:space="preserve"> is employment level, and </w:t>
      </w:r>
      <m:oMath>
        <m:sSubSup>
          <m:sSubSupPr>
            <m:ctrlPr>
              <w:rPr>
                <w:rFonts w:ascii="Cambria Math" w:hAnsi="Cambria Math"/>
              </w:rPr>
            </m:ctrlPr>
          </m:sSubSupPr>
          <m:e>
            <m:bar>
              <m:barPr>
                <m:pos m:val="top"/>
                <m:ctrlPr>
                  <w:rPr>
                    <w:rFonts w:ascii="Cambria Math" w:hAnsi="Cambria Math"/>
                  </w:rPr>
                </m:ctrlPr>
              </m:barPr>
              <m:e>
                <m:r>
                  <w:rPr>
                    <w:rFonts w:ascii="Cambria Math" w:hAnsi="Cambria Math"/>
                  </w:rPr>
                  <m:t>BD</m:t>
                </m:r>
              </m:e>
            </m:bar>
          </m:e>
          <m:sub>
            <m:r>
              <w:rPr>
                <w:rFonts w:ascii="Cambria Math" w:hAnsi="Cambria Math"/>
              </w:rPr>
              <m:t>Y</m:t>
            </m:r>
            <m:r>
              <m:rPr>
                <m:sty m:val="p"/>
              </m:rPr>
              <w:rPr>
                <w:rFonts w:ascii="Cambria Math" w:hAnsi="Cambria Math"/>
              </w:rPr>
              <m:t>-</m:t>
            </m:r>
            <m:r>
              <w:rPr>
                <w:rFonts w:ascii="Cambria Math" w:hAnsi="Cambria Math"/>
              </w:rPr>
              <m:t>1</m:t>
            </m:r>
          </m:sub>
          <m:sup>
            <m:r>
              <w:rPr>
                <w:rFonts w:ascii="Cambria Math" w:hAnsi="Cambria Math"/>
              </w:rPr>
              <m:t>model</m:t>
            </m:r>
          </m:sup>
        </m:sSubSup>
      </m:oMath>
      <w:r>
        <w:t xml:space="preserve"> is the model’s average BD over the prior benchmark window. Requires only prior-year revision as additional input.</w:t>
      </w:r>
    </w:p>
    <w:p w14:paraId="4EFE73C4" w14:textId="211D35B1" w:rsidR="00F9465F" w:rsidRDefault="00CC12CD" w:rsidP="00CC12CD">
      <w:pPr>
        <w:pStyle w:val="Heading3"/>
        <w:spacing w:before="240"/>
      </w:pPr>
      <w:bookmarkStart w:id="24" w:name="preliminary-benchmark-as-observation"/>
      <w:bookmarkEnd w:id="23"/>
      <w:r>
        <w:t>5.2 Preliminary benchmark as observation</w:t>
      </w:r>
    </w:p>
    <w:p w14:paraId="12AC0CB5" w14:textId="77777777" w:rsidR="00F9465F" w:rsidRDefault="00000000">
      <w:pPr>
        <w:pStyle w:val="FirstParagraph"/>
      </w:pPr>
      <w:r>
        <w:t>At T−5, model the preliminary as a noisy observation of the final revision:</w:t>
      </w:r>
    </w:p>
    <w:p w14:paraId="6D7041CF" w14:textId="77777777" w:rsidR="00F9465F" w:rsidRDefault="00000000">
      <w:pPr>
        <w:pStyle w:val="BodyText"/>
      </w:pPr>
      <m:oMathPara>
        <m:oMathParaPr>
          <m:jc m:val="center"/>
        </m:oMathParaPr>
        <m:oMath>
          <m:sSup>
            <m:sSupPr>
              <m:ctrlPr>
                <w:rPr>
                  <w:rFonts w:ascii="Cambria Math" w:hAnsi="Cambria Math"/>
                </w:rPr>
              </m:ctrlPr>
            </m:sSupPr>
            <m:e>
              <m:r>
                <w:rPr>
                  <w:rFonts w:ascii="Cambria Math" w:hAnsi="Cambria Math"/>
                </w:rPr>
                <m:t>y</m:t>
              </m:r>
            </m:e>
            <m:sup>
              <m:r>
                <w:rPr>
                  <w:rFonts w:ascii="Cambria Math" w:hAnsi="Cambria Math"/>
                </w:rPr>
                <m:t>prelim</m:t>
              </m:r>
            </m:sup>
          </m:sSup>
          <m:r>
            <m:rPr>
              <m:sty m:val="p"/>
            </m:rPr>
            <w:rPr>
              <w:rFonts w:ascii="Cambria Math" w:hAnsi="Cambria Math"/>
            </w:rPr>
            <m:t>∼</m:t>
          </m:r>
          <m:r>
            <w:rPr>
              <w:rFonts w:ascii="Cambria Math" w:hAnsi="Cambria Math"/>
            </w:rPr>
            <m:t>N</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Y</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r>
                    <w:rPr>
                      <w:rFonts w:ascii="Cambria Math" w:hAnsi="Cambria Math"/>
                    </w:rPr>
                    <m:t>prelim</m:t>
                  </m:r>
                </m:sub>
                <m:sup>
                  <m:r>
                    <w:rPr>
                      <w:rFonts w:ascii="Cambria Math" w:hAnsi="Cambria Math"/>
                    </w:rPr>
                    <m:t>2</m:t>
                  </m:r>
                </m:sup>
              </m:sSubSup>
            </m:e>
          </m:d>
        </m:oMath>
      </m:oMathPara>
    </w:p>
    <w:p w14:paraId="06999C09" w14:textId="77777777" w:rsidR="00F9465F" w:rsidRDefault="00000000">
      <w:pPr>
        <w:pStyle w:val="FirstParagraph"/>
      </w:pPr>
      <w:r>
        <w:t>The limited history (2019–2025) suggests the preliminary overshoots by 100–220K, which can be incorporated as a bias term.</w:t>
      </w:r>
    </w:p>
    <w:p w14:paraId="4E03C615" w14:textId="67FDFE4C" w:rsidR="00F9465F" w:rsidRDefault="00CC12CD" w:rsidP="00CC12CD">
      <w:pPr>
        <w:pStyle w:val="Heading3"/>
        <w:spacing w:before="240"/>
      </w:pPr>
      <w:bookmarkStart w:id="25" w:name="qcew-q1-anchor-verification"/>
      <w:bookmarkEnd w:id="24"/>
      <w:r>
        <w:t>5.3 QCEW Q1 anchor verification</w:t>
      </w:r>
    </w:p>
    <w:p w14:paraId="01D2F20B" w14:textId="31A52B36" w:rsidR="00F9465F" w:rsidRDefault="00000000">
      <w:pPr>
        <w:pStyle w:val="FirstParagraph"/>
      </w:pPr>
      <w:r>
        <w:t>The model already treats March QCEW as an M3 (quarter-end) observation with the tightest noise (</w:t>
      </w:r>
      <m:oMath>
        <m:sSub>
          <m:sSubPr>
            <m:ctrlPr>
              <w:rPr>
                <w:rFonts w:ascii="Cambria Math" w:hAnsi="Cambria Math"/>
              </w:rPr>
            </m:ctrlPr>
          </m:sSubPr>
          <m:e>
            <m:r>
              <w:rPr>
                <w:rFonts w:ascii="Cambria Math" w:hAnsi="Cambria Math"/>
              </w:rPr>
              <m:t>σ</m:t>
            </m:r>
          </m:e>
          <m:sub>
            <m:r>
              <w:rPr>
                <w:rFonts w:ascii="Cambria Math" w:hAnsi="Cambria Math"/>
              </w:rPr>
              <m:t>QCEW</m:t>
            </m:r>
            <m:r>
              <m:rPr>
                <m:sty m:val="p"/>
              </m:rPr>
              <w:rPr>
                <w:rFonts w:ascii="Cambria Math" w:hAnsi="Cambria Math"/>
              </w:rPr>
              <m:t>,</m:t>
            </m:r>
            <m:r>
              <w:rPr>
                <w:rFonts w:ascii="Cambria Math" w:hAnsi="Cambria Math"/>
              </w:rPr>
              <m:t>M3</m:t>
            </m:r>
          </m:sub>
        </m:sSub>
        <m:r>
          <m:rPr>
            <m:sty m:val="p"/>
          </m:rPr>
          <w:rPr>
            <w:rFonts w:ascii="Cambria Math" w:hAnsi="Cambria Math"/>
          </w:rPr>
          <m:t>=</m:t>
        </m:r>
        <m:r>
          <w:rPr>
            <w:rFonts w:ascii="Cambria Math" w:hAnsi="Cambria Math"/>
          </w:rPr>
          <m:t>0.0005</m:t>
        </m:r>
      </m:oMath>
      <w:r>
        <w:t xml:space="preserve">). </w:t>
      </w:r>
    </w:p>
    <w:p w14:paraId="242FFA95" w14:textId="77777777" w:rsidR="00CC12CD" w:rsidRDefault="00CC12CD">
      <w:pPr>
        <w:pStyle w:val="Heading2"/>
      </w:pPr>
      <w:bookmarkStart w:id="26" w:name="data-requirements"/>
      <w:bookmarkEnd w:id="22"/>
      <w:bookmarkEnd w:id="25"/>
    </w:p>
    <w:p w14:paraId="149C3E61" w14:textId="5FACE751" w:rsidR="00F9465F" w:rsidRDefault="00CC12CD">
      <w:pPr>
        <w:pStyle w:val="Heading2"/>
      </w:pPr>
      <w:r>
        <w:t>6. Data requirements</w:t>
      </w:r>
    </w:p>
    <w:p w14:paraId="4911D36D" w14:textId="472D8890" w:rsidR="00F9465F" w:rsidRDefault="00CC12CD" w:rsidP="00CC12CD">
      <w:pPr>
        <w:pStyle w:val="Heading3"/>
        <w:spacing w:before="240"/>
      </w:pPr>
      <w:bookmarkStart w:id="27" w:name="already-available"/>
      <w:r>
        <w:t>6.1 Already available</w:t>
      </w:r>
    </w:p>
    <w:p w14:paraId="4BE8D251" w14:textId="16E1302F" w:rsidR="00F9465F" w:rsidRDefault="00000000">
      <w:pPr>
        <w:pStyle w:val="FirstParagraph"/>
      </w:pPr>
      <w:r>
        <w:t>CES index data (SA/NSA), QCEW index data (NSA), payroll provider indices, provider birth-rate data, cyclical indicators (claims, NFCI, business applications), and QCEW publication.</w:t>
      </w:r>
    </w:p>
    <w:p w14:paraId="3DD93F79" w14:textId="0DD947C5" w:rsidR="00F9465F" w:rsidRDefault="00CC12CD" w:rsidP="00CC12CD">
      <w:pPr>
        <w:pStyle w:val="Heading3"/>
        <w:spacing w:before="240"/>
      </w:pPr>
      <w:bookmarkStart w:id="28" w:name="needed-for-backtesting"/>
      <w:bookmarkEnd w:id="27"/>
      <w:r>
        <w:t xml:space="preserve">6.2 Needed for </w:t>
      </w:r>
      <w:proofErr w:type="spellStart"/>
      <w:r>
        <w:t>backtesting</w:t>
      </w:r>
      <w:proofErr w:type="spellEnd"/>
    </w:p>
    <w:p w14:paraId="5264DAD3" w14:textId="58022868" w:rsidR="00F9465F" w:rsidRDefault="00000000">
      <w:pPr>
        <w:pStyle w:val="FirstParagraph"/>
      </w:pPr>
      <w:r>
        <w:rPr>
          <w:b/>
          <w:bCs/>
        </w:rPr>
        <w:t>Historical benchmark revisions</w:t>
      </w:r>
      <w:r>
        <w:t>. Static; collect once.</w:t>
      </w:r>
    </w:p>
    <w:p w14:paraId="022BB0A4" w14:textId="65D4F37F" w:rsidR="00F9465F" w:rsidRDefault="00000000">
      <w:pPr>
        <w:pStyle w:val="BodyText"/>
      </w:pPr>
      <w:r>
        <w:rPr>
          <w:b/>
          <w:bCs/>
        </w:rPr>
        <w:t>Historical CES vintages</w:t>
      </w:r>
      <w:r>
        <w:t xml:space="preserve"> — pre- vs. post-benchmark prints. </w:t>
      </w:r>
    </w:p>
    <w:p w14:paraId="61242AD7" w14:textId="358E478C" w:rsidR="00F9465F" w:rsidRDefault="00000000">
      <w:pPr>
        <w:pStyle w:val="BodyText"/>
      </w:pPr>
      <w:r>
        <w:rPr>
          <w:b/>
          <w:bCs/>
        </w:rPr>
        <w:t>QCEW vintage-matched data</w:t>
      </w:r>
      <w:r>
        <w:t xml:space="preserve"> — which quarters were available at each horizon. </w:t>
      </w:r>
    </w:p>
    <w:p w14:paraId="438C5AD7" w14:textId="01DE94A7" w:rsidR="00F9465F" w:rsidRDefault="00CC12CD" w:rsidP="00CC12CD">
      <w:pPr>
        <w:pStyle w:val="Heading3"/>
        <w:spacing w:before="240"/>
      </w:pPr>
      <w:bookmarkStart w:id="29" w:name="needed-for-6.1-enhancement"/>
      <w:bookmarkEnd w:id="28"/>
      <w:r>
        <w:t>6.3 Needed for §6.1 enhancement</w:t>
      </w:r>
    </w:p>
    <w:p w14:paraId="7A85C7B0" w14:textId="77777777" w:rsidR="00F9465F" w:rsidRDefault="00000000">
      <w:pPr>
        <w:pStyle w:val="FirstParagraph"/>
      </w:pPr>
      <w:r>
        <w:rPr>
          <w:b/>
          <w:bCs/>
        </w:rPr>
        <w:t>Published monthly B/D factors</w:t>
      </w:r>
      <w:r>
        <w:t xml:space="preserve"> — from archived CES birth/death supplemental tables. Enables the benchmark surprise calculation.</w:t>
      </w:r>
    </w:p>
    <w:p w14:paraId="3ADF589E" w14:textId="77777777" w:rsidR="00CC12CD" w:rsidRDefault="00CC12CD">
      <w:pPr>
        <w:pStyle w:val="Heading2"/>
      </w:pPr>
      <w:bookmarkStart w:id="30" w:name="implementation-roadmap"/>
      <w:bookmarkEnd w:id="26"/>
      <w:bookmarkEnd w:id="29"/>
    </w:p>
    <w:p w14:paraId="794AA61E" w14:textId="3180F262" w:rsidR="00F9465F" w:rsidRDefault="00CC12CD">
      <w:pPr>
        <w:pStyle w:val="Heading2"/>
      </w:pPr>
      <w:r>
        <w:t>7. Implementation roadmap</w:t>
      </w:r>
    </w:p>
    <w:p w14:paraId="3FD3BE6A" w14:textId="77777777" w:rsidR="00F9465F" w:rsidRDefault="00000000">
      <w:pPr>
        <w:pStyle w:val="FirstParagraph"/>
      </w:pPr>
      <w:r>
        <w:rPr>
          <w:b/>
          <w:bCs/>
        </w:rPr>
        <w:t>Phase 1 — Extraction (no model changes).</w:t>
      </w:r>
      <w:r>
        <w:t xml:space="preserve"> Add </w:t>
      </w:r>
      <w:r>
        <w:rPr>
          <w:rStyle w:val="VerbatimChar"/>
        </w:rPr>
        <w:t>extract_benchmark_revision()</w:t>
      </w:r>
      <w:r>
        <w:t xml:space="preserve"> in a new </w:t>
      </w:r>
      <w:r>
        <w:rPr>
          <w:rStyle w:val="VerbatimChar"/>
        </w:rPr>
        <w:t>src/alt_nfp/benchmark.py</w:t>
      </w:r>
      <w:r>
        <w:t xml:space="preserve"> module. Populate the benchmark revision lookup table. Run on existing posterior as a diagnostic.</w:t>
      </w:r>
    </w:p>
    <w:p w14:paraId="393CC98A" w14:textId="77777777" w:rsidR="00F9465F" w:rsidRDefault="00000000">
      <w:pPr>
        <w:pStyle w:val="BodyText"/>
      </w:pPr>
      <w:r>
        <w:rPr>
          <w:b/>
          <w:bCs/>
        </w:rPr>
        <w:t>Phase 2 — Backtesting.</w:t>
      </w:r>
      <w:r>
        <w:t xml:space="preserve"> Add </w:t>
      </w:r>
      <w:r>
        <w:rPr>
          <w:rStyle w:val="VerbatimChar"/>
        </w:rPr>
        <w:t>as_of</w:t>
      </w:r>
      <w:r>
        <w:t xml:space="preserve"> parameter to </w:t>
      </w:r>
      <w:r>
        <w:rPr>
          <w:rStyle w:val="VerbatimChar"/>
        </w:rPr>
        <w:t>load_data()</w:t>
      </w:r>
      <w:r>
        <w:t xml:space="preserve"> with QCEW censoring. Implement </w:t>
      </w:r>
      <w:r>
        <w:rPr>
          <w:rStyle w:val="VerbatimChar"/>
        </w:rPr>
        <w:t>run_benchmark_backtest()</w:t>
      </w:r>
      <w:r>
        <w:t xml:space="preserve"> looping over years and horizons. Generate the RMSE-by-horizon curve.</w:t>
      </w:r>
    </w:p>
    <w:p w14:paraId="6C0C9596" w14:textId="77777777" w:rsidR="00F9465F" w:rsidRDefault="00000000">
      <w:pPr>
        <w:pStyle w:val="BodyText"/>
      </w:pPr>
      <w:r>
        <w:rPr>
          <w:b/>
          <w:bCs/>
        </w:rPr>
        <w:t>Phase 3 — Enhancements.</w:t>
      </w:r>
      <w:r>
        <w:t xml:space="preserve"> Implement the error-correction term (§6.1) in </w:t>
      </w:r>
      <w:r>
        <w:rPr>
          <w:rStyle w:val="VerbatimChar"/>
        </w:rPr>
        <w:t>build_model()</w:t>
      </w:r>
      <w:r>
        <w:t xml:space="preserve"> and re-evaluate. Add preliminary-benchmark-as-observation (§6.2) for T−5.</w:t>
      </w:r>
    </w:p>
    <w:p w14:paraId="0B720E8F" w14:textId="77777777" w:rsidR="00866D75" w:rsidRDefault="00866D75">
      <w:pPr>
        <w:pStyle w:val="Heading2"/>
      </w:pPr>
      <w:bookmarkStart w:id="31" w:name="relationship-to-existing-literature"/>
      <w:bookmarkEnd w:id="30"/>
    </w:p>
    <w:p w14:paraId="39D38F42" w14:textId="2E5B9BBB" w:rsidR="00F9465F" w:rsidRDefault="00CC12CD">
      <w:pPr>
        <w:pStyle w:val="Heading2"/>
      </w:pPr>
      <w:r>
        <w:t>8. Relationship to existing literature</w:t>
      </w:r>
    </w:p>
    <w:p w14:paraId="042BA2E2" w14:textId="6F78B59D" w:rsidR="00F9465F" w:rsidRDefault="00000000" w:rsidP="00CC12CD">
      <w:pPr>
        <w:pStyle w:val="Heading3"/>
        <w:spacing w:before="240"/>
      </w:pPr>
      <w:bookmarkStart w:id="32" w:name="Xb8113c430931651ea5de9e738ea4d45e827102d"/>
      <w:proofErr w:type="spellStart"/>
      <w:r>
        <w:t>Cajner</w:t>
      </w:r>
      <w:proofErr w:type="spellEnd"/>
      <w:r w:rsidR="008C1D59">
        <w:t xml:space="preserve"> et al</w:t>
      </w:r>
      <w:r>
        <w:t xml:space="preserve"> (</w:t>
      </w:r>
      <w:r w:rsidR="008C1D59">
        <w:t>2022</w:t>
      </w:r>
      <w:r>
        <w:t>)</w:t>
      </w:r>
    </w:p>
    <w:p w14:paraId="19146BA8" w14:textId="77777777" w:rsidR="00F9465F" w:rsidRDefault="00000000">
      <w:pPr>
        <w:pStyle w:val="FirstParagraph"/>
      </w:pPr>
      <w:r>
        <w:t>Closest antecedent. Found that CES excluding B/D contributions was the best predictor of benchmarked annual employment change (RMSE = 243K); adding ADP-FRB improved to 224K. Their state-space model assigned roughly equal weight to CES and ADP-FRB.</w:t>
      </w:r>
    </w:p>
    <w:p w14:paraId="3F72BE4F" w14:textId="77777777" w:rsidR="00F9465F" w:rsidRDefault="00000000">
      <w:pPr>
        <w:pStyle w:val="BodyText"/>
      </w:pPr>
      <w:r>
        <w:lastRenderedPageBreak/>
        <w:t>Our approach differs by explicitly separating continuing-units growth from birth/death rather than treating total employment as a single latent state. This lets providers load on what they actually measure, with B/D divergence predicted by the structural equation rather than absorbed into observation error.</w:t>
      </w:r>
    </w:p>
    <w:p w14:paraId="2FFBB1F8" w14:textId="77B56D47" w:rsidR="00F9465F" w:rsidRDefault="00000000" w:rsidP="00CC12CD">
      <w:pPr>
        <w:pStyle w:val="Heading3"/>
        <w:spacing w:before="240"/>
      </w:pPr>
      <w:bookmarkStart w:id="33" w:name="decker-2024-criw-discussion"/>
      <w:bookmarkEnd w:id="32"/>
      <w:r>
        <w:t xml:space="preserve">Decker (2024 </w:t>
      </w:r>
      <w:r w:rsidR="008C1D59">
        <w:t>FESAC</w:t>
      </w:r>
      <w:r>
        <w:t xml:space="preserve"> discussion)</w:t>
      </w:r>
    </w:p>
    <w:p w14:paraId="65E745B1" w14:textId="77777777" w:rsidR="00F9465F" w:rsidRDefault="00000000">
      <w:pPr>
        <w:pStyle w:val="FirstParagraph"/>
      </w:pPr>
      <w:r>
        <w:t>BED-based benchmark prediction: regresses B/D actuals on cumulative BED openings-minus-closings. In-sample adj. R² = 73%, RMSE = 229K. The 2024 prediction was 944K (vs. B/D model forecast of 1,365K).</w:t>
      </w:r>
    </w:p>
    <w:p w14:paraId="746985E4" w14:textId="77777777" w:rsidR="00F9465F" w:rsidRDefault="00000000">
      <w:pPr>
        <w:pStyle w:val="BodyText"/>
      </w:pPr>
      <w:r>
        <w:t>Our advantages: (1) monthly provider data vs. quarterly BED; (2) state-space uncertainty quantification vs. point prediction from ~15 observations.</w:t>
      </w:r>
    </w:p>
    <w:p w14:paraId="0F427FEE" w14:textId="2A2F0F8B" w:rsidR="00F9465F" w:rsidRDefault="00000000" w:rsidP="00CC12CD">
      <w:pPr>
        <w:pStyle w:val="Heading3"/>
        <w:spacing w:before="240"/>
      </w:pPr>
      <w:bookmarkStart w:id="34" w:name="dunn-2026"/>
      <w:bookmarkEnd w:id="33"/>
      <w:r>
        <w:t>Dunn</w:t>
      </w:r>
      <w:r w:rsidR="008C1D59">
        <w:t xml:space="preserve"> et al</w:t>
      </w:r>
      <w:r>
        <w:t xml:space="preserve"> (2026)</w:t>
      </w:r>
    </w:p>
    <w:p w14:paraId="4A6EDDD3" w14:textId="7AAE1F94" w:rsidR="008C1D59" w:rsidRDefault="008C1D59">
      <w:r>
        <w:t>Our earlier work using payroll provider data to construct small-business employment estimates demonstrates that nontraditional data can track employment dynamics in near-real-time. Key lesson: real-time and retrospective estimates can diverge significantly, and the retrospective (QCEW-aligned) measure is more informative for benchmark prediction. The frozen-panel provider construction in the present model implements this insight by excluding administrative churn from the measurement equation.</w:t>
      </w:r>
      <w:r>
        <w:br w:type="page"/>
      </w:r>
    </w:p>
    <w:p w14:paraId="41DE69DA" w14:textId="52D3EF32" w:rsidR="008C1D59" w:rsidRPr="008C1D59" w:rsidRDefault="008C1D59" w:rsidP="008C1D59">
      <w:pPr>
        <w:pStyle w:val="BodyText"/>
        <w:rPr>
          <w:rFonts w:asciiTheme="majorHAnsi" w:hAnsiTheme="majorHAnsi"/>
          <w:color w:val="0F4761" w:themeColor="accent1" w:themeShade="BF"/>
          <w:sz w:val="32"/>
          <w:szCs w:val="32"/>
        </w:rPr>
      </w:pPr>
      <w:r w:rsidRPr="008C1D59">
        <w:rPr>
          <w:rFonts w:asciiTheme="majorHAnsi" w:hAnsiTheme="majorHAnsi"/>
          <w:color w:val="0F4761" w:themeColor="accent1" w:themeShade="BF"/>
          <w:sz w:val="32"/>
          <w:szCs w:val="32"/>
        </w:rPr>
        <w:lastRenderedPageBreak/>
        <w:t>References</w:t>
      </w:r>
    </w:p>
    <w:p w14:paraId="0251D51F" w14:textId="77777777" w:rsidR="008C1D59" w:rsidRPr="008C1D59" w:rsidRDefault="008C1D59" w:rsidP="008C1D59">
      <w:pPr>
        <w:pStyle w:val="font-claude-response-body"/>
        <w:rPr>
          <w:rFonts w:asciiTheme="minorHAnsi" w:hAnsiTheme="minorHAnsi"/>
        </w:rPr>
      </w:pPr>
      <w:proofErr w:type="spellStart"/>
      <w:r w:rsidRPr="008C1D59">
        <w:rPr>
          <w:rStyle w:val="Strong"/>
          <w:rFonts w:asciiTheme="minorHAnsi" w:hAnsiTheme="minorHAnsi"/>
        </w:rPr>
        <w:t>Cajner</w:t>
      </w:r>
      <w:proofErr w:type="spellEnd"/>
      <w:r w:rsidRPr="008C1D59">
        <w:rPr>
          <w:rStyle w:val="Strong"/>
          <w:rFonts w:asciiTheme="minorHAnsi" w:hAnsiTheme="minorHAnsi"/>
        </w:rPr>
        <w:t>, Tomaz, Leland D. Crane, Ryan A. Decker, Adrian Hamins-</w:t>
      </w:r>
      <w:proofErr w:type="spellStart"/>
      <w:r w:rsidRPr="008C1D59">
        <w:rPr>
          <w:rStyle w:val="Strong"/>
          <w:rFonts w:asciiTheme="minorHAnsi" w:hAnsiTheme="minorHAnsi"/>
        </w:rPr>
        <w:t>Puertolas</w:t>
      </w:r>
      <w:proofErr w:type="spellEnd"/>
      <w:r w:rsidRPr="008C1D59">
        <w:rPr>
          <w:rStyle w:val="Strong"/>
          <w:rFonts w:asciiTheme="minorHAnsi" w:hAnsiTheme="minorHAnsi"/>
        </w:rPr>
        <w:t>, and Christopher Kurz. 2022.</w:t>
      </w:r>
      <w:r w:rsidRPr="008C1D59">
        <w:rPr>
          <w:rFonts w:asciiTheme="minorHAnsi" w:hAnsiTheme="minorHAnsi"/>
        </w:rPr>
        <w:t xml:space="preserve"> "Improving the Accuracy of Economic Measurement with Multiple Data Sources: The Case of Payroll Employment Data." In </w:t>
      </w:r>
      <w:r w:rsidRPr="008C1D59">
        <w:rPr>
          <w:rStyle w:val="Emphasis"/>
          <w:rFonts w:asciiTheme="minorHAnsi" w:hAnsiTheme="minorHAnsi"/>
        </w:rPr>
        <w:t>Big Data for Twenty-First-Century Economic Statistics</w:t>
      </w:r>
      <w:r w:rsidRPr="008C1D59">
        <w:rPr>
          <w:rFonts w:asciiTheme="minorHAnsi" w:hAnsiTheme="minorHAnsi"/>
        </w:rPr>
        <w:t>, edited by Katharine G. Abraham, Ron S. Jarmin, Brian Moyer, and Matthew D. Shapiro, 147–170. Chicago: University of Chicago Press.</w:t>
      </w:r>
    </w:p>
    <w:p w14:paraId="1869BAB7" w14:textId="77777777" w:rsidR="008C1D59" w:rsidRPr="008C1D59" w:rsidRDefault="008C1D59" w:rsidP="008C1D59">
      <w:pPr>
        <w:pStyle w:val="font-claude-response-body"/>
        <w:rPr>
          <w:rFonts w:asciiTheme="minorHAnsi" w:hAnsiTheme="minorHAnsi"/>
        </w:rPr>
      </w:pPr>
      <w:r w:rsidRPr="008C1D59">
        <w:rPr>
          <w:rStyle w:val="Strong"/>
          <w:rFonts w:asciiTheme="minorHAnsi" w:hAnsiTheme="minorHAnsi"/>
        </w:rPr>
        <w:t>Decker, Ryan A. 2024.</w:t>
      </w:r>
      <w:r w:rsidRPr="008C1D59">
        <w:rPr>
          <w:rFonts w:asciiTheme="minorHAnsi" w:hAnsiTheme="minorHAnsi"/>
        </w:rPr>
        <w:t xml:space="preserve"> "Discussion of 'Expanding the Frontier of Economic Statistics Using Big Data.'" Presentation at the Federal Economic Statistics Advisory Committee (FESAC) meeting, June 14, 2024. Washington, DC: Federal Reserve Board of Governors.</w:t>
      </w:r>
    </w:p>
    <w:p w14:paraId="2B2CCEA7" w14:textId="77777777" w:rsidR="008C1D59" w:rsidRPr="008C1D59" w:rsidRDefault="008C1D59" w:rsidP="008C1D59">
      <w:pPr>
        <w:pStyle w:val="font-claude-response-body"/>
        <w:rPr>
          <w:rFonts w:asciiTheme="minorHAnsi" w:hAnsiTheme="minorHAnsi"/>
        </w:rPr>
      </w:pPr>
      <w:r w:rsidRPr="008C1D59">
        <w:rPr>
          <w:rStyle w:val="Strong"/>
          <w:rFonts w:asciiTheme="minorHAnsi" w:hAnsiTheme="minorHAnsi"/>
        </w:rPr>
        <w:t>Dunn, Abe, Eric A. English, Kyle Hood, Lowell Mason, and Brian Quistorff. 2026.</w:t>
      </w:r>
      <w:r w:rsidRPr="008C1D59">
        <w:rPr>
          <w:rFonts w:asciiTheme="minorHAnsi" w:hAnsiTheme="minorHAnsi"/>
        </w:rPr>
        <w:t xml:space="preserve"> "Expanding the Frontier of Economic Statistics Using Big Data: A Case Study of Regional Employment." </w:t>
      </w:r>
      <w:r w:rsidRPr="008C1D59">
        <w:rPr>
          <w:rStyle w:val="Emphasis"/>
          <w:rFonts w:asciiTheme="minorHAnsi" w:hAnsiTheme="minorHAnsi"/>
        </w:rPr>
        <w:t>Review of Income and Wealth</w:t>
      </w:r>
      <w:r w:rsidRPr="008C1D59">
        <w:rPr>
          <w:rFonts w:asciiTheme="minorHAnsi" w:hAnsiTheme="minorHAnsi"/>
        </w:rPr>
        <w:t xml:space="preserve"> 72: e70042. </w:t>
      </w:r>
      <w:hyperlink r:id="rId5" w:history="1">
        <w:r w:rsidRPr="008C1D59">
          <w:rPr>
            <w:rStyle w:val="Hyperlink"/>
            <w:rFonts w:asciiTheme="minorHAnsi" w:eastAsiaTheme="majorEastAsia" w:hAnsiTheme="minorHAnsi"/>
          </w:rPr>
          <w:t>https://doi.org/10.1111/roiw.70042</w:t>
        </w:r>
      </w:hyperlink>
      <w:r w:rsidRPr="008C1D59">
        <w:rPr>
          <w:rFonts w:asciiTheme="minorHAnsi" w:hAnsiTheme="minorHAnsi"/>
        </w:rPr>
        <w:t>.</w:t>
      </w:r>
    </w:p>
    <w:bookmarkEnd w:id="0"/>
    <w:bookmarkEnd w:id="31"/>
    <w:bookmarkEnd w:id="34"/>
    <w:p w14:paraId="49BBFB9E" w14:textId="77777777" w:rsidR="008C1D59" w:rsidRPr="008C1D59" w:rsidRDefault="008C1D59" w:rsidP="008C1D59">
      <w:pPr>
        <w:pStyle w:val="BodyText"/>
      </w:pPr>
    </w:p>
    <w:sectPr w:rsidR="008C1D59" w:rsidRPr="008C1D5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96024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04D23A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09771965">
    <w:abstractNumId w:val="0"/>
  </w:num>
  <w:num w:numId="2" w16cid:durableId="4137411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136024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65F"/>
    <w:rsid w:val="002A250B"/>
    <w:rsid w:val="006971C4"/>
    <w:rsid w:val="00866D75"/>
    <w:rsid w:val="008C1D59"/>
    <w:rsid w:val="009A1CD8"/>
    <w:rsid w:val="00A96941"/>
    <w:rsid w:val="00C052E9"/>
    <w:rsid w:val="00CC12CD"/>
    <w:rsid w:val="00DC76D8"/>
    <w:rsid w:val="00F42D0F"/>
    <w:rsid w:val="00F9465F"/>
    <w:rsid w:val="00FE0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D7F6C9"/>
  <w15:docId w15:val="{E98A9702-1BD8-F34D-AF79-B77575F76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customStyle="1" w:styleId="font-claude-response-body">
    <w:name w:val="font-claude-response-body"/>
    <w:basedOn w:val="Normal"/>
    <w:rsid w:val="008C1D59"/>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8C1D59"/>
    <w:rPr>
      <w:b/>
      <w:bCs/>
    </w:rPr>
  </w:style>
  <w:style w:type="character" w:styleId="Emphasis">
    <w:name w:val="Emphasis"/>
    <w:basedOn w:val="DefaultParagraphFont"/>
    <w:uiPriority w:val="20"/>
    <w:qFormat/>
    <w:rsid w:val="008C1D5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111/roiw.7004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2171</Words>
  <Characters>13272</Characters>
  <Application>Microsoft Office Word</Application>
  <DocSecurity>0</DocSecurity>
  <Lines>416</Lines>
  <Paragraphs>251</Paragraphs>
  <ScaleCrop>false</ScaleCrop>
  <Company/>
  <LinksUpToDate>false</LinksUpToDate>
  <CharactersWithSpaces>15195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Lowell Mason</dc:creator>
  <cp:keywords/>
  <cp:lastModifiedBy>Lowell Mason</cp:lastModifiedBy>
  <cp:revision>2</cp:revision>
  <dcterms:created xsi:type="dcterms:W3CDTF">2026-02-27T19:19:00Z</dcterms:created>
  <dcterms:modified xsi:type="dcterms:W3CDTF">2026-02-27T19:19:00Z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