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D31F01" w14:textId="77777777" w:rsidR="005A43AD" w:rsidRDefault="00CF2324">
      <w:pPr>
        <w:pStyle w:val="Heading1"/>
      </w:pPr>
      <w:bookmarkStart w:id="0" w:name="employment-forecast-2026-02-12"/>
      <w:r>
        <w:t>Employment Forecast — 2026-02-12</w:t>
      </w:r>
    </w:p>
    <w:p w14:paraId="53591665" w14:textId="77777777" w:rsidR="005A43AD" w:rsidRDefault="00CF2324">
      <w:pPr>
        <w:pStyle w:val="FirstParagraph"/>
      </w:pPr>
      <w:r>
        <w:t>All estimates are CES-equivalent SA jobs added (thousands), derived from the model’s latent total SA growth posterior scaled by the previous month’s SA employment level.</w:t>
      </w:r>
    </w:p>
    <w:p w14:paraId="1BBD00E7" w14:textId="70AD6BC0" w:rsidR="005A43AD" w:rsidRDefault="00CF2324">
      <w:pPr>
        <w:pStyle w:val="Heading2"/>
      </w:pPr>
      <w:bookmarkStart w:id="1" w:name="Xa5b726ace36b85450d2f9798cff6d262a7feacf"/>
      <w:r>
        <w:t>February 2026 forecast (1-step-ahead from January panel)</w:t>
      </w:r>
    </w:p>
    <w:p w14:paraId="3CD85A16" w14:textId="50E73442" w:rsidR="005A43AD" w:rsidRDefault="00CF2324">
      <w:pPr>
        <w:pStyle w:val="FirstParagraph"/>
      </w:pPr>
      <w:r>
        <w:t>Base level: January 2026 SA = 158,627K.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4"/>
        <w:gridCol w:w="1970"/>
        <w:gridCol w:w="2167"/>
        <w:gridCol w:w="1336"/>
      </w:tblGrid>
      <w:tr w:rsidR="00755194" w14:paraId="2DAFFBF6" w14:textId="04D71791" w:rsidTr="00824B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304D25C" w14:textId="77777777" w:rsidR="00755194" w:rsidRDefault="00755194">
            <w:pPr>
              <w:pStyle w:val="Compact"/>
            </w:pPr>
            <w:r>
              <w:t>Median</w:t>
            </w:r>
          </w:p>
        </w:tc>
        <w:tc>
          <w:tcPr>
            <w:tcW w:w="0" w:type="auto"/>
          </w:tcPr>
          <w:p w14:paraId="7B07017D" w14:textId="77777777" w:rsidR="00755194" w:rsidRDefault="00755194">
            <w:pPr>
              <w:pStyle w:val="Compact"/>
            </w:pPr>
            <w:r>
              <w:t>50% HDI</w:t>
            </w:r>
          </w:p>
        </w:tc>
        <w:tc>
          <w:tcPr>
            <w:tcW w:w="0" w:type="auto"/>
          </w:tcPr>
          <w:p w14:paraId="56D11218" w14:textId="77777777" w:rsidR="00755194" w:rsidRDefault="00755194">
            <w:pPr>
              <w:pStyle w:val="Compact"/>
            </w:pPr>
            <w:r>
              <w:t>80% HDI</w:t>
            </w:r>
          </w:p>
        </w:tc>
        <w:tc>
          <w:tcPr>
            <w:tcW w:w="0" w:type="auto"/>
          </w:tcPr>
          <w:p w14:paraId="4AAFCE65" w14:textId="25F21733" w:rsidR="00755194" w:rsidRDefault="00755194">
            <w:pPr>
              <w:pStyle w:val="Compact"/>
            </w:pPr>
            <w:r>
              <w:t>80% Width</w:t>
            </w:r>
          </w:p>
        </w:tc>
      </w:tr>
      <w:tr w:rsidR="00755194" w14:paraId="47F84D7E" w14:textId="558DE5C9" w:rsidTr="00824B77">
        <w:tc>
          <w:tcPr>
            <w:tcW w:w="0" w:type="auto"/>
          </w:tcPr>
          <w:p w14:paraId="5361CCA8" w14:textId="77777777" w:rsidR="00755194" w:rsidRDefault="00755194">
            <w:pPr>
              <w:pStyle w:val="Compact"/>
            </w:pPr>
            <w:r>
              <w:t>−108K</w:t>
            </w:r>
          </w:p>
        </w:tc>
        <w:tc>
          <w:tcPr>
            <w:tcW w:w="0" w:type="auto"/>
          </w:tcPr>
          <w:p w14:paraId="69F51D06" w14:textId="77777777" w:rsidR="00755194" w:rsidRDefault="00755194">
            <w:pPr>
              <w:pStyle w:val="Compact"/>
            </w:pPr>
            <w:r>
              <w:t>[−1,094K, +865K]</w:t>
            </w:r>
          </w:p>
        </w:tc>
        <w:tc>
          <w:tcPr>
            <w:tcW w:w="0" w:type="auto"/>
          </w:tcPr>
          <w:p w14:paraId="7B6760C5" w14:textId="77777777" w:rsidR="00755194" w:rsidRDefault="00755194">
            <w:pPr>
              <w:pStyle w:val="Compact"/>
            </w:pPr>
            <w:r>
              <w:t>[−1,978K, +1,744K]</w:t>
            </w:r>
          </w:p>
        </w:tc>
        <w:tc>
          <w:tcPr>
            <w:tcW w:w="0" w:type="auto"/>
          </w:tcPr>
          <w:p w14:paraId="3FB53BD7" w14:textId="095E3445" w:rsidR="00755194" w:rsidRDefault="00755194">
            <w:pPr>
              <w:pStyle w:val="Compact"/>
            </w:pPr>
            <w:r>
              <w:t>3,722K</w:t>
            </w:r>
          </w:p>
        </w:tc>
      </w:tr>
    </w:tbl>
    <w:p w14:paraId="1BC1B238" w14:textId="40447847" w:rsidR="005A43AD" w:rsidRDefault="00CF2324">
      <w:pPr>
        <w:pStyle w:val="BodyText"/>
      </w:pPr>
      <w:r>
        <w:t xml:space="preserve">Model </w:t>
      </w:r>
      <w:r w:rsidR="00755194">
        <w:t>V4:</w:t>
      </w:r>
      <w:r>
        <w:t xml:space="preserve"> shared phi = 0.90 [0.84, 0.96], tau = 0.011. QCEW 82% precision share, CES 18%</w:t>
      </w:r>
      <w:r w:rsidR="00755194">
        <w:t>, Gusto 0%</w:t>
      </w:r>
      <w:r>
        <w:t xml:space="preserve">. 12 divergences / 16K </w:t>
      </w:r>
      <w:proofErr w:type="gramStart"/>
      <w:r>
        <w:t>draws;</w:t>
      </w:r>
      <w:proofErr w:type="gramEnd"/>
      <w:r>
        <w:t xml:space="preserve"> all converged. </w:t>
      </w:r>
    </w:p>
    <w:p w14:paraId="2C9908A5" w14:textId="1E7759DF" w:rsidR="005A43AD" w:rsidRDefault="00CF2324">
      <w:pPr>
        <w:pStyle w:val="Heading2"/>
      </w:pPr>
      <w:bookmarkStart w:id="2" w:name="Xf8fa0ac53d24695f74ba1785dda51f2149a7b18"/>
      <w:bookmarkEnd w:id="1"/>
      <w:r>
        <w:t xml:space="preserve">January 2026 </w:t>
      </w:r>
      <w:proofErr w:type="spellStart"/>
      <w:r>
        <w:t>backcast</w:t>
      </w:r>
      <w:proofErr w:type="spellEnd"/>
      <w:r>
        <w:t xml:space="preserve"> </w:t>
      </w:r>
      <w:r w:rsidR="00755194">
        <w:t>(</w:t>
      </w:r>
      <w:r>
        <w:t>G</w:t>
      </w:r>
      <w:r w:rsidR="00755194">
        <w:t>usto</w:t>
      </w:r>
      <w:r>
        <w:t xml:space="preserve"> value-of-information</w:t>
      </w:r>
      <w:r w:rsidR="00755194">
        <w:t>)</w:t>
      </w:r>
    </w:p>
    <w:p w14:paraId="05ED6442" w14:textId="63BB112B" w:rsidR="005A43AD" w:rsidRDefault="00CF2324">
      <w:pPr>
        <w:pStyle w:val="FirstParagraph"/>
      </w:pPr>
      <w:r>
        <w:t>Two runs test whether G</w:t>
      </w:r>
      <w:r w:rsidR="00755194">
        <w:t>usto</w:t>
      </w:r>
      <w:r>
        <w:t>’s early January signal improves the estimate before CES reports. Base level: December 2025 SA = 158,497K.</w:t>
      </w:r>
    </w:p>
    <w:tbl>
      <w:tblPr>
        <w:tblStyle w:val="Table"/>
        <w:tblW w:w="4952" w:type="pct"/>
        <w:tblLayout w:type="fixed"/>
        <w:tblLook w:val="0020" w:firstRow="1" w:lastRow="0" w:firstColumn="0" w:lastColumn="0" w:noHBand="0" w:noVBand="0"/>
      </w:tblPr>
      <w:tblGrid>
        <w:gridCol w:w="2250"/>
        <w:gridCol w:w="1170"/>
        <w:gridCol w:w="2250"/>
        <w:gridCol w:w="2250"/>
        <w:gridCol w:w="1350"/>
      </w:tblGrid>
      <w:tr w:rsidR="00755194" w14:paraId="1E192D7D" w14:textId="77777777" w:rsidTr="0075519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250" w:type="dxa"/>
          </w:tcPr>
          <w:p w14:paraId="56C286E9" w14:textId="4263AB0F" w:rsidR="00755194" w:rsidRDefault="00755194">
            <w:pPr>
              <w:pStyle w:val="Compact"/>
            </w:pPr>
            <w:r>
              <w:t>Gusto 2026/01 Included?</w:t>
            </w:r>
          </w:p>
        </w:tc>
        <w:tc>
          <w:tcPr>
            <w:tcW w:w="1170" w:type="dxa"/>
          </w:tcPr>
          <w:p w14:paraId="7FBE8AFB" w14:textId="77777777" w:rsidR="00755194" w:rsidRDefault="00755194">
            <w:pPr>
              <w:pStyle w:val="Compact"/>
            </w:pPr>
            <w:r>
              <w:t>Median</w:t>
            </w:r>
          </w:p>
        </w:tc>
        <w:tc>
          <w:tcPr>
            <w:tcW w:w="2250" w:type="dxa"/>
          </w:tcPr>
          <w:p w14:paraId="4BE6C66E" w14:textId="77777777" w:rsidR="00755194" w:rsidRDefault="00755194">
            <w:pPr>
              <w:pStyle w:val="Compact"/>
            </w:pPr>
            <w:r>
              <w:t>50% HDI</w:t>
            </w:r>
          </w:p>
        </w:tc>
        <w:tc>
          <w:tcPr>
            <w:tcW w:w="2250" w:type="dxa"/>
          </w:tcPr>
          <w:p w14:paraId="6F573E8D" w14:textId="77777777" w:rsidR="00755194" w:rsidRDefault="00755194">
            <w:pPr>
              <w:pStyle w:val="Compact"/>
            </w:pPr>
            <w:r>
              <w:t>80% HDI</w:t>
            </w:r>
          </w:p>
        </w:tc>
        <w:tc>
          <w:tcPr>
            <w:tcW w:w="1350" w:type="dxa"/>
          </w:tcPr>
          <w:p w14:paraId="0107AA34" w14:textId="77777777" w:rsidR="00755194" w:rsidRDefault="00755194">
            <w:pPr>
              <w:pStyle w:val="Compact"/>
            </w:pPr>
            <w:r>
              <w:t>80% Width</w:t>
            </w:r>
          </w:p>
        </w:tc>
      </w:tr>
      <w:tr w:rsidR="00755194" w14:paraId="629BB3A6" w14:textId="77777777" w:rsidTr="00755194">
        <w:tc>
          <w:tcPr>
            <w:tcW w:w="2250" w:type="dxa"/>
          </w:tcPr>
          <w:p w14:paraId="5F093686" w14:textId="77777777" w:rsidR="00755194" w:rsidRDefault="00755194">
            <w:pPr>
              <w:pStyle w:val="Compact"/>
            </w:pPr>
            <w:r>
              <w:t>No</w:t>
            </w:r>
          </w:p>
        </w:tc>
        <w:tc>
          <w:tcPr>
            <w:tcW w:w="1170" w:type="dxa"/>
          </w:tcPr>
          <w:p w14:paraId="7F7D9A9A" w14:textId="77777777" w:rsidR="00755194" w:rsidRDefault="00755194">
            <w:pPr>
              <w:pStyle w:val="Compact"/>
            </w:pPr>
            <w:r>
              <w:t>+6K</w:t>
            </w:r>
          </w:p>
        </w:tc>
        <w:tc>
          <w:tcPr>
            <w:tcW w:w="2250" w:type="dxa"/>
          </w:tcPr>
          <w:p w14:paraId="10A103AE" w14:textId="77777777" w:rsidR="00755194" w:rsidRDefault="00755194">
            <w:pPr>
              <w:pStyle w:val="Compact"/>
            </w:pPr>
            <w:r>
              <w:t>[−1,002K, +1,010K]</w:t>
            </w:r>
          </w:p>
        </w:tc>
        <w:tc>
          <w:tcPr>
            <w:tcW w:w="2250" w:type="dxa"/>
          </w:tcPr>
          <w:p w14:paraId="0C16D5BF" w14:textId="77777777" w:rsidR="00755194" w:rsidRDefault="00755194">
            <w:pPr>
              <w:pStyle w:val="Compact"/>
            </w:pPr>
            <w:r>
              <w:t>[−1,890K, +1,929K]</w:t>
            </w:r>
          </w:p>
        </w:tc>
        <w:tc>
          <w:tcPr>
            <w:tcW w:w="1350" w:type="dxa"/>
          </w:tcPr>
          <w:p w14:paraId="6312C851" w14:textId="77777777" w:rsidR="00755194" w:rsidRDefault="00755194">
            <w:pPr>
              <w:pStyle w:val="Compact"/>
            </w:pPr>
            <w:r>
              <w:t>3,819K</w:t>
            </w:r>
          </w:p>
        </w:tc>
      </w:tr>
      <w:tr w:rsidR="00755194" w14:paraId="344B5C66" w14:textId="77777777" w:rsidTr="00755194">
        <w:tc>
          <w:tcPr>
            <w:tcW w:w="2250" w:type="dxa"/>
          </w:tcPr>
          <w:p w14:paraId="3C9CBCDC" w14:textId="77777777" w:rsidR="00755194" w:rsidRDefault="00755194">
            <w:pPr>
              <w:pStyle w:val="Compact"/>
            </w:pPr>
            <w:r>
              <w:t>Yes</w:t>
            </w:r>
          </w:p>
        </w:tc>
        <w:tc>
          <w:tcPr>
            <w:tcW w:w="1170" w:type="dxa"/>
          </w:tcPr>
          <w:p w14:paraId="64061E0F" w14:textId="77777777" w:rsidR="00755194" w:rsidRDefault="00755194">
            <w:pPr>
              <w:pStyle w:val="Compact"/>
            </w:pPr>
            <w:r>
              <w:t>−131K</w:t>
            </w:r>
          </w:p>
        </w:tc>
        <w:tc>
          <w:tcPr>
            <w:tcW w:w="2250" w:type="dxa"/>
          </w:tcPr>
          <w:p w14:paraId="59BC1E75" w14:textId="77777777" w:rsidR="00755194" w:rsidRDefault="00755194">
            <w:pPr>
              <w:pStyle w:val="Compact"/>
            </w:pPr>
            <w:r>
              <w:t>[−1,142K, +889K]</w:t>
            </w:r>
          </w:p>
        </w:tc>
        <w:tc>
          <w:tcPr>
            <w:tcW w:w="2250" w:type="dxa"/>
          </w:tcPr>
          <w:p w14:paraId="20E955C2" w14:textId="77777777" w:rsidR="00755194" w:rsidRDefault="00755194">
            <w:pPr>
              <w:pStyle w:val="Compact"/>
            </w:pPr>
            <w:r>
              <w:t>[−2,023K, +1,813K]</w:t>
            </w:r>
          </w:p>
        </w:tc>
        <w:tc>
          <w:tcPr>
            <w:tcW w:w="1350" w:type="dxa"/>
          </w:tcPr>
          <w:p w14:paraId="328BB27E" w14:textId="77777777" w:rsidR="00755194" w:rsidRDefault="00755194">
            <w:pPr>
              <w:pStyle w:val="Compact"/>
            </w:pPr>
            <w:r>
              <w:t>3,837K</w:t>
            </w:r>
          </w:p>
        </w:tc>
      </w:tr>
    </w:tbl>
    <w:p w14:paraId="4A24799D" w14:textId="77777777" w:rsidR="005A43AD" w:rsidRDefault="00CF2324">
      <w:pPr>
        <w:pStyle w:val="BodyText"/>
      </w:pPr>
      <w:r>
        <w:t xml:space="preserve">Official CES 1st print: </w:t>
      </w:r>
      <w:r w:rsidRPr="00755194">
        <w:t>+130K.</w:t>
      </w:r>
    </w:p>
    <w:p w14:paraId="745A5D97" w14:textId="77777777" w:rsidR="005A43AD" w:rsidRDefault="00CF2324">
      <w:pPr>
        <w:pStyle w:val="Heading3"/>
      </w:pPr>
      <w:bookmarkStart w:id="3" w:name="interpretation"/>
      <w:r>
        <w:t>Interpretation</w:t>
      </w:r>
    </w:p>
    <w:p w14:paraId="49C556BA" w14:textId="60DF2AF8" w:rsidR="005A43AD" w:rsidRDefault="00CF2324">
      <w:pPr>
        <w:pStyle w:val="FirstParagraph"/>
      </w:pPr>
      <w:r>
        <w:t xml:space="preserve">Without any January data </w:t>
      </w:r>
      <w:r w:rsidR="00755194">
        <w:t>Gusto data</w:t>
      </w:r>
      <w:r>
        <w:t xml:space="preserve">, the model falls back on the </w:t>
      </w:r>
      <w:proofErr w:type="gramStart"/>
      <w:r>
        <w:t>AR(</w:t>
      </w:r>
      <w:proofErr w:type="gramEnd"/>
      <w:r>
        <w:t>1) prior and estimates roughly zero job growth with enormous uncertainty (~3,800K wide 80% HDI).</w:t>
      </w:r>
    </w:p>
    <w:p w14:paraId="329CF490" w14:textId="1662DF78" w:rsidR="005A43AD" w:rsidRDefault="00CF2324">
      <w:pPr>
        <w:pStyle w:val="BodyText"/>
      </w:pPr>
      <w:r>
        <w:t>Adding G</w:t>
      </w:r>
      <w:r w:rsidR="00755194">
        <w:t>usto</w:t>
      </w:r>
      <w:r>
        <w:t xml:space="preserve">’s January signal shifts the median </w:t>
      </w:r>
      <w:r>
        <w:rPr>
          <w:b/>
          <w:bCs/>
        </w:rPr>
        <w:t>negative</w:t>
      </w:r>
      <w:r>
        <w:t xml:space="preserve"> to −131K. G</w:t>
      </w:r>
      <w:r w:rsidR="00755194">
        <w:t>usto</w:t>
      </w:r>
      <w:r>
        <w:t xml:space="preserve">’s actual January observation was </w:t>
      </w:r>
      <w:r>
        <w:rPr>
          <w:b/>
          <w:bCs/>
        </w:rPr>
        <w:t>−</w:t>
      </w:r>
      <w:r>
        <w:rPr>
          <w:b/>
          <w:bCs/>
        </w:rPr>
        <w:t>3.7% growth</w:t>
      </w:r>
      <w:r>
        <w:t xml:space="preserve"> — a sharp contraction signal that pulls the estimate below the prior-based backcast. The 80% HDI width barely changes (3,819K → 3,837K); G</w:t>
      </w:r>
      <w:r w:rsidR="00755194">
        <w:t>usto</w:t>
      </w:r>
      <w:r>
        <w:t xml:space="preserve"> shifts the point estimate but doesn’t reduce uncertainty.</w:t>
      </w:r>
    </w:p>
    <w:p w14:paraId="4A5F0DBB" w14:textId="6C515596" w:rsidR="005A43AD" w:rsidRDefault="00CF2324">
      <w:pPr>
        <w:pStyle w:val="BodyText"/>
      </w:pPr>
      <w:r>
        <w:t>The official CES 1st print (+130K) was far from G</w:t>
      </w:r>
      <w:r w:rsidR="00755194">
        <w:t>usto’</w:t>
      </w:r>
      <w:r>
        <w:t>s signal. G</w:t>
      </w:r>
      <w:r w:rsidR="00755194">
        <w:t>usto</w:t>
      </w:r>
      <w:r>
        <w:t xml:space="preserve"> disagreed with CES on this month’s direction. Without CES, the model has ~3,800K of uncertainty about a single month — CES is the primary source of identification for monthly employment.</w:t>
      </w:r>
    </w:p>
    <w:p w14:paraId="3B9E9B78" w14:textId="77777777" w:rsidR="005A43AD" w:rsidRDefault="00CF2324">
      <w:pPr>
        <w:pStyle w:val="BodyText"/>
      </w:pPr>
      <w:r>
        <w:t>All structural parameters stable across runs (phi ≈ 0.90, tau ≈ 0.011, lambda_CES ≈ 0.97). Convergence clean (0–2 divergences).</w:t>
      </w:r>
      <w:bookmarkEnd w:id="0"/>
      <w:bookmarkEnd w:id="2"/>
      <w:bookmarkEnd w:id="3"/>
    </w:p>
    <w:sectPr w:rsidR="005A43A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5649DB6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159939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3AD"/>
    <w:rsid w:val="003625F3"/>
    <w:rsid w:val="003A0068"/>
    <w:rsid w:val="005A43AD"/>
    <w:rsid w:val="0069767C"/>
    <w:rsid w:val="00755194"/>
    <w:rsid w:val="00B70A78"/>
    <w:rsid w:val="00CF2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9D924"/>
  <w15:docId w15:val="{11589671-6162-8244-AA34-06375D1F9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1F3F5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DataTypeTok">
    <w:name w:val="DataType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DecValTok">
    <w:name w:val="DecVal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BaseNTok">
    <w:name w:val="BaseN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FloatTok">
    <w:name w:val="Floa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1F3F5"/>
    </w:rPr>
  </w:style>
  <w:style w:type="character" w:customStyle="1" w:styleId="CharTok">
    <w:name w:val="Char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CharTok">
    <w:name w:val="SpecialCha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StringTok">
    <w:name w:val="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VerbatimStringTok">
    <w:name w:val="Verbatim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SpecialStringTok">
    <w:name w:val="SpecialStringTok"/>
    <w:basedOn w:val="VerbatimChar"/>
    <w:rPr>
      <w:rFonts w:ascii="Consolas" w:hAnsi="Consolas"/>
      <w:color w:val="20794D"/>
      <w:sz w:val="22"/>
      <w:shd w:val="clear" w:color="auto" w:fill="F1F3F5"/>
    </w:rPr>
  </w:style>
  <w:style w:type="character" w:customStyle="1" w:styleId="ImportTok">
    <w:name w:val="ImportTok"/>
    <w:basedOn w:val="VerbatimChar"/>
    <w:rPr>
      <w:rFonts w:ascii="Consolas" w:hAnsi="Consolas"/>
      <w:color w:val="00769E"/>
      <w:sz w:val="22"/>
      <w:shd w:val="clear" w:color="auto" w:fill="F1F3F5"/>
    </w:rPr>
  </w:style>
  <w:style w:type="character" w:customStyle="1" w:styleId="CommentTok">
    <w:name w:val="Comment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nnotationTok">
    <w:name w:val="Annot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CommentVarTok">
    <w:name w:val="CommentVar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OtherTok">
    <w:name w:val="Oth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FunctionTok">
    <w:name w:val="FunctionTok"/>
    <w:basedOn w:val="VerbatimChar"/>
    <w:rPr>
      <w:rFonts w:ascii="Consolas" w:hAnsi="Consolas"/>
      <w:color w:val="4758AB"/>
      <w:sz w:val="22"/>
      <w:shd w:val="clear" w:color="auto" w:fill="F1F3F5"/>
    </w:rPr>
  </w:style>
  <w:style w:type="character" w:customStyle="1" w:styleId="VariableTok">
    <w:name w:val="VariableTok"/>
    <w:basedOn w:val="VerbatimChar"/>
    <w:rPr>
      <w:rFonts w:ascii="Consolas" w:hAnsi="Consolas"/>
      <w:color w:val="111111"/>
      <w:sz w:val="22"/>
      <w:shd w:val="clear" w:color="auto" w:fill="F1F3F5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3B4F"/>
      <w:sz w:val="22"/>
      <w:shd w:val="clear" w:color="auto" w:fill="F1F3F5"/>
    </w:rPr>
  </w:style>
  <w:style w:type="character" w:customStyle="1" w:styleId="OperatorTok">
    <w:name w:val="Operator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BuiltInTok">
    <w:name w:val="BuiltI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ExtensionTok">
    <w:name w:val="Extension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PreprocessorTok">
    <w:name w:val="Preprocess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AttributeTok">
    <w:name w:val="AttributeTok"/>
    <w:basedOn w:val="VerbatimChar"/>
    <w:rPr>
      <w:rFonts w:ascii="Consolas" w:hAnsi="Consolas"/>
      <w:color w:val="657422"/>
      <w:sz w:val="22"/>
      <w:shd w:val="clear" w:color="auto" w:fill="F1F3F5"/>
    </w:rPr>
  </w:style>
  <w:style w:type="character" w:customStyle="1" w:styleId="RegionMarkerTok">
    <w:name w:val="RegionMarkerTok"/>
    <w:basedOn w:val="VerbatimChar"/>
    <w:rPr>
      <w:rFonts w:ascii="Consolas" w:hAnsi="Consolas"/>
      <w:color w:val="003B4F"/>
      <w:sz w:val="22"/>
      <w:shd w:val="clear" w:color="auto" w:fill="F1F3F5"/>
    </w:rPr>
  </w:style>
  <w:style w:type="character" w:customStyle="1" w:styleId="InformationTok">
    <w:name w:val="InformationTok"/>
    <w:basedOn w:val="VerbatimChar"/>
    <w:rPr>
      <w:rFonts w:ascii="Consolas" w:hAnsi="Consolas"/>
      <w:color w:val="5E5E5E"/>
      <w:sz w:val="22"/>
      <w:shd w:val="clear" w:color="auto" w:fill="F1F3F5"/>
    </w:rPr>
  </w:style>
  <w:style w:type="character" w:customStyle="1" w:styleId="WarningTok">
    <w:name w:val="WarningTok"/>
    <w:basedOn w:val="VerbatimChar"/>
    <w:rPr>
      <w:rFonts w:ascii="Consolas" w:hAnsi="Consolas"/>
      <w:i/>
      <w:color w:val="5E5E5E"/>
      <w:sz w:val="22"/>
      <w:shd w:val="clear" w:color="auto" w:fill="F1F3F5"/>
    </w:rPr>
  </w:style>
  <w:style w:type="character" w:customStyle="1" w:styleId="AlertTok">
    <w:name w:val="Alert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ErrorTok">
    <w:name w:val="ErrorTok"/>
    <w:basedOn w:val="VerbatimChar"/>
    <w:rPr>
      <w:rFonts w:ascii="Consolas" w:hAnsi="Consolas"/>
      <w:color w:val="AD0000"/>
      <w:sz w:val="22"/>
      <w:shd w:val="clear" w:color="auto" w:fill="F1F3F5"/>
    </w:rPr>
  </w:style>
  <w:style w:type="character" w:customStyle="1" w:styleId="NormalTok">
    <w:name w:val="NormalTok"/>
    <w:basedOn w:val="VerbatimChar"/>
    <w:rPr>
      <w:rFonts w:ascii="Consolas" w:hAnsi="Consolas"/>
      <w:color w:val="003B4F"/>
      <w:sz w:val="22"/>
      <w:shd w:val="clear" w:color="auto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273</Words>
  <Characters>1521</Characters>
  <Application>Microsoft Office Word</Application>
  <DocSecurity>0</DocSecurity>
  <Lines>49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Lowell Mason</dc:creator>
  <cp:keywords/>
  <cp:lastModifiedBy>Lowell Mason</cp:lastModifiedBy>
  <cp:revision>4</cp:revision>
  <dcterms:created xsi:type="dcterms:W3CDTF">2026-03-03T19:21:00Z</dcterms:created>
  <dcterms:modified xsi:type="dcterms:W3CDTF">2026-03-06T10:14:00Z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