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6E89" w14:textId="77777777" w:rsidR="00D86D63" w:rsidRPr="00C47922" w:rsidRDefault="00223568">
      <w:pPr>
        <w:pStyle w:val="Title"/>
        <w:rPr>
          <w:color w:val="0F4761" w:themeColor="accent1" w:themeShade="BF"/>
        </w:rPr>
      </w:pPr>
      <w:r w:rsidRPr="00C47922">
        <w:rPr>
          <w:color w:val="0F4761" w:themeColor="accent1" w:themeShade="BF"/>
          <w:sz w:val="48"/>
          <w:szCs w:val="48"/>
        </w:rPr>
        <w:t>Bayesian State Space NFP Nowcasting System</w:t>
      </w:r>
    </w:p>
    <w:p w14:paraId="5A3D5B94" w14:textId="332A3A8E" w:rsidR="00D86D63" w:rsidRPr="00C47922" w:rsidRDefault="00223568">
      <w:pPr>
        <w:pStyle w:val="Subtitle"/>
        <w:rPr>
          <w:color w:val="0F4761" w:themeColor="accent1" w:themeShade="BF"/>
        </w:rPr>
      </w:pPr>
      <w:r w:rsidRPr="00C47922">
        <w:rPr>
          <w:color w:val="0F4761" w:themeColor="accent1" w:themeShade="BF"/>
        </w:rPr>
        <w:t>Staged Implementation Plan: Ver</w:t>
      </w:r>
      <w:r w:rsidR="00C47922">
        <w:rPr>
          <w:color w:val="0F4761" w:themeColor="accent1" w:themeShade="BF"/>
        </w:rPr>
        <w:t>s</w:t>
      </w:r>
      <w:r w:rsidRPr="00C47922">
        <w:rPr>
          <w:color w:val="0F4761" w:themeColor="accent1" w:themeShade="BF"/>
        </w:rPr>
        <w:t>ion</w:t>
      </w:r>
      <w:r w:rsidRPr="00C47922">
        <w:rPr>
          <w:color w:val="0F4761" w:themeColor="accent1" w:themeShade="BF"/>
        </w:rPr>
        <w:t xml:space="preserve"> 7</w:t>
      </w:r>
      <w:r w:rsidR="00C47922">
        <w:rPr>
          <w:color w:val="0F4761" w:themeColor="accent1" w:themeShade="BF"/>
        </w:rPr>
        <w:t xml:space="preserve"> (2-15-2026)</w:t>
      </w:r>
    </w:p>
    <w:p w14:paraId="7EEF267C" w14:textId="1D66A487" w:rsidR="00D86D63" w:rsidRPr="00C47922" w:rsidRDefault="00223568">
      <w:pPr>
        <w:pStyle w:val="FirstParagraph"/>
        <w:rPr>
          <w:rFonts w:asciiTheme="majorHAnsi" w:hAnsiTheme="majorHAnsi"/>
          <w:color w:val="0F4761" w:themeColor="accent1" w:themeShade="BF"/>
        </w:rPr>
      </w:pPr>
      <w:r w:rsidRPr="00C47922">
        <w:rPr>
          <w:rFonts w:asciiTheme="majorHAnsi" w:hAnsiTheme="majorHAnsi"/>
          <w:color w:val="0F4761" w:themeColor="accent1" w:themeShade="BF"/>
          <w:sz w:val="32"/>
          <w:szCs w:val="32"/>
        </w:rPr>
        <w:t>Overview</w:t>
      </w:r>
    </w:p>
    <w:p w14:paraId="37A46E90" w14:textId="77777777" w:rsidR="00D86D63" w:rsidRDefault="00223568">
      <w:pPr>
        <w:pStyle w:val="BodyText"/>
      </w:pPr>
      <w:r>
        <w:t>This document describes a staged release plan for a Bayesian state space NFP nowcasting system. Each release is a fully functional system capable of producing NFP forecasts. Subsequent releases add complexity while maintaining backward compatibility with earlier functionality.</w:t>
      </w:r>
    </w:p>
    <w:p w14:paraId="3A326C65" w14:textId="77777777" w:rsidR="00D86D63" w:rsidRDefault="00223568">
      <w:pPr>
        <w:pStyle w:val="Heading2"/>
      </w:pPr>
      <w:bookmarkStart w:id="0" w:name="design-principles"/>
      <w:r>
        <w:t>Design Principles</w:t>
      </w:r>
    </w:p>
    <w:p w14:paraId="3B752F9D" w14:textId="77777777" w:rsidR="00D86D63" w:rsidRDefault="00223568">
      <w:pPr>
        <w:numPr>
          <w:ilvl w:val="0"/>
          <w:numId w:val="2"/>
        </w:numPr>
      </w:pPr>
      <w:r>
        <w:rPr>
          <w:b/>
          <w:bCs/>
        </w:rPr>
        <w:t>Forecast accuracy before narrative:</w:t>
      </w:r>
      <w:r>
        <w:t xml:space="preserve"> Birth/death correction (the fundamental limitation of continuing-units data) and QCEW anchoring are prioritized over geographic/industry decomposition. The system’s central value proposition is detecting and correcting for birth/death drift in real time.</w:t>
      </w:r>
    </w:p>
    <w:p w14:paraId="19B07A78" w14:textId="77777777" w:rsidR="00D86D63" w:rsidRDefault="00223568">
      <w:pPr>
        <w:numPr>
          <w:ilvl w:val="0"/>
          <w:numId w:val="2"/>
        </w:numPr>
      </w:pPr>
      <w:r>
        <w:rPr>
          <w:b/>
          <w:bCs/>
        </w:rPr>
        <w:t>Multi-provider from the start:</w:t>
      </w:r>
      <w:r>
        <w:t xml:space="preserve"> The measurement error framework naturally accommodates multiple providers as independent noisy observations of latent truth, with configurable provider-specific error structures. New providers require only a configuration entry.</w:t>
      </w:r>
    </w:p>
    <w:p w14:paraId="22571EAB" w14:textId="24F474F1" w:rsidR="00D86D63" w:rsidRDefault="00223568">
      <w:pPr>
        <w:numPr>
          <w:ilvl w:val="0"/>
          <w:numId w:val="2"/>
        </w:numPr>
      </w:pPr>
      <w:r>
        <w:rPr>
          <w:b/>
          <w:bCs/>
        </w:rPr>
        <w:t xml:space="preserve">Coherent </w:t>
      </w:r>
      <w:proofErr w:type="spellStart"/>
      <w:r>
        <w:rPr>
          <w:b/>
          <w:bCs/>
        </w:rPr>
        <w:t>hierarchica</w:t>
      </w:r>
      <w:r w:rsidR="006E0147">
        <w:rPr>
          <w:b/>
          <w:bCs/>
        </w:rPr>
        <w:t>œ</w:t>
      </w:r>
      <w:r>
        <w:rPr>
          <w:b/>
          <w:bCs/>
        </w:rPr>
        <w:t>l</w:t>
      </w:r>
      <w:proofErr w:type="spellEnd"/>
      <w:r>
        <w:rPr>
          <w:b/>
          <w:bCs/>
        </w:rPr>
        <w:t xml:space="preserve"> forecasts:</w:t>
      </w:r>
      <w:r>
        <w:t xml:space="preserve"> Once cell-level estimation begins (Release 2), dual national/cell estimation with MinT reconciliation ensures cell contributions sum exactly to the national forecast.</w:t>
      </w:r>
    </w:p>
    <w:p w14:paraId="03404E22" w14:textId="77777777" w:rsidR="00D86D63" w:rsidRDefault="00223568">
      <w:pPr>
        <w:numPr>
          <w:ilvl w:val="0"/>
          <w:numId w:val="2"/>
        </w:numPr>
      </w:pPr>
      <w:r>
        <w:rPr>
          <w:b/>
          <w:bCs/>
        </w:rPr>
        <w:t>Information-regime awareness:</w:t>
      </w:r>
      <w:r>
        <w:t xml:space="preserve"> The system explicitly tracks which data sources are available at each point in the publication cycle, producing estimates with uncertainty calibrated to the current information set.</w:t>
      </w:r>
    </w:p>
    <w:p w14:paraId="550210D1" w14:textId="77777777" w:rsidR="00D86D63" w:rsidRDefault="00223568">
      <w:pPr>
        <w:pStyle w:val="Heading2"/>
      </w:pPr>
      <w:bookmarkStart w:id="1" w:name="data-sources"/>
      <w:bookmarkEnd w:id="0"/>
      <w:r>
        <w:t>Data Sources</w:t>
      </w:r>
    </w:p>
    <w:p w14:paraId="4B4C110C" w14:textId="77777777" w:rsidR="00D86D63" w:rsidRDefault="00223568">
      <w:pPr>
        <w:pStyle w:val="FirstParagraph"/>
      </w:pPr>
      <w:r>
        <w:t>The system combines four classes of data, each with distinct timing, coverage, and measurement properties. A brief summary is provided here; detailed measurement properties are specified at point of use within each release.</w:t>
      </w:r>
    </w:p>
    <w:p w14:paraId="4036D226" w14:textId="77777777" w:rsidR="00D86D63" w:rsidRDefault="00223568">
      <w:pPr>
        <w:pStyle w:val="BodyText"/>
      </w:pPr>
      <w:r>
        <w:rPr>
          <w:b/>
          <w:bCs/>
        </w:rPr>
        <w:t>QCEW (Quarterly Census of Employment and Wages).</w:t>
      </w:r>
      <w:r>
        <w:t xml:space="preserve"> Near-census of U.S. employment (&gt;95% coverage, ~97% of CES scope), based on mandatory quarterly UI tax filings. Published quarterly with ~5–6 month lag. Three monthly employment values per quarter: Month 3 (quarter-end) is contemporaneous at time of filing; Months 1–2 are retrospective. Revision history available from 2017Q1 at national and state levels.</w:t>
      </w:r>
    </w:p>
    <w:p w14:paraId="1228DF03" w14:textId="77777777" w:rsidR="00D86D63" w:rsidRDefault="00223568">
      <w:pPr>
        <w:pStyle w:val="BodyText"/>
      </w:pPr>
      <w:r>
        <w:rPr>
          <w:b/>
          <w:bCs/>
        </w:rPr>
        <w:t>CES National (Current Employment Statistics).</w:t>
      </w:r>
      <w:r>
        <w:t xml:space="preserve"> Probability-based establishment survey (~670,000 worksites). First print ~3 weeks after reference period; two subsequent monthly revisions. Annual benchmark in February re-anchors to QCEW. Vintage data from May 2003 at the national level by sector.</w:t>
      </w:r>
    </w:p>
    <w:p w14:paraId="45003C73" w14:textId="77777777" w:rsidR="00D86D63" w:rsidRDefault="00223568">
      <w:pPr>
        <w:pStyle w:val="BodyText"/>
      </w:pPr>
      <w:r>
        <w:rPr>
          <w:b/>
          <w:bCs/>
        </w:rPr>
        <w:lastRenderedPageBreak/>
        <w:t>CES State (State and Area Employment).</w:t>
      </w:r>
      <w:r>
        <w:t xml:space="preserve"> Published ~5 weeks after reference period. One revision before annual benchmark. State final benchmarks in March (one month after national). States do not sum to national by design. Revision history at state level for total nonfarm only — not by industry.</w:t>
      </w:r>
    </w:p>
    <w:p w14:paraId="351BD0C2" w14:textId="0BA28F4B" w:rsidR="00D86D63" w:rsidRDefault="00223568">
      <w:pPr>
        <w:pStyle w:val="BodyText"/>
      </w:pPr>
      <w:r>
        <w:rPr>
          <w:b/>
          <w:bCs/>
        </w:rPr>
        <w:t>Payroll Provider Data.</w:t>
      </w:r>
      <w:r>
        <w:t xml:space="preserve"> Continuing-units employment growth from private payroll processors. Available ~</w:t>
      </w:r>
      <w:r w:rsidR="00C47922">
        <w:t>1</w:t>
      </w:r>
      <w:r>
        <w:t xml:space="preserve"> week</w:t>
      </w:r>
      <w:r>
        <w:t xml:space="preserve"> before CES first print. Constructed from rotating, frozen measurement panels aligned to the CES reference week. Multiple providers supported with independent measurement parameters.</w:t>
      </w:r>
    </w:p>
    <w:p w14:paraId="0724792C" w14:textId="77777777" w:rsidR="00D86D63" w:rsidRDefault="00223568">
      <w:pPr>
        <w:pStyle w:val="Heading3"/>
      </w:pPr>
      <w:bookmarkStart w:id="2" w:name="publication-timeline"/>
      <w:r>
        <w:t>Publication Timeline</w:t>
      </w:r>
    </w:p>
    <w:p w14:paraId="1D494688" w14:textId="77777777" w:rsidR="00D86D63" w:rsidRDefault="00223568">
      <w:pPr>
        <w:pStyle w:val="FirstParagraph"/>
      </w:pPr>
      <w:r>
        <w:t>For a given reference month (e.g., December, reference date December 12):</w:t>
      </w:r>
    </w:p>
    <w:tbl>
      <w:tblPr>
        <w:tblStyle w:val="Table"/>
        <w:tblW w:w="5000" w:type="pct"/>
        <w:tblLayout w:type="fixed"/>
        <w:tblLook w:val="0020" w:firstRow="1" w:lastRow="0" w:firstColumn="0" w:lastColumn="0" w:noHBand="0" w:noVBand="0"/>
      </w:tblPr>
      <w:tblGrid>
        <w:gridCol w:w="2080"/>
        <w:gridCol w:w="3120"/>
        <w:gridCol w:w="4160"/>
      </w:tblGrid>
      <w:tr w:rsidR="00D86D63" w14:paraId="74B58DEB"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1760" w:type="dxa"/>
          </w:tcPr>
          <w:p w14:paraId="1F239611" w14:textId="77777777" w:rsidR="00D86D63" w:rsidRDefault="00223568">
            <w:pPr>
              <w:pStyle w:val="Compact"/>
            </w:pPr>
            <w:r>
              <w:t>Event</w:t>
            </w:r>
          </w:p>
        </w:tc>
        <w:tc>
          <w:tcPr>
            <w:tcW w:w="2640" w:type="dxa"/>
          </w:tcPr>
          <w:p w14:paraId="3340C8AB" w14:textId="77777777" w:rsidR="00D86D63" w:rsidRDefault="00223568">
            <w:pPr>
              <w:pStyle w:val="Compact"/>
            </w:pPr>
            <w:r>
              <w:t>Approximate Date</w:t>
            </w:r>
          </w:p>
        </w:tc>
        <w:tc>
          <w:tcPr>
            <w:tcW w:w="3520" w:type="dxa"/>
          </w:tcPr>
          <w:p w14:paraId="575F0E54" w14:textId="77777777" w:rsidR="00D86D63" w:rsidRDefault="00223568">
            <w:pPr>
              <w:pStyle w:val="Compact"/>
            </w:pPr>
            <w:r>
              <w:t>Information Available</w:t>
            </w:r>
          </w:p>
        </w:tc>
      </w:tr>
      <w:tr w:rsidR="00D86D63" w14:paraId="7E33DE05" w14:textId="77777777">
        <w:tc>
          <w:tcPr>
            <w:tcW w:w="1760" w:type="dxa"/>
          </w:tcPr>
          <w:p w14:paraId="741275AA" w14:textId="77777777" w:rsidR="00D86D63" w:rsidRDefault="00223568">
            <w:pPr>
              <w:pStyle w:val="Compact"/>
            </w:pPr>
            <w:r>
              <w:t>Reference period</w:t>
            </w:r>
          </w:p>
        </w:tc>
        <w:tc>
          <w:tcPr>
            <w:tcW w:w="2640" w:type="dxa"/>
          </w:tcPr>
          <w:p w14:paraId="0339005C" w14:textId="77777777" w:rsidR="00D86D63" w:rsidRDefault="00223568">
            <w:pPr>
              <w:pStyle w:val="Compact"/>
            </w:pPr>
            <w:r>
              <w:t>Dec 12</w:t>
            </w:r>
          </w:p>
        </w:tc>
        <w:tc>
          <w:tcPr>
            <w:tcW w:w="3520" w:type="dxa"/>
          </w:tcPr>
          <w:p w14:paraId="3CCF77CE" w14:textId="77777777" w:rsidR="00D86D63" w:rsidRDefault="00223568">
            <w:pPr>
              <w:pStyle w:val="Compact"/>
            </w:pPr>
            <w:r>
              <w:t>—</w:t>
            </w:r>
          </w:p>
        </w:tc>
      </w:tr>
      <w:tr w:rsidR="00D86D63" w14:paraId="0CD9E68D" w14:textId="77777777">
        <w:tc>
          <w:tcPr>
            <w:tcW w:w="1760" w:type="dxa"/>
          </w:tcPr>
          <w:p w14:paraId="26D961E6" w14:textId="77777777" w:rsidR="00D86D63" w:rsidRDefault="00223568">
            <w:pPr>
              <w:pStyle w:val="Compact"/>
            </w:pPr>
            <w:r>
              <w:t>Provider data available</w:t>
            </w:r>
          </w:p>
        </w:tc>
        <w:tc>
          <w:tcPr>
            <w:tcW w:w="2640" w:type="dxa"/>
          </w:tcPr>
          <w:p w14:paraId="7C8D8699" w14:textId="77777777" w:rsidR="00D86D63" w:rsidRDefault="00223568">
            <w:pPr>
              <w:pStyle w:val="Compact"/>
            </w:pPr>
            <w:r>
              <w:t>~Jan 1</w:t>
            </w:r>
          </w:p>
        </w:tc>
        <w:tc>
          <w:tcPr>
            <w:tcW w:w="3520" w:type="dxa"/>
          </w:tcPr>
          <w:p w14:paraId="5C7197D0" w14:textId="77777777" w:rsidR="00D86D63" w:rsidRDefault="00223568">
            <w:pPr>
              <w:pStyle w:val="Compact"/>
            </w:pPr>
            <w:r>
              <w:t>Provider growth rates (national + cells if constructed)</w:t>
            </w:r>
          </w:p>
        </w:tc>
      </w:tr>
      <w:tr w:rsidR="00D86D63" w14:paraId="4F62F00B" w14:textId="77777777">
        <w:tc>
          <w:tcPr>
            <w:tcW w:w="1760" w:type="dxa"/>
          </w:tcPr>
          <w:p w14:paraId="1E6E567D" w14:textId="77777777" w:rsidR="00D86D63" w:rsidRDefault="00223568">
            <w:pPr>
              <w:pStyle w:val="Compact"/>
            </w:pPr>
            <w:r>
              <w:t>CES national 1st print</w:t>
            </w:r>
          </w:p>
        </w:tc>
        <w:tc>
          <w:tcPr>
            <w:tcW w:w="2640" w:type="dxa"/>
          </w:tcPr>
          <w:p w14:paraId="09F8B3C8" w14:textId="77777777" w:rsidR="00D86D63" w:rsidRDefault="00223568">
            <w:pPr>
              <w:pStyle w:val="Compact"/>
            </w:pPr>
            <w:r>
              <w:t>~Jan 9</w:t>
            </w:r>
          </w:p>
        </w:tc>
        <w:tc>
          <w:tcPr>
            <w:tcW w:w="3520" w:type="dxa"/>
          </w:tcPr>
          <w:p w14:paraId="2515C63E" w14:textId="77777777" w:rsidR="00D86D63" w:rsidRDefault="00223568">
            <w:pPr>
              <w:pStyle w:val="Compact"/>
            </w:pPr>
            <w:r>
              <w:t>National total nonfarm + supersectors (SA + NSA)</w:t>
            </w:r>
          </w:p>
        </w:tc>
      </w:tr>
      <w:tr w:rsidR="00D86D63" w14:paraId="22F868A0" w14:textId="77777777">
        <w:tc>
          <w:tcPr>
            <w:tcW w:w="1760" w:type="dxa"/>
          </w:tcPr>
          <w:p w14:paraId="219FC6B1" w14:textId="77777777" w:rsidR="00D86D63" w:rsidRDefault="00223568">
            <w:pPr>
              <w:pStyle w:val="Compact"/>
            </w:pPr>
            <w:r>
              <w:t>CES state 1st print</w:t>
            </w:r>
          </w:p>
        </w:tc>
        <w:tc>
          <w:tcPr>
            <w:tcW w:w="2640" w:type="dxa"/>
          </w:tcPr>
          <w:p w14:paraId="09962EF9" w14:textId="77777777" w:rsidR="00D86D63" w:rsidRDefault="00223568">
            <w:pPr>
              <w:pStyle w:val="Compact"/>
            </w:pPr>
            <w:r>
              <w:t>~Jan 24</w:t>
            </w:r>
          </w:p>
        </w:tc>
        <w:tc>
          <w:tcPr>
            <w:tcW w:w="3520" w:type="dxa"/>
          </w:tcPr>
          <w:p w14:paraId="6194C28C" w14:textId="77777777" w:rsidR="00D86D63" w:rsidRDefault="00223568">
            <w:pPr>
              <w:pStyle w:val="Compact"/>
            </w:pPr>
            <w:r>
              <w:t>State total nonfarm (SA + NSA)</w:t>
            </w:r>
          </w:p>
        </w:tc>
      </w:tr>
      <w:tr w:rsidR="00D86D63" w14:paraId="01F9A983" w14:textId="77777777">
        <w:tc>
          <w:tcPr>
            <w:tcW w:w="1760" w:type="dxa"/>
          </w:tcPr>
          <w:p w14:paraId="2ED28DF4" w14:textId="77777777" w:rsidR="00D86D63" w:rsidRDefault="00223568">
            <w:pPr>
              <w:pStyle w:val="Compact"/>
            </w:pPr>
            <w:r>
              <w:t>CES national 2nd print</w:t>
            </w:r>
          </w:p>
        </w:tc>
        <w:tc>
          <w:tcPr>
            <w:tcW w:w="2640" w:type="dxa"/>
          </w:tcPr>
          <w:p w14:paraId="5E9C9C96" w14:textId="77777777" w:rsidR="00D86D63" w:rsidRDefault="00223568">
            <w:pPr>
              <w:pStyle w:val="Compact"/>
            </w:pPr>
            <w:r>
              <w:t>~Feb 6</w:t>
            </w:r>
          </w:p>
        </w:tc>
        <w:tc>
          <w:tcPr>
            <w:tcW w:w="3520" w:type="dxa"/>
          </w:tcPr>
          <w:p w14:paraId="39300341" w14:textId="77777777" w:rsidR="00D86D63" w:rsidRDefault="00223568">
            <w:pPr>
              <w:pStyle w:val="Compact"/>
            </w:pPr>
            <w:r>
              <w:t>National revised</w:t>
            </w:r>
          </w:p>
        </w:tc>
      </w:tr>
      <w:tr w:rsidR="00D86D63" w14:paraId="68D75958" w14:textId="77777777">
        <w:tc>
          <w:tcPr>
            <w:tcW w:w="1760" w:type="dxa"/>
          </w:tcPr>
          <w:p w14:paraId="61E8B259" w14:textId="77777777" w:rsidR="00D86D63" w:rsidRDefault="00223568">
            <w:pPr>
              <w:pStyle w:val="Compact"/>
            </w:pPr>
            <w:r>
              <w:t>CES state final print</w:t>
            </w:r>
          </w:p>
        </w:tc>
        <w:tc>
          <w:tcPr>
            <w:tcW w:w="2640" w:type="dxa"/>
          </w:tcPr>
          <w:p w14:paraId="370EDD2C" w14:textId="77777777" w:rsidR="00D86D63" w:rsidRDefault="00223568">
            <w:pPr>
              <w:pStyle w:val="Compact"/>
            </w:pPr>
            <w:r>
              <w:t>~Feb 28</w:t>
            </w:r>
          </w:p>
        </w:tc>
        <w:tc>
          <w:tcPr>
            <w:tcW w:w="3520" w:type="dxa"/>
          </w:tcPr>
          <w:p w14:paraId="5047AD7C" w14:textId="77777777" w:rsidR="00D86D63" w:rsidRDefault="00223568">
            <w:pPr>
              <w:pStyle w:val="Compact"/>
            </w:pPr>
            <w:r>
              <w:t>State revised</w:t>
            </w:r>
          </w:p>
        </w:tc>
      </w:tr>
      <w:tr w:rsidR="00D86D63" w14:paraId="14465900" w14:textId="77777777">
        <w:tc>
          <w:tcPr>
            <w:tcW w:w="1760" w:type="dxa"/>
          </w:tcPr>
          <w:p w14:paraId="288B6301" w14:textId="77777777" w:rsidR="00D86D63" w:rsidRDefault="00223568">
            <w:pPr>
              <w:pStyle w:val="Compact"/>
            </w:pPr>
            <w:r>
              <w:t>CES national 3rd (final) print</w:t>
            </w:r>
          </w:p>
        </w:tc>
        <w:tc>
          <w:tcPr>
            <w:tcW w:w="2640" w:type="dxa"/>
          </w:tcPr>
          <w:p w14:paraId="0661F5A2" w14:textId="77777777" w:rsidR="00D86D63" w:rsidRDefault="00223568">
            <w:pPr>
              <w:pStyle w:val="Compact"/>
            </w:pPr>
            <w:r>
              <w:t>~Mar 6</w:t>
            </w:r>
          </w:p>
        </w:tc>
        <w:tc>
          <w:tcPr>
            <w:tcW w:w="3520" w:type="dxa"/>
          </w:tcPr>
          <w:p w14:paraId="7718FA46" w14:textId="77777777" w:rsidR="00D86D63" w:rsidRDefault="00223568">
            <w:pPr>
              <w:pStyle w:val="Compact"/>
            </w:pPr>
            <w:r>
              <w:t>National final sample-based</w:t>
            </w:r>
          </w:p>
        </w:tc>
      </w:tr>
      <w:tr w:rsidR="00D86D63" w14:paraId="298EA915" w14:textId="77777777">
        <w:tc>
          <w:tcPr>
            <w:tcW w:w="1760" w:type="dxa"/>
          </w:tcPr>
          <w:p w14:paraId="69D11B5B" w14:textId="77777777" w:rsidR="00D86D63" w:rsidRDefault="00223568">
            <w:pPr>
              <w:pStyle w:val="Compact"/>
            </w:pPr>
            <w:r>
              <w:t>QCEW publication</w:t>
            </w:r>
          </w:p>
        </w:tc>
        <w:tc>
          <w:tcPr>
            <w:tcW w:w="2640" w:type="dxa"/>
          </w:tcPr>
          <w:p w14:paraId="16136168" w14:textId="77777777" w:rsidR="00D86D63" w:rsidRDefault="00223568">
            <w:pPr>
              <w:pStyle w:val="Compact"/>
            </w:pPr>
            <w:r>
              <w:t>~Jun</w:t>
            </w:r>
          </w:p>
        </w:tc>
        <w:tc>
          <w:tcPr>
            <w:tcW w:w="3520" w:type="dxa"/>
          </w:tcPr>
          <w:p w14:paraId="008C831D" w14:textId="77777777" w:rsidR="00D86D63" w:rsidRDefault="00223568">
            <w:pPr>
              <w:pStyle w:val="Compact"/>
            </w:pPr>
            <w:r>
              <w:t>Full quarter census data</w:t>
            </w:r>
          </w:p>
        </w:tc>
      </w:tr>
    </w:tbl>
    <w:p w14:paraId="60F95149" w14:textId="77777777" w:rsidR="00D86D63" w:rsidRDefault="00223568">
      <w:pPr>
        <w:pStyle w:val="Heading3"/>
      </w:pPr>
      <w:bookmarkStart w:id="3" w:name="revision-data-availability"/>
      <w:bookmarkEnd w:id="2"/>
      <w:r>
        <w:t>Revision-Data Availability</w:t>
      </w:r>
    </w:p>
    <w:p w14:paraId="57B04DE0" w14:textId="77777777" w:rsidR="00D86D63" w:rsidRDefault="00223568">
      <w:pPr>
        <w:pStyle w:val="FirstParagraph"/>
      </w:pPr>
      <w:r>
        <w:t>Calibrating vintage-specific measurement error requires revision data, which exists at different granularities across sources:</w:t>
      </w:r>
    </w:p>
    <w:tbl>
      <w:tblPr>
        <w:tblStyle w:val="Table"/>
        <w:tblW w:w="5000" w:type="pct"/>
        <w:tblLayout w:type="fixed"/>
        <w:tblLook w:val="0020" w:firstRow="1" w:lastRow="0" w:firstColumn="0" w:lastColumn="0" w:noHBand="0" w:noVBand="0"/>
      </w:tblPr>
      <w:tblGrid>
        <w:gridCol w:w="1690"/>
        <w:gridCol w:w="1690"/>
        <w:gridCol w:w="1950"/>
        <w:gridCol w:w="1690"/>
        <w:gridCol w:w="2340"/>
      </w:tblGrid>
      <w:tr w:rsidR="00D86D63" w14:paraId="19DDE01A"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1430" w:type="dxa"/>
          </w:tcPr>
          <w:p w14:paraId="21A85F45" w14:textId="77777777" w:rsidR="00D86D63" w:rsidRDefault="00223568">
            <w:pPr>
              <w:pStyle w:val="Compact"/>
            </w:pPr>
            <w:r>
              <w:t>Source</w:t>
            </w:r>
          </w:p>
        </w:tc>
        <w:tc>
          <w:tcPr>
            <w:tcW w:w="1430" w:type="dxa"/>
          </w:tcPr>
          <w:p w14:paraId="535BAC30" w14:textId="77777777" w:rsidR="00D86D63" w:rsidRDefault="00223568">
            <w:pPr>
              <w:pStyle w:val="Compact"/>
            </w:pPr>
            <w:r>
              <w:t>National</w:t>
            </w:r>
          </w:p>
        </w:tc>
        <w:tc>
          <w:tcPr>
            <w:tcW w:w="1650" w:type="dxa"/>
          </w:tcPr>
          <w:p w14:paraId="7EE98A45" w14:textId="77777777" w:rsidR="00D86D63" w:rsidRDefault="00223568">
            <w:pPr>
              <w:pStyle w:val="Compact"/>
            </w:pPr>
            <w:r>
              <w:t>Nat’l × Sector</w:t>
            </w:r>
          </w:p>
        </w:tc>
        <w:tc>
          <w:tcPr>
            <w:tcW w:w="1430" w:type="dxa"/>
          </w:tcPr>
          <w:p w14:paraId="606A7B4A" w14:textId="77777777" w:rsidR="00D86D63" w:rsidRDefault="00223568">
            <w:pPr>
              <w:pStyle w:val="Compact"/>
            </w:pPr>
            <w:r>
              <w:t>State</w:t>
            </w:r>
          </w:p>
        </w:tc>
        <w:tc>
          <w:tcPr>
            <w:tcW w:w="1980" w:type="dxa"/>
          </w:tcPr>
          <w:p w14:paraId="7008BA3E" w14:textId="77777777" w:rsidR="00D86D63" w:rsidRDefault="00223568">
            <w:pPr>
              <w:pStyle w:val="Compact"/>
            </w:pPr>
            <w:r>
              <w:t>State × Industry</w:t>
            </w:r>
          </w:p>
        </w:tc>
      </w:tr>
      <w:tr w:rsidR="00D86D63" w14:paraId="7D1C7D5B" w14:textId="77777777">
        <w:tc>
          <w:tcPr>
            <w:tcW w:w="1430" w:type="dxa"/>
          </w:tcPr>
          <w:p w14:paraId="6FEAF76B" w14:textId="77777777" w:rsidR="00D86D63" w:rsidRDefault="00223568">
            <w:pPr>
              <w:pStyle w:val="Compact"/>
            </w:pPr>
            <w:r>
              <w:t>QCEW revisions</w:t>
            </w:r>
          </w:p>
        </w:tc>
        <w:tc>
          <w:tcPr>
            <w:tcW w:w="1430" w:type="dxa"/>
          </w:tcPr>
          <w:p w14:paraId="2422C9FF" w14:textId="77777777" w:rsidR="00D86D63" w:rsidRDefault="00223568">
            <w:pPr>
              <w:pStyle w:val="Compact"/>
            </w:pPr>
            <w:r>
              <w:t>✓</w:t>
            </w:r>
            <w:r>
              <w:t xml:space="preserve"> (2017Q1+)</w:t>
            </w:r>
          </w:p>
        </w:tc>
        <w:tc>
          <w:tcPr>
            <w:tcW w:w="1650" w:type="dxa"/>
          </w:tcPr>
          <w:p w14:paraId="65ABF45B" w14:textId="77777777" w:rsidR="00D86D63" w:rsidRDefault="00223568">
            <w:pPr>
              <w:pStyle w:val="Compact"/>
            </w:pPr>
            <w:r>
              <w:t>✗</w:t>
            </w:r>
          </w:p>
        </w:tc>
        <w:tc>
          <w:tcPr>
            <w:tcW w:w="1430" w:type="dxa"/>
          </w:tcPr>
          <w:p w14:paraId="10CA3428" w14:textId="77777777" w:rsidR="00D86D63" w:rsidRDefault="00223568">
            <w:pPr>
              <w:pStyle w:val="Compact"/>
            </w:pPr>
            <w:r>
              <w:t>✓</w:t>
            </w:r>
            <w:r>
              <w:t xml:space="preserve"> (2017Q1+)</w:t>
            </w:r>
          </w:p>
        </w:tc>
        <w:tc>
          <w:tcPr>
            <w:tcW w:w="1980" w:type="dxa"/>
          </w:tcPr>
          <w:p w14:paraId="383FA7FE" w14:textId="77777777" w:rsidR="00D86D63" w:rsidRDefault="00223568">
            <w:pPr>
              <w:pStyle w:val="Compact"/>
            </w:pPr>
            <w:r>
              <w:t>✗</w:t>
            </w:r>
          </w:p>
        </w:tc>
      </w:tr>
      <w:tr w:rsidR="00D86D63" w14:paraId="4EC50E7C" w14:textId="77777777">
        <w:tc>
          <w:tcPr>
            <w:tcW w:w="1430" w:type="dxa"/>
          </w:tcPr>
          <w:p w14:paraId="49021434" w14:textId="77777777" w:rsidR="00D86D63" w:rsidRDefault="00223568">
            <w:pPr>
              <w:pStyle w:val="Compact"/>
            </w:pPr>
            <w:r>
              <w:t>CES revisions</w:t>
            </w:r>
          </w:p>
        </w:tc>
        <w:tc>
          <w:tcPr>
            <w:tcW w:w="1430" w:type="dxa"/>
          </w:tcPr>
          <w:p w14:paraId="6FCDEA60" w14:textId="77777777" w:rsidR="00D86D63" w:rsidRDefault="00223568">
            <w:pPr>
              <w:pStyle w:val="Compact"/>
            </w:pPr>
            <w:r>
              <w:t>✓</w:t>
            </w:r>
            <w:r>
              <w:t xml:space="preserve"> (2003/05+)</w:t>
            </w:r>
          </w:p>
        </w:tc>
        <w:tc>
          <w:tcPr>
            <w:tcW w:w="1650" w:type="dxa"/>
          </w:tcPr>
          <w:p w14:paraId="49A55CC3" w14:textId="77777777" w:rsidR="00D86D63" w:rsidRDefault="00223568">
            <w:pPr>
              <w:pStyle w:val="Compact"/>
            </w:pPr>
            <w:r>
              <w:t>✓</w:t>
            </w:r>
            <w:r>
              <w:t xml:space="preserve"> (by sector)</w:t>
            </w:r>
          </w:p>
        </w:tc>
        <w:tc>
          <w:tcPr>
            <w:tcW w:w="1430" w:type="dxa"/>
          </w:tcPr>
          <w:p w14:paraId="67E4704A" w14:textId="77777777" w:rsidR="00D86D63" w:rsidRDefault="00223568">
            <w:pPr>
              <w:pStyle w:val="Compact"/>
            </w:pPr>
            <w:r>
              <w:t>✓</w:t>
            </w:r>
            <w:r>
              <w:t xml:space="preserve"> (total nonfarm)</w:t>
            </w:r>
          </w:p>
        </w:tc>
        <w:tc>
          <w:tcPr>
            <w:tcW w:w="1980" w:type="dxa"/>
          </w:tcPr>
          <w:p w14:paraId="41B4C3B7" w14:textId="77777777" w:rsidR="00D86D63" w:rsidRDefault="00223568">
            <w:pPr>
              <w:pStyle w:val="Compact"/>
            </w:pPr>
            <w:r>
              <w:t>✗</w:t>
            </w:r>
          </w:p>
        </w:tc>
      </w:tr>
      <w:tr w:rsidR="00D86D63" w14:paraId="69BF36DF" w14:textId="77777777">
        <w:tc>
          <w:tcPr>
            <w:tcW w:w="1430" w:type="dxa"/>
          </w:tcPr>
          <w:p w14:paraId="78C97E10" w14:textId="77777777" w:rsidR="00D86D63" w:rsidRDefault="00223568">
            <w:pPr>
              <w:pStyle w:val="Compact"/>
            </w:pPr>
            <w:r>
              <w:t>CES benchmark</w:t>
            </w:r>
          </w:p>
        </w:tc>
        <w:tc>
          <w:tcPr>
            <w:tcW w:w="1430" w:type="dxa"/>
          </w:tcPr>
          <w:p w14:paraId="64F635E7" w14:textId="77777777" w:rsidR="00D86D63" w:rsidRDefault="00223568">
            <w:pPr>
              <w:pStyle w:val="Compact"/>
            </w:pPr>
            <w:r>
              <w:t>✓</w:t>
            </w:r>
          </w:p>
        </w:tc>
        <w:tc>
          <w:tcPr>
            <w:tcW w:w="1650" w:type="dxa"/>
          </w:tcPr>
          <w:p w14:paraId="547ED621" w14:textId="77777777" w:rsidR="00D86D63" w:rsidRDefault="00223568">
            <w:pPr>
              <w:pStyle w:val="Compact"/>
            </w:pPr>
            <w:r>
              <w:t>✓</w:t>
            </w:r>
            <w:r>
              <w:t xml:space="preserve"> (by supersector)</w:t>
            </w:r>
          </w:p>
        </w:tc>
        <w:tc>
          <w:tcPr>
            <w:tcW w:w="1430" w:type="dxa"/>
          </w:tcPr>
          <w:p w14:paraId="20E98974" w14:textId="77777777" w:rsidR="00D86D63" w:rsidRDefault="00223568">
            <w:pPr>
              <w:pStyle w:val="Compact"/>
            </w:pPr>
            <w:r>
              <w:t>✓</w:t>
            </w:r>
            <w:r>
              <w:t xml:space="preserve"> (total nonfarm)</w:t>
            </w:r>
          </w:p>
        </w:tc>
        <w:tc>
          <w:tcPr>
            <w:tcW w:w="1980" w:type="dxa"/>
          </w:tcPr>
          <w:p w14:paraId="3A4AFC56" w14:textId="77777777" w:rsidR="00D86D63" w:rsidRDefault="00223568">
            <w:pPr>
              <w:pStyle w:val="Compact"/>
            </w:pPr>
            <w:r>
              <w:t>✓</w:t>
            </w:r>
            <w:r>
              <w:t xml:space="preserve"> (annual articles only)</w:t>
            </w:r>
          </w:p>
        </w:tc>
      </w:tr>
    </w:tbl>
    <w:p w14:paraId="67A8FBBA" w14:textId="77777777" w:rsidR="00D86D63" w:rsidRDefault="00223568">
      <w:pPr>
        <w:pStyle w:val="BodyText"/>
      </w:pPr>
      <w:r>
        <w:lastRenderedPageBreak/>
        <w:t>This availability matrix constrains the measurement-error calibration in later releases. Where direct revision data is unavailable, noise parameters are drawn from hierarchical priors that pool toward observable parent-level variances.</w:t>
      </w:r>
    </w:p>
    <w:p w14:paraId="58CDEBEE" w14:textId="765FF939" w:rsidR="00D86D63" w:rsidRDefault="00D86D63"/>
    <w:p w14:paraId="6EE0EFBC" w14:textId="77777777" w:rsidR="00D86D63" w:rsidRDefault="00223568">
      <w:pPr>
        <w:pStyle w:val="Heading1"/>
      </w:pPr>
      <w:bookmarkStart w:id="4" w:name="release-1-national-model"/>
      <w:bookmarkEnd w:id="1"/>
      <w:bookmarkEnd w:id="3"/>
      <w:r>
        <w:t>Release 1: National Model</w:t>
      </w:r>
    </w:p>
    <w:p w14:paraId="4659FD2D" w14:textId="77777777" w:rsidR="00D86D63" w:rsidRDefault="00223568">
      <w:pPr>
        <w:pStyle w:val="Heading2"/>
      </w:pPr>
      <w:bookmarkStart w:id="5" w:name="objective"/>
      <w:r>
        <w:t>Objective</w:t>
      </w:r>
    </w:p>
    <w:p w14:paraId="0552872F" w14:textId="77777777" w:rsidR="00D86D63" w:rsidRDefault="00223568">
      <w:pPr>
        <w:pStyle w:val="FirstParagraph"/>
      </w:pPr>
      <w:r>
        <w:t>Produce a national NFP nowcast by fusing QCEW census data, CES survey data, and multiple payroll provider signals in a Bayesian state space framework with structural birth/death modeling, Fourier seasonal adjustment, and vintage-aware CES measurement equations.</w:t>
      </w:r>
    </w:p>
    <w:p w14:paraId="4A18D5C3" w14:textId="77777777" w:rsidR="00D86D63" w:rsidRDefault="00223568">
      <w:pPr>
        <w:pStyle w:val="Heading2"/>
      </w:pPr>
      <w:bookmarkStart w:id="6" w:name="system-description"/>
      <w:bookmarkEnd w:id="5"/>
      <w:r>
        <w:t>System Description</w:t>
      </w:r>
    </w:p>
    <w:p w14:paraId="35CD82D1" w14:textId="77777777" w:rsidR="00D86D63" w:rsidRDefault="00223568">
      <w:pPr>
        <w:pStyle w:val="FirstParagraph"/>
      </w:pPr>
      <w:r>
        <w:t>Multiple data sources observe the same latent national employment growth, each with distinct timing, coverage, and measurement properties. The model decomposes total employment growth into continuing-units growth, a structural birth/death contribution, and a seasonal component. QCEW serves as the truth anchor. CES provides timely but noisy official estimates at multiple vintages. Payroll providers measure continuing-units growth with provider-specific bias, signal loading, and error structure.</w:t>
      </w:r>
    </w:p>
    <w:p w14:paraId="282051C3" w14:textId="77777777" w:rsidR="00D86D63" w:rsidRDefault="00223568">
      <w:pPr>
        <w:pStyle w:val="Heading3"/>
      </w:pPr>
      <w:bookmarkStart w:id="7" w:name="data-inputs"/>
      <w:r>
        <w:t>Data Inputs</w:t>
      </w:r>
    </w:p>
    <w:tbl>
      <w:tblPr>
        <w:tblStyle w:val="Table"/>
        <w:tblW w:w="5000" w:type="pct"/>
        <w:tblLayout w:type="fixed"/>
        <w:tblLook w:val="0020" w:firstRow="1" w:lastRow="0" w:firstColumn="0" w:lastColumn="0" w:noHBand="0" w:noVBand="0"/>
      </w:tblPr>
      <w:tblGrid>
        <w:gridCol w:w="2024"/>
        <w:gridCol w:w="2403"/>
        <w:gridCol w:w="2024"/>
        <w:gridCol w:w="2909"/>
      </w:tblGrid>
      <w:tr w:rsidR="00D86D63" w14:paraId="3AA661CE"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1712" w:type="dxa"/>
          </w:tcPr>
          <w:p w14:paraId="7AED6467" w14:textId="77777777" w:rsidR="00D86D63" w:rsidRDefault="00223568">
            <w:pPr>
              <w:pStyle w:val="Compact"/>
            </w:pPr>
            <w:r>
              <w:t>Source</w:t>
            </w:r>
          </w:p>
        </w:tc>
        <w:tc>
          <w:tcPr>
            <w:tcW w:w="2033" w:type="dxa"/>
          </w:tcPr>
          <w:p w14:paraId="0031B6F6" w14:textId="77777777" w:rsidR="00D86D63" w:rsidRDefault="00223568">
            <w:pPr>
              <w:pStyle w:val="Compact"/>
            </w:pPr>
            <w:r>
              <w:t>Frequency</w:t>
            </w:r>
          </w:p>
        </w:tc>
        <w:tc>
          <w:tcPr>
            <w:tcW w:w="1712" w:type="dxa"/>
          </w:tcPr>
          <w:p w14:paraId="0E44B24B" w14:textId="77777777" w:rsidR="00D86D63" w:rsidRDefault="00223568">
            <w:pPr>
              <w:pStyle w:val="Compact"/>
            </w:pPr>
            <w:r>
              <w:t>Lag</w:t>
            </w:r>
          </w:p>
        </w:tc>
        <w:tc>
          <w:tcPr>
            <w:tcW w:w="2461" w:type="dxa"/>
          </w:tcPr>
          <w:p w14:paraId="7C78A031" w14:textId="77777777" w:rsidR="00D86D63" w:rsidRDefault="00223568">
            <w:pPr>
              <w:pStyle w:val="Compact"/>
            </w:pPr>
            <w:r>
              <w:t>Description</w:t>
            </w:r>
          </w:p>
        </w:tc>
      </w:tr>
      <w:tr w:rsidR="00D86D63" w14:paraId="749912BD" w14:textId="77777777">
        <w:tc>
          <w:tcPr>
            <w:tcW w:w="1712" w:type="dxa"/>
          </w:tcPr>
          <w:p w14:paraId="1C02FE5F" w14:textId="77777777" w:rsidR="00D86D63" w:rsidRDefault="00223568">
            <w:pPr>
              <w:pStyle w:val="Compact"/>
            </w:pPr>
            <w:r>
              <w:t xml:space="preserve">Payroll Provider </w:t>
            </w:r>
            <w:r>
              <w:rPr>
                <w:i/>
                <w:iCs/>
              </w:rPr>
              <w:t>p</w:t>
            </w:r>
            <w:r>
              <w:t xml:space="preserve"> National Index</w:t>
            </w:r>
          </w:p>
        </w:tc>
        <w:tc>
          <w:tcPr>
            <w:tcW w:w="2033" w:type="dxa"/>
          </w:tcPr>
          <w:p w14:paraId="39E53085" w14:textId="77777777" w:rsidR="00D86D63" w:rsidRDefault="00223568">
            <w:pPr>
              <w:pStyle w:val="Compact"/>
            </w:pPr>
            <w:r>
              <w:t>Monthly</w:t>
            </w:r>
          </w:p>
        </w:tc>
        <w:tc>
          <w:tcPr>
            <w:tcW w:w="1712" w:type="dxa"/>
          </w:tcPr>
          <w:p w14:paraId="28832606" w14:textId="77777777" w:rsidR="00D86D63" w:rsidRDefault="00223568">
            <w:pPr>
              <w:pStyle w:val="Compact"/>
            </w:pPr>
            <w:r>
              <w:t>Real-time (~Jan 1 for prior month)</w:t>
            </w:r>
          </w:p>
        </w:tc>
        <w:tc>
          <w:tcPr>
            <w:tcW w:w="2461" w:type="dxa"/>
          </w:tcPr>
          <w:p w14:paraId="4A568780" w14:textId="77777777" w:rsidR="00D86D63" w:rsidRDefault="00223568">
            <w:pPr>
              <w:pStyle w:val="Compact"/>
            </w:pPr>
            <w:r>
              <w:t>Continuing-units employment growth from rotating, frozen measurement panel (stabilized clients only; exits removed without counting as job loss).</w:t>
            </w:r>
          </w:p>
        </w:tc>
      </w:tr>
      <w:tr w:rsidR="00D86D63" w14:paraId="3236A94C" w14:textId="77777777">
        <w:tc>
          <w:tcPr>
            <w:tcW w:w="1712" w:type="dxa"/>
          </w:tcPr>
          <w:p w14:paraId="2F70C350" w14:textId="77777777" w:rsidR="00D86D63" w:rsidRDefault="00223568">
            <w:pPr>
              <w:pStyle w:val="Compact"/>
            </w:pPr>
            <w:r>
              <w:t>CES National (SA)</w:t>
            </w:r>
          </w:p>
        </w:tc>
        <w:tc>
          <w:tcPr>
            <w:tcW w:w="2033" w:type="dxa"/>
          </w:tcPr>
          <w:p w14:paraId="1401A80F" w14:textId="77777777" w:rsidR="00D86D63" w:rsidRDefault="00223568">
            <w:pPr>
              <w:pStyle w:val="Compact"/>
            </w:pPr>
            <w:r>
              <w:t>Monthly</w:t>
            </w:r>
          </w:p>
        </w:tc>
        <w:tc>
          <w:tcPr>
            <w:tcW w:w="1712" w:type="dxa"/>
          </w:tcPr>
          <w:p w14:paraId="1E9912AE" w14:textId="77777777" w:rsidR="00D86D63" w:rsidRDefault="00223568">
            <w:pPr>
              <w:pStyle w:val="Compact"/>
            </w:pPr>
            <w:r>
              <w:t>~3 weeks (1st print), +1mo (2nd), +2mo (3rd)</w:t>
            </w:r>
          </w:p>
        </w:tc>
        <w:tc>
          <w:tcPr>
            <w:tcW w:w="2461" w:type="dxa"/>
          </w:tcPr>
          <w:p w14:paraId="716E5EC5" w14:textId="77777777" w:rsidR="00D86D63" w:rsidRDefault="00223568">
            <w:pPr>
              <w:pStyle w:val="Compact"/>
            </w:pPr>
            <w:r>
              <w:t>BLS CES seasonally adjusted total private nonfarm. Three vintages with declining noise.</w:t>
            </w:r>
          </w:p>
        </w:tc>
      </w:tr>
      <w:tr w:rsidR="00D86D63" w14:paraId="6FD50678" w14:textId="77777777">
        <w:tc>
          <w:tcPr>
            <w:tcW w:w="1712" w:type="dxa"/>
          </w:tcPr>
          <w:p w14:paraId="76099A81" w14:textId="77777777" w:rsidR="00D86D63" w:rsidRDefault="00223568">
            <w:pPr>
              <w:pStyle w:val="Compact"/>
            </w:pPr>
            <w:r>
              <w:t>CES National (NSA)</w:t>
            </w:r>
          </w:p>
        </w:tc>
        <w:tc>
          <w:tcPr>
            <w:tcW w:w="2033" w:type="dxa"/>
          </w:tcPr>
          <w:p w14:paraId="69793528" w14:textId="77777777" w:rsidR="00D86D63" w:rsidRDefault="00223568">
            <w:pPr>
              <w:pStyle w:val="Compact"/>
            </w:pPr>
            <w:r>
              <w:t>Monthly</w:t>
            </w:r>
          </w:p>
        </w:tc>
        <w:tc>
          <w:tcPr>
            <w:tcW w:w="1712" w:type="dxa"/>
          </w:tcPr>
          <w:p w14:paraId="69F927C1" w14:textId="77777777" w:rsidR="00D86D63" w:rsidRDefault="00223568">
            <w:pPr>
              <w:pStyle w:val="Compact"/>
            </w:pPr>
            <w:r>
              <w:t>Same vintage schedule</w:t>
            </w:r>
          </w:p>
        </w:tc>
        <w:tc>
          <w:tcPr>
            <w:tcW w:w="2461" w:type="dxa"/>
          </w:tcPr>
          <w:p w14:paraId="16770A5B" w14:textId="77777777" w:rsidR="00D86D63" w:rsidRDefault="00223568">
            <w:pPr>
              <w:pStyle w:val="Compact"/>
            </w:pPr>
            <w:r>
              <w:t>BLS CES not seasonally adjusted.</w:t>
            </w:r>
          </w:p>
        </w:tc>
      </w:tr>
      <w:tr w:rsidR="00D86D63" w14:paraId="1C754470" w14:textId="77777777">
        <w:tc>
          <w:tcPr>
            <w:tcW w:w="1712" w:type="dxa"/>
          </w:tcPr>
          <w:p w14:paraId="5A661963" w14:textId="77777777" w:rsidR="00D86D63" w:rsidRDefault="00223568">
            <w:pPr>
              <w:pStyle w:val="Compact"/>
            </w:pPr>
            <w:r>
              <w:t>QCEW National</w:t>
            </w:r>
          </w:p>
        </w:tc>
        <w:tc>
          <w:tcPr>
            <w:tcW w:w="2033" w:type="dxa"/>
          </w:tcPr>
          <w:p w14:paraId="19E8C51B" w14:textId="77777777" w:rsidR="00D86D63" w:rsidRDefault="00223568">
            <w:pPr>
              <w:pStyle w:val="Compact"/>
            </w:pPr>
            <w:r>
              <w:t>Quarterly (3 months)</w:t>
            </w:r>
          </w:p>
        </w:tc>
        <w:tc>
          <w:tcPr>
            <w:tcW w:w="1712" w:type="dxa"/>
          </w:tcPr>
          <w:p w14:paraId="11DE63FE" w14:textId="77777777" w:rsidR="00D86D63" w:rsidRDefault="00223568">
            <w:pPr>
              <w:pStyle w:val="Compact"/>
            </w:pPr>
            <w:r>
              <w:t>~5–6 months</w:t>
            </w:r>
          </w:p>
        </w:tc>
        <w:tc>
          <w:tcPr>
            <w:tcW w:w="2461" w:type="dxa"/>
          </w:tcPr>
          <w:p w14:paraId="1BAED02E" w14:textId="77777777" w:rsidR="00D86D63" w:rsidRDefault="00223568">
            <w:pPr>
              <w:pStyle w:val="Compact"/>
            </w:pPr>
            <w:r>
              <w:t>Near-census total employment. M3 contemporaneous; M1–M2 retrospective.</w:t>
            </w:r>
          </w:p>
        </w:tc>
      </w:tr>
      <w:tr w:rsidR="00D86D63" w14:paraId="5E90D10A" w14:textId="77777777">
        <w:tc>
          <w:tcPr>
            <w:tcW w:w="1712" w:type="dxa"/>
          </w:tcPr>
          <w:p w14:paraId="59CF3A5A" w14:textId="77777777" w:rsidR="00D86D63" w:rsidRDefault="00223568">
            <w:pPr>
              <w:pStyle w:val="Compact"/>
            </w:pPr>
            <w:r>
              <w:lastRenderedPageBreak/>
              <w:t>Cyclical Indicators</w:t>
            </w:r>
          </w:p>
        </w:tc>
        <w:tc>
          <w:tcPr>
            <w:tcW w:w="2033" w:type="dxa"/>
          </w:tcPr>
          <w:p w14:paraId="7DFE7B56" w14:textId="77777777" w:rsidR="00D86D63" w:rsidRDefault="00223568">
            <w:pPr>
              <w:pStyle w:val="Compact"/>
            </w:pPr>
            <w:r>
              <w:t>Monthly</w:t>
            </w:r>
          </w:p>
        </w:tc>
        <w:tc>
          <w:tcPr>
            <w:tcW w:w="1712" w:type="dxa"/>
          </w:tcPr>
          <w:p w14:paraId="26CEA0FC" w14:textId="77777777" w:rsidR="00D86D63" w:rsidRDefault="00223568">
            <w:pPr>
              <w:pStyle w:val="Compact"/>
            </w:pPr>
            <w:r>
              <w:t>Real-time</w:t>
            </w:r>
          </w:p>
        </w:tc>
        <w:tc>
          <w:tcPr>
            <w:tcW w:w="2461" w:type="dxa"/>
          </w:tcPr>
          <w:p w14:paraId="60029812" w14:textId="77777777" w:rsidR="00D86D63" w:rsidRDefault="00223568">
            <w:pPr>
              <w:pStyle w:val="Compact"/>
            </w:pPr>
            <w:r>
              <w:t>Unemployment claims, financial conditions, Census business applications.</w:t>
            </w:r>
          </w:p>
        </w:tc>
      </w:tr>
      <w:tr w:rsidR="00D86D63" w14:paraId="200929FF" w14:textId="77777777">
        <w:tc>
          <w:tcPr>
            <w:tcW w:w="1712" w:type="dxa"/>
          </w:tcPr>
          <w:p w14:paraId="74B0590D" w14:textId="77777777" w:rsidR="00D86D63" w:rsidRDefault="00223568">
            <w:pPr>
              <w:pStyle w:val="Compact"/>
            </w:pPr>
            <w:r>
              <w:t>Provider Birth Rates</w:t>
            </w:r>
          </w:p>
        </w:tc>
        <w:tc>
          <w:tcPr>
            <w:tcW w:w="2033" w:type="dxa"/>
          </w:tcPr>
          <w:p w14:paraId="2C55418F" w14:textId="77777777" w:rsidR="00D86D63" w:rsidRDefault="00223568">
            <w:pPr>
              <w:pStyle w:val="Compact"/>
            </w:pPr>
            <w:r>
              <w:t>Monthly</w:t>
            </w:r>
          </w:p>
        </w:tc>
        <w:tc>
          <w:tcPr>
            <w:tcW w:w="1712" w:type="dxa"/>
          </w:tcPr>
          <w:p w14:paraId="5DC0CBC3" w14:textId="77777777" w:rsidR="00D86D63" w:rsidRDefault="00223568">
            <w:pPr>
              <w:pStyle w:val="Compact"/>
            </w:pPr>
            <w:r>
              <w:t>Real-time</w:t>
            </w:r>
          </w:p>
        </w:tc>
        <w:tc>
          <w:tcPr>
            <w:tcW w:w="2461" w:type="dxa"/>
          </w:tcPr>
          <w:p w14:paraId="4855D640" w14:textId="77777777" w:rsidR="00D86D63" w:rsidRDefault="00223568">
            <w:pPr>
              <w:pStyle w:val="Compact"/>
            </w:pPr>
            <w:r>
              <w:t>New-client formation rates from payroll providers that report this signal.</w:t>
            </w:r>
          </w:p>
        </w:tc>
      </w:tr>
      <w:tr w:rsidR="00D86D63" w14:paraId="61E9ABA8" w14:textId="77777777">
        <w:tc>
          <w:tcPr>
            <w:tcW w:w="1712" w:type="dxa"/>
          </w:tcPr>
          <w:p w14:paraId="1A9CDFD3" w14:textId="77777777" w:rsidR="00D86D63" w:rsidRDefault="00223568">
            <w:pPr>
              <w:pStyle w:val="Compact"/>
            </w:pPr>
            <w:r>
              <w:t>QCEW Birth/Death Proxy</w:t>
            </w:r>
          </w:p>
        </w:tc>
        <w:tc>
          <w:tcPr>
            <w:tcW w:w="2033" w:type="dxa"/>
          </w:tcPr>
          <w:p w14:paraId="0F43605F" w14:textId="77777777" w:rsidR="00D86D63" w:rsidRDefault="00223568">
            <w:pPr>
              <w:pStyle w:val="Compact"/>
            </w:pPr>
            <w:r>
              <w:t>Quarterly</w:t>
            </w:r>
          </w:p>
        </w:tc>
        <w:tc>
          <w:tcPr>
            <w:tcW w:w="1712" w:type="dxa"/>
          </w:tcPr>
          <w:p w14:paraId="26D4D143" w14:textId="77777777" w:rsidR="00D86D63" w:rsidRDefault="00223568">
            <w:pPr>
              <w:pStyle w:val="Compact"/>
            </w:pPr>
            <w:r>
              <w:t>~5–6 months</w:t>
            </w:r>
          </w:p>
        </w:tc>
        <w:tc>
          <w:tcPr>
            <w:tcW w:w="2461" w:type="dxa"/>
          </w:tcPr>
          <w:p w14:paraId="4D6CCC62" w14:textId="77777777" w:rsidR="00D86D63" w:rsidRDefault="00223568">
            <w:pPr>
              <w:pStyle w:val="Compact"/>
            </w:pPr>
            <m:oMath>
              <m:sSup>
                <m:sSupPr>
                  <m:ctrlPr>
                    <w:rPr>
                      <w:rFonts w:ascii="Cambria Math" w:hAnsi="Cambria Math"/>
                    </w:rPr>
                  </m:ctrlPr>
                </m:sSupPr>
                <m:e>
                  <m:r>
                    <w:rPr>
                      <w:rFonts w:ascii="Cambria Math" w:hAnsi="Cambria Math"/>
                    </w:rPr>
                    <m:t>g</m:t>
                  </m:r>
                </m:e>
                <m:sup>
                  <m:r>
                    <w:rPr>
                      <w:rFonts w:ascii="Cambria Math" w:hAnsi="Cambria Math"/>
                    </w:rPr>
                    <m:t>QCEW</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PP</m:t>
                  </m:r>
                </m:sup>
              </m:sSup>
            </m:oMath>
            <w:r>
              <w:t>: QCEW growth minus mean provider growth (approximates actual BD).</w:t>
            </w:r>
          </w:p>
        </w:tc>
      </w:tr>
    </w:tbl>
    <w:p w14:paraId="5C6B46FD" w14:textId="77777777" w:rsidR="00D86D63" w:rsidRDefault="00223568">
      <w:pPr>
        <w:pStyle w:val="Heading3"/>
      </w:pPr>
      <w:bookmarkStart w:id="8" w:name="Xf83dcc8234b6124277edc974d669334191a55b5"/>
      <w:bookmarkEnd w:id="7"/>
      <w:r>
        <w:t>Provider Series Construction: Rotating, Frozen Measurement Panel</w:t>
      </w:r>
    </w:p>
    <w:p w14:paraId="1A8F3486" w14:textId="77777777" w:rsidR="00D86D63" w:rsidRDefault="00223568">
      <w:pPr>
        <w:pStyle w:val="FirstParagraph"/>
      </w:pPr>
      <w:r>
        <w:t>Payroll-provider observations are explicitly interpreted as continuing-units (intensive-margin) employment change. Accordingly, each provider’s input series is constructed using a rotating, frozen measurement panel aligned to the CES reference week.</w:t>
      </w:r>
    </w:p>
    <w:p w14:paraId="02DEBFA4" w14:textId="77777777" w:rsidR="00D86D63" w:rsidRDefault="00223568">
      <w:pPr>
        <w:pStyle w:val="BodyText"/>
      </w:pPr>
      <w:r>
        <w:t xml:space="preserve">Let </w:t>
      </w:r>
      <m:oMath>
        <m:r>
          <w:rPr>
            <w:rFonts w:ascii="Cambria Math" w:hAnsi="Cambria Math"/>
          </w:rPr>
          <m:t>k</m:t>
        </m:r>
        <m:d>
          <m:dPr>
            <m:ctrlPr>
              <w:rPr>
                <w:rFonts w:ascii="Cambria Math" w:hAnsi="Cambria Math"/>
              </w:rPr>
            </m:ctrlPr>
          </m:dPr>
          <m:e>
            <m:r>
              <w:rPr>
                <w:rFonts w:ascii="Cambria Math" w:hAnsi="Cambria Math"/>
              </w:rPr>
              <m:t>t</m:t>
            </m:r>
          </m:e>
        </m:d>
      </m:oMath>
      <w:r>
        <w:t xml:space="preserve"> </w:t>
      </w:r>
      <w:r>
        <w:t xml:space="preserve">denote the active panel at time </w:t>
      </w:r>
      <m:oMath>
        <m:r>
          <w:rPr>
            <w:rFonts w:ascii="Cambria Math" w:hAnsi="Cambria Math"/>
          </w:rPr>
          <m:t>t</m:t>
        </m:r>
      </m:oMath>
      <w:r>
        <w:t xml:space="preserve">. The observed provider series </w:t>
      </w:r>
      <m:oMath>
        <m:sSub>
          <m:sSubPr>
            <m:ctrlPr>
              <w:rPr>
                <w:rFonts w:ascii="Cambria Math" w:hAnsi="Cambria Math"/>
              </w:rPr>
            </m:ctrlPr>
          </m:sSub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Sub>
      </m:oMath>
      <w:r>
        <w:t xml:space="preserve"> is the panel-based continuing-units growth signal. Within the frozen window, month-to-month growth is computed using matched client observations only. Clients that administratively exit the provider during the window are removed from the panel and do not contribute negative change.</w:t>
      </w:r>
    </w:p>
    <w:p w14:paraId="366AAA94" w14:textId="77777777" w:rsidR="00D86D63" w:rsidRDefault="00223568">
      <w:pPr>
        <w:pStyle w:val="BodyText"/>
      </w:pPr>
      <w:r>
        <w:t xml:space="preserve">Panel mechanics: at fixed refresh intervals (e.g., quarterly), define an eligible set of clients that have satisfied a stabilization rule (e.g., </w:t>
      </w:r>
      <m:oMath>
        <m:r>
          <m:rPr>
            <m:sty m:val="p"/>
          </m:rPr>
          <w:rPr>
            <w:rFonts w:ascii="Cambria Math" w:hAnsi="Cambria Math"/>
          </w:rPr>
          <m:t>≥</m:t>
        </m:r>
        <m:r>
          <w:rPr>
            <w:rFonts w:ascii="Cambria Math" w:hAnsi="Cambria Math"/>
          </w:rPr>
          <m:t>K</m:t>
        </m:r>
      </m:oMath>
      <w:r>
        <w:t xml:space="preserve"> consecutive reference periods or change-point-based stabilization). Freeze this set for the panel window; do not add new clients mid-window even if they become eligible later.</w:t>
      </w:r>
    </w:p>
    <w:p w14:paraId="351ECBDB" w14:textId="77777777" w:rsidR="00D86D63" w:rsidRDefault="00223568">
      <w:pPr>
        <w:pStyle w:val="BodyText"/>
      </w:pPr>
      <w:r>
        <w:t xml:space="preserve">This ensures that the provider likelihood loads on </w:t>
      </w:r>
      <m:oMath>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oMath>
      <w:r>
        <w:t xml:space="preserve"> and that administrative churn (client onboarding/offboarding) is excluded from the measurement equation rather than implicitly absorbed into the birth/death component.</w:t>
      </w:r>
    </w:p>
    <w:p w14:paraId="797F641A" w14:textId="77777777" w:rsidR="00D86D63" w:rsidRDefault="00223568">
      <w:pPr>
        <w:pStyle w:val="Heading3"/>
      </w:pPr>
      <w:bookmarkStart w:id="9" w:name="complete-model-specification"/>
      <w:bookmarkEnd w:id="8"/>
      <w:r>
        <w:t>Complete Model Specification</w:t>
      </w:r>
    </w:p>
    <w:p w14:paraId="27302797" w14:textId="77777777" w:rsidR="00D86D63" w:rsidRDefault="00223568">
      <w:pPr>
        <w:pStyle w:val="Heading4"/>
      </w:pPr>
      <w:bookmarkStart w:id="10" w:name="latent-state-continuing-units-growth"/>
      <w:r>
        <w:t>Latent State: Continuing-Units Growth</w:t>
      </w:r>
    </w:p>
    <w:p w14:paraId="7D6BA624" w14:textId="77777777" w:rsidR="00D86D63" w:rsidRDefault="00223568">
      <w:pPr>
        <w:pStyle w:val="FirstParagraph"/>
      </w:pPr>
      <w:r>
        <w:t>Continuing-units employment growth follows a mean-reverting AR(1):</w:t>
      </w:r>
    </w:p>
    <w:p w14:paraId="25D1AE90"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r>
            <w:rPr>
              <w:rFonts w:ascii="Cambria Math" w:hAnsi="Cambria Math"/>
            </w:rPr>
            <m:t>ϕ</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sub>
          </m:sSub>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78228AF9" w14:textId="77777777" w:rsidR="00D86D63" w:rsidRDefault="00223568">
      <w:pPr>
        <w:pStyle w:val="FirstParagraph"/>
      </w:pPr>
      <w:r>
        <w:t xml:space="preserve">Mean reversion is empirically supported: employment growth does not persist indefinitely in either direction. The AR(1) specification avoids unit-root drift over long samples while </w:t>
      </w:r>
      <w:r>
        <w:lastRenderedPageBreak/>
        <w:t xml:space="preserve">accommodating high persistence through </w:t>
      </w:r>
      <m:oMath>
        <m:r>
          <w:rPr>
            <w:rFonts w:ascii="Cambria Math" w:hAnsi="Cambria Math"/>
          </w:rPr>
          <m:t>ϕ</m:t>
        </m:r>
      </m:oMath>
      <w:r>
        <w:t xml:space="preserve">. Cajner et al. (2019) estimated </w:t>
      </w:r>
      <m:oMath>
        <m:r>
          <w:rPr>
            <w:rFonts w:ascii="Cambria Math" w:hAnsi="Cambria Math"/>
          </w:rPr>
          <m:t>ρ</m:t>
        </m:r>
        <m:r>
          <m:rPr>
            <m:sty m:val="p"/>
          </m:rPr>
          <w:rPr>
            <w:rFonts w:ascii="Cambria Math" w:hAnsi="Cambria Math"/>
          </w:rPr>
          <m:t>≈</m:t>
        </m:r>
        <m:r>
          <w:rPr>
            <w:rFonts w:ascii="Cambria Math" w:hAnsi="Cambria Math"/>
          </w:rPr>
          <m:t>0.96</m:t>
        </m:r>
      </m:oMath>
      <w:r>
        <w:t xml:space="preserve"> on monthly employment changes, consistent with near-unit-root but stationary dynamics.</w:t>
      </w:r>
    </w:p>
    <w:p w14:paraId="603A694B" w14:textId="77777777" w:rsidR="00D86D63" w:rsidRDefault="00223568">
      <w:pPr>
        <w:pStyle w:val="Heading4"/>
      </w:pPr>
      <w:bookmarkStart w:id="11" w:name="structural-birthdeath"/>
      <w:bookmarkEnd w:id="10"/>
      <w:r>
        <w:t>Structural Birth/Death</w:t>
      </w:r>
    </w:p>
    <w:p w14:paraId="3BE63F3C" w14:textId="77777777" w:rsidR="00D86D63" w:rsidRDefault="00223568">
      <w:pPr>
        <w:pStyle w:val="FirstParagraph"/>
      </w:pPr>
      <w:r>
        <w:t>Total employment growth decomposes into continuing-units growth and a birth/death offset:</w:t>
      </w:r>
    </w:p>
    <w:p w14:paraId="0B14A43C"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31ED578E" w14:textId="77777777" w:rsidR="00D86D63" w:rsidRDefault="00223568">
      <w:pPr>
        <w:pStyle w:val="FirstParagraph"/>
      </w:pPr>
      <w:r>
        <w:t>The birth/death component captures net establishment entry minus exit — the systematic gap between what payroll providers measure (continuing units) and what official NFP reports (total employment including births and deaths).</w:t>
      </w:r>
    </w:p>
    <w:p w14:paraId="7944C08B" w14:textId="77777777" w:rsidR="00D86D63" w:rsidRDefault="00223568">
      <w:pPr>
        <w:pStyle w:val="BodyText"/>
      </w:pPr>
      <w:r>
        <w:t>The BD component is modeled as a time-varying structural process combining supply-side and demand-side information:</w:t>
      </w:r>
    </w:p>
    <w:p w14:paraId="5D9B8C28" w14:textId="77777777" w:rsidR="00D86D63" w:rsidRDefault="00223568">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birt</m:t>
              </m:r>
              <m:r>
                <w:rPr>
                  <w:rFonts w:ascii="Cambria Math" w:hAnsi="Cambria Math"/>
                </w:rPr>
                <m:t>h</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L</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cycle</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BD</m:t>
              </m:r>
            </m:sub>
          </m:sSub>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335CB785" w14:textId="77777777" w:rsidR="00D86D63" w:rsidRDefault="00223568">
      <w:pPr>
        <w:pStyle w:val="FirstParagraph"/>
      </w:pPr>
      <w:r>
        <w:t>where:</w:t>
      </w:r>
    </w:p>
    <w:p w14:paraId="06F92CC1" w14:textId="77777777" w:rsidR="00D86D63" w:rsidRDefault="00223568">
      <w:pPr>
        <w:pStyle w:val="Compact"/>
        <w:numPr>
          <w:ilvl w:val="0"/>
          <w:numId w:val="3"/>
        </w:numPr>
      </w:pP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birt</m:t>
            </m:r>
            <m:r>
              <w:rPr>
                <w:rFonts w:ascii="Cambria Math" w:hAnsi="Cambria Math"/>
              </w:rPr>
              <m:t>h</m:t>
            </m:r>
          </m:sup>
        </m:sSubSup>
      </m:oMath>
      <w:r>
        <w:t xml:space="preserve"> is the centered composite provider birth rate (averaged across providers that report it; centered so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absorbs the mean)</w:t>
      </w:r>
    </w:p>
    <w:p w14:paraId="2036ADE0" w14:textId="77777777" w:rsidR="00D86D63" w:rsidRDefault="00223568">
      <w:pPr>
        <w:pStyle w:val="Compact"/>
        <w:numPr>
          <w:ilvl w:val="0"/>
          <w:numId w:val="3"/>
        </w:numPr>
      </w:pPr>
      <m:oMath>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L</m:t>
            </m:r>
          </m:sub>
          <m:sup>
            <m:r>
              <w:rPr>
                <w:rFonts w:ascii="Cambria Math" w:hAnsi="Cambria Math"/>
              </w:rPr>
              <m:t>QCEW</m:t>
            </m:r>
          </m:sup>
        </m:sSubSup>
      </m:oMath>
      <w:r>
        <w:t xml:space="preserve"> is the centered QCEW-based BD proxy (</w:t>
      </w:r>
      <m:oMath>
        <m:sSup>
          <m:sSupPr>
            <m:ctrlPr>
              <w:rPr>
                <w:rFonts w:ascii="Cambria Math" w:hAnsi="Cambria Math"/>
              </w:rPr>
            </m:ctrlPr>
          </m:sSupPr>
          <m:e>
            <m:r>
              <w:rPr>
                <w:rFonts w:ascii="Cambria Math" w:hAnsi="Cambria Math"/>
              </w:rPr>
              <m:t>g</m:t>
            </m:r>
          </m:e>
          <m:sup>
            <m:r>
              <w:rPr>
                <w:rFonts w:ascii="Cambria Math" w:hAnsi="Cambria Math"/>
              </w:rPr>
              <m:t>QCEW</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PP</m:t>
            </m:r>
          </m:sup>
        </m:sSup>
      </m:oMath>
      <w:r>
        <w:t xml:space="preserve">), lagged by </w:t>
      </w:r>
      <m:oMath>
        <m:r>
          <w:rPr>
            <w:rFonts w:ascii="Cambria Math" w:hAnsi="Cambria Math"/>
          </w:rPr>
          <m:t>L</m:t>
        </m:r>
        <m:r>
          <m:rPr>
            <m:sty m:val="p"/>
          </m:rPr>
          <w:rPr>
            <w:rFonts w:ascii="Cambria Math" w:hAnsi="Cambria Math"/>
          </w:rPr>
          <m:t>=</m:t>
        </m:r>
        <m:r>
          <w:rPr>
            <w:rFonts w:ascii="Cambria Math" w:hAnsi="Cambria Math"/>
          </w:rPr>
          <m:t>6</m:t>
        </m:r>
      </m:oMath>
      <w:r>
        <w:t xml:space="preserve"> months (QCEW publication delay)</w:t>
      </w:r>
    </w:p>
    <w:p w14:paraId="6CB921F8" w14:textId="77777777" w:rsidR="00D86D63" w:rsidRDefault="00223568">
      <w:pPr>
        <w:pStyle w:val="Compact"/>
        <w:numPr>
          <w:ilvl w:val="0"/>
          <w:numId w:val="3"/>
        </w:numPr>
      </w:pP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cycle</m:t>
            </m:r>
          </m:sup>
        </m:sSubSup>
      </m:oMath>
      <w:r>
        <w:t xml:space="preserve"> is a vector of centered cyclical indicators (unemployment claims, financial conditions index, Census business application data)</w:t>
      </w:r>
    </w:p>
    <w:p w14:paraId="15591EC2" w14:textId="77777777" w:rsidR="00D86D63" w:rsidRDefault="00223568">
      <w:pPr>
        <w:pStyle w:val="Compact"/>
        <w:numPr>
          <w:ilvl w:val="0"/>
          <w:numId w:val="3"/>
        </w:numPr>
      </w:pP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represents mean BD contribution at average covariate values</w:t>
      </w:r>
    </w:p>
    <w:p w14:paraId="16FDAF1A" w14:textId="77777777" w:rsidR="00D86D63" w:rsidRDefault="00223568">
      <w:pPr>
        <w:pStyle w:val="FirstParagraph"/>
      </w:pPr>
      <w:r>
        <w:t xml:space="preserve">Where covariates are unavailable (early sample, nowcast horizon, missing provider birth rate data), centered covariate values are set to zero and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collapses gracefully to </w:t>
      </w:r>
      <m:oMath>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BD</m:t>
            </m:r>
          </m:sub>
        </m:sSub>
        <m:sSub>
          <m:sSubPr>
            <m:ctrlPr>
              <w:rPr>
                <w:rFonts w:ascii="Cambria Math" w:hAnsi="Cambria Math"/>
              </w:rPr>
            </m:ctrlPr>
          </m:sSubPr>
          <m:e>
            <m:r>
              <w:rPr>
                <w:rFonts w:ascii="Cambria Math" w:hAnsi="Cambria Math"/>
              </w:rPr>
              <m:t>ξ</m:t>
            </m:r>
          </m:e>
          <m:sub>
            <m:r>
              <w:rPr>
                <w:rFonts w:ascii="Cambria Math" w:hAnsi="Cambria Math"/>
              </w:rPr>
              <m:t>t</m:t>
            </m:r>
          </m:sub>
        </m:sSub>
      </m:oMath>
      <w:r>
        <w:t>.</w:t>
      </w:r>
    </w:p>
    <w:p w14:paraId="1D333BE2" w14:textId="77777777" w:rsidR="00D86D63" w:rsidRDefault="00223568">
      <w:pPr>
        <w:pStyle w:val="BodyText"/>
      </w:pPr>
      <w:r>
        <w:t>The provider birth rate captures supply-side formation dynamics observed in real time. The QCEW proxy anchors BD to census-quality data with a lag. Cyclical indicators capture demand-side forces that drive BD at turning points — the primary source of systematic CES error.</w:t>
      </w:r>
    </w:p>
    <w:p w14:paraId="518D12DC" w14:textId="77777777" w:rsidR="00D86D63" w:rsidRDefault="00223568">
      <w:pPr>
        <w:pStyle w:val="Heading4"/>
      </w:pPr>
      <w:bookmarkStart w:id="12" w:name="X36a0e6d21d2849b099ac53c8a82f222d5bfb248"/>
      <w:bookmarkEnd w:id="11"/>
      <w:r>
        <w:t>Seasonality: Truncated Fourier Expansion with Time-Varying Amplitude</w:t>
      </w:r>
    </w:p>
    <w:p w14:paraId="2C195FE2" w14:textId="77777777" w:rsidR="00D86D63" w:rsidRDefault="00223568">
      <w:pPr>
        <w:pStyle w:val="FirstParagraph"/>
      </w:pPr>
      <w:r>
        <w:t xml:space="preserve">Employment seasonality is modeled as a truncated Fourier expansion with </w:t>
      </w:r>
      <m:oMath>
        <m:r>
          <w:rPr>
            <w:rFonts w:ascii="Cambria Math" w:hAnsi="Cambria Math"/>
          </w:rPr>
          <m:t>K</m:t>
        </m:r>
      </m:oMath>
      <w:r>
        <w:t xml:space="preserve"> harmonics and annually-evolving amplitudes:</w:t>
      </w:r>
    </w:p>
    <w:p w14:paraId="64803266"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e>
                  </m:d>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πk</m:t>
                          </m:r>
                          <m:r>
                            <w:rPr>
                              <w:rFonts w:ascii="Cambria Math" w:hAnsi="Cambria Math"/>
                            </w:rPr>
                            <m:t> </m:t>
                          </m:r>
                          <m:r>
                            <w:rPr>
                              <w:rFonts w:ascii="Cambria Math" w:hAnsi="Cambria Math"/>
                            </w:rPr>
                            <m:t>m</m:t>
                          </m:r>
                          <m:d>
                            <m:dPr>
                              <m:ctrlPr>
                                <w:rPr>
                                  <w:rFonts w:ascii="Cambria Math" w:hAnsi="Cambria Math"/>
                                </w:rPr>
                              </m:ctrlPr>
                            </m:dPr>
                            <m:e>
                              <m:r>
                                <w:rPr>
                                  <w:rFonts w:ascii="Cambria Math" w:hAnsi="Cambria Math"/>
                                </w:rPr>
                                <m:t>t</m:t>
                              </m:r>
                            </m:e>
                          </m:d>
                        </m:num>
                        <m:den>
                          <m:r>
                            <w:rPr>
                              <w:rFonts w:ascii="Cambria Math" w:hAnsi="Cambria Math"/>
                            </w:rPr>
                            <m:t>12</m:t>
                          </m:r>
                        </m:den>
                      </m:f>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e>
                  </m:d>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πk</m:t>
                          </m:r>
                          <m:r>
                            <w:rPr>
                              <w:rFonts w:ascii="Cambria Math" w:hAnsi="Cambria Math"/>
                            </w:rPr>
                            <m:t> </m:t>
                          </m:r>
                          <m:r>
                            <w:rPr>
                              <w:rFonts w:ascii="Cambria Math" w:hAnsi="Cambria Math"/>
                            </w:rPr>
                            <m:t>m</m:t>
                          </m:r>
                          <m:d>
                            <m:dPr>
                              <m:ctrlPr>
                                <w:rPr>
                                  <w:rFonts w:ascii="Cambria Math" w:hAnsi="Cambria Math"/>
                                </w:rPr>
                              </m:ctrlPr>
                            </m:dPr>
                            <m:e>
                              <m:r>
                                <w:rPr>
                                  <w:rFonts w:ascii="Cambria Math" w:hAnsi="Cambria Math"/>
                                </w:rPr>
                                <m:t>t</m:t>
                              </m:r>
                            </m:e>
                          </m:d>
                        </m:num>
                        <m:den>
                          <m:r>
                            <w:rPr>
                              <w:rFonts w:ascii="Cambria Math" w:hAnsi="Cambria Math"/>
                            </w:rPr>
                            <m:t>12</m:t>
                          </m:r>
                        </m:den>
                      </m:f>
                    </m:e>
                  </m:d>
                </m:e>
              </m:d>
            </m:e>
          </m:nary>
        </m:oMath>
      </m:oMathPara>
    </w:p>
    <w:p w14:paraId="251A4FF8" w14:textId="77777777" w:rsidR="00D86D63" w:rsidRDefault="00223568">
      <w:pPr>
        <w:pStyle w:val="FirstParagraph"/>
      </w:pPr>
      <w:r>
        <w:t xml:space="preserve">where </w:t>
      </w:r>
      <m:oMath>
        <m:r>
          <w:rPr>
            <w:rFonts w:ascii="Cambria Math" w:hAnsi="Cambria Math"/>
          </w:rPr>
          <m:t>m</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r>
          <m:rPr>
            <m:sty m:val="p"/>
          </m:rPr>
          <w:rPr>
            <w:rFonts w:ascii="Cambria Math" w:hAnsi="Cambria Math"/>
          </w:rPr>
          <m:t>}</m:t>
        </m:r>
      </m:oMath>
      <w:r>
        <w:t xml:space="preserve"> is the month index and </w:t>
      </w:r>
      <m:oMath>
        <m:r>
          <w:rPr>
            <w:rFonts w:ascii="Cambria Math" w:hAnsi="Cambria Math"/>
          </w:rPr>
          <m:t>y</m:t>
        </m:r>
        <m:d>
          <m:dPr>
            <m:ctrlPr>
              <w:rPr>
                <w:rFonts w:ascii="Cambria Math" w:hAnsi="Cambria Math"/>
              </w:rPr>
            </m:ctrlPr>
          </m:dPr>
          <m:e>
            <m:r>
              <w:rPr>
                <w:rFonts w:ascii="Cambria Math" w:hAnsi="Cambria Math"/>
              </w:rPr>
              <m:t>t</m:t>
            </m:r>
          </m:e>
        </m:d>
      </m:oMath>
      <w:r>
        <w:t xml:space="preserve"> is the year index.</w:t>
      </w:r>
    </w:p>
    <w:p w14:paraId="7D7A998F" w14:textId="77777777" w:rsidR="00D86D63" w:rsidRDefault="00223568">
      <w:pPr>
        <w:pStyle w:val="BodyText"/>
      </w:pPr>
      <w:r>
        <w:lastRenderedPageBreak/>
        <w:t>The Fourier coefficients evolve annually via Gaussian random walks:</w:t>
      </w:r>
    </w:p>
    <w:p w14:paraId="6361F331"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3FBB7C63"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169FB6C9" w14:textId="77777777" w:rsidR="00D86D63" w:rsidRDefault="00223568">
      <w:pPr>
        <w:pStyle w:val="FirstParagraph"/>
      </w:pPr>
      <w:r>
        <w:t xml:space="preserve">Annual-step drift is preferred over monthly drift. The model asks “how did this year’s seasonal pattern differ from last year’s?” without confounding seasonal evolution with the latent state dynamics. The innovation variance </w:t>
      </w:r>
      <m:oMath>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oMath>
      <w:r>
        <w:t xml:space="preserve"> decreases with harmonic number, reflecting the prior that broad seasonal swings (annual cycle) evolve more than fine-grained higher-frequency artifacts.</w:t>
      </w:r>
    </w:p>
    <w:p w14:paraId="0834082D" w14:textId="77777777" w:rsidR="00D86D63" w:rsidRDefault="00223568">
      <w:pPr>
        <w:pStyle w:val="BodyText"/>
      </w:pPr>
      <w:r>
        <w:t xml:space="preserve">With </w:t>
      </w:r>
      <m:oMath>
        <m:r>
          <w:rPr>
            <w:rFonts w:ascii="Cambria Math" w:hAnsi="Cambria Math"/>
          </w:rPr>
          <m:t>K</m:t>
        </m:r>
        <m:r>
          <m:rPr>
            <m:sty m:val="p"/>
          </m:rPr>
          <w:rPr>
            <w:rFonts w:ascii="Cambria Math" w:hAnsi="Cambria Math"/>
          </w:rPr>
          <m:t>=</m:t>
        </m:r>
        <m:r>
          <w:rPr>
            <w:rFonts w:ascii="Cambria Math" w:hAnsi="Cambria Math"/>
          </w:rPr>
          <m:t>3</m:t>
        </m:r>
      </m:oMath>
      <w:r>
        <w:t xml:space="preserve"> or </w:t>
      </w:r>
      <m:oMath>
        <m:r>
          <w:rPr>
            <w:rFonts w:ascii="Cambria Math" w:hAnsi="Cambria Math"/>
          </w:rPr>
          <m:t>K</m:t>
        </m:r>
        <m:r>
          <m:rPr>
            <m:sty m:val="p"/>
          </m:rPr>
          <w:rPr>
            <w:rFonts w:ascii="Cambria Math" w:hAnsi="Cambria Math"/>
          </w:rPr>
          <m:t>=</m:t>
        </m:r>
        <m:r>
          <w:rPr>
            <w:rFonts w:ascii="Cambria Math" w:hAnsi="Cambria Math"/>
          </w:rPr>
          <m:t>4</m:t>
        </m:r>
      </m:oMath>
      <w:r>
        <w:t xml:space="preserve">, the expansion uses </w:t>
      </w:r>
      <m:oMath>
        <m:r>
          <w:rPr>
            <w:rFonts w:ascii="Cambria Math" w:hAnsi="Cambria Math"/>
          </w:rPr>
          <m:t>2</m:t>
        </m:r>
        <m:r>
          <w:rPr>
            <w:rFonts w:ascii="Cambria Math" w:hAnsi="Cambria Math"/>
          </w:rPr>
          <m:t>K</m:t>
        </m:r>
        <m:r>
          <m:rPr>
            <m:sty m:val="p"/>
          </m:rPr>
          <w:rPr>
            <w:rFonts w:ascii="Cambria Math" w:hAnsi="Cambria Math"/>
          </w:rPr>
          <m:t>=</m:t>
        </m:r>
        <m:r>
          <w:rPr>
            <w:rFonts w:ascii="Cambria Math" w:hAnsi="Cambria Math"/>
          </w:rPr>
          <m:t>6</m:t>
        </m:r>
      </m:oMath>
      <w:r>
        <w:t xml:space="preserve"> or </w:t>
      </w:r>
      <m:oMath>
        <m:r>
          <w:rPr>
            <w:rFonts w:ascii="Cambria Math" w:hAnsi="Cambria Math"/>
          </w:rPr>
          <m:t>8</m:t>
        </m:r>
      </m:oMath>
      <w:r>
        <w:t xml:space="preserve"> free parameters per year (versus 11 for unconstrained monthly effects) while capturing the dominant patterns: annual cycle (spring hiring, holiday retail), semi-annual, and quarterly.</w:t>
      </w:r>
    </w:p>
    <w:p w14:paraId="4F2A60F1" w14:textId="77777777" w:rsidR="00D86D63" w:rsidRDefault="00223568">
      <w:pPr>
        <w:pStyle w:val="Heading4"/>
      </w:pPr>
      <w:bookmarkStart w:id="13" w:name="composite-growth-signals"/>
      <w:bookmarkEnd w:id="12"/>
      <w:r>
        <w:t>Composite Growth Signals</w:t>
      </w:r>
    </w:p>
    <w:p w14:paraId="27D5D90A" w14:textId="77777777" w:rsidR="00D86D63" w:rsidRDefault="00223568">
      <w:pPr>
        <w:pStyle w:val="FirstParagraph"/>
      </w:pPr>
      <w:r>
        <w:t>The latent state produces three composite signals consumed by different measurement equations:</w:t>
      </w:r>
    </w:p>
    <w:p w14:paraId="51F42627"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1E6897FD"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2D9B7504"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3FE4E575" w14:textId="77777777" w:rsidR="00D86D63" w:rsidRDefault="00223568">
      <w:pPr>
        <w:pStyle w:val="Heading4"/>
      </w:pPr>
      <w:bookmarkStart w:id="14" w:name="qcew-measurement-equation-truth-anchor"/>
      <w:bookmarkEnd w:id="13"/>
      <w:r>
        <w:t>QCEW Measurement Equation — Truth Anchor</w:t>
      </w:r>
    </w:p>
    <w:p w14:paraId="4B438C86" w14:textId="77777777" w:rsidR="00D86D63" w:rsidRDefault="00223568">
      <w:pPr>
        <w:pStyle w:val="FirstParagraph"/>
      </w:pPr>
      <w:r>
        <w:t>QCEW observations are modeled as high-precision measurements of total NSA growth, with fixed noise differentiated by filing timing:</w:t>
      </w:r>
    </w:p>
    <w:p w14:paraId="7972D468"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QCEW</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QCEW</m:t>
                  </m:r>
                </m:sub>
                <m:sup>
                  <m:r>
                    <w:rPr>
                      <w:rFonts w:ascii="Cambria Math" w:hAnsi="Cambria Math"/>
                    </w:rPr>
                    <m:t>2</m:t>
                  </m:r>
                </m:sup>
              </m:sSubSup>
              <m:d>
                <m:dPr>
                  <m:ctrlPr>
                    <w:rPr>
                      <w:rFonts w:ascii="Cambria Math" w:hAnsi="Cambria Math"/>
                    </w:rPr>
                  </m:ctrlPr>
                </m:dPr>
                <m:e>
                  <m:r>
                    <w:rPr>
                      <w:rFonts w:ascii="Cambria Math" w:hAnsi="Cambria Math"/>
                    </w:rPr>
                    <m:t>t</m:t>
                  </m:r>
                </m:e>
              </m:d>
            </m:e>
          </m:d>
        </m:oMath>
      </m:oMathPara>
    </w:p>
    <w:p w14:paraId="454B90EB"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m:t>
                        </m:r>
                        <m:r>
                          <w:rPr>
                            <w:rFonts w:ascii="Cambria Math" w:hAnsi="Cambria Math"/>
                          </w:rPr>
                          <m:t>3</m:t>
                        </m:r>
                      </m:sub>
                    </m:sSub>
                  </m:e>
                  <m:e>
                    <m:r>
                      <m:rPr>
                        <m:nor/>
                      </m:rPr>
                      <m:t xml:space="preserve">if </m:t>
                    </m:r>
                    <m:r>
                      <w:rPr>
                        <w:rFonts w:ascii="Cambria Math" w:hAnsi="Cambria Math"/>
                      </w:rPr>
                      <m:t>t</m:t>
                    </m:r>
                    <m:r>
                      <m:rPr>
                        <m:nor/>
                      </m:rPr>
                      <m:t xml:space="preserve"> is a quarter-end month (M3)</m:t>
                    </m:r>
                  </m:e>
                </m:mr>
                <m:mr>
                  <m:e>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m:t>
                        </m:r>
                        <m:r>
                          <w:rPr>
                            <w:rFonts w:ascii="Cambria Math" w:hAnsi="Cambria Math"/>
                          </w:rPr>
                          <m:t>12</m:t>
                        </m:r>
                      </m:sub>
                    </m:sSub>
                  </m:e>
                  <m:e>
                    <m:r>
                      <m:rPr>
                        <m:nor/>
                      </m:rPr>
                      <m:t xml:space="preserve">if </m:t>
                    </m:r>
                    <m:r>
                      <w:rPr>
                        <w:rFonts w:ascii="Cambria Math" w:hAnsi="Cambria Math"/>
                      </w:rPr>
                      <m:t>t</m:t>
                    </m:r>
                    <m:r>
                      <m:rPr>
                        <m:nor/>
                      </m:rPr>
                      <m:t xml:space="preserve"> is a retrospective month (M1 or M2)</m:t>
                    </m:r>
                  </m:e>
                </m:mr>
              </m:m>
            </m:e>
          </m:d>
        </m:oMath>
      </m:oMathPara>
    </w:p>
    <w:p w14:paraId="7F0359DD" w14:textId="77777777" w:rsidR="00D86D63" w:rsidRDefault="00223568">
      <w:pPr>
        <w:pStyle w:val="FirstParagraph"/>
      </w:pPr>
      <w:r>
        <w:t>Month 3 (quarter-end) is filed contemporaneously — the employer’s payroll records for that month are weeks old at filing time. Months 1 and 2 are reconstructed retrospectively from records 2–3 months stale, introducing recall error, interpolation, and rounding.</w:t>
      </w:r>
    </w:p>
    <w:p w14:paraId="3E9B72F7" w14:textId="77777777" w:rsidR="00D86D63" w:rsidRDefault="00223568">
      <w:pPr>
        <w:pStyle w:val="BodyText"/>
      </w:pPr>
      <w:r>
        <w:t xml:space="preserve">The noise values are treated as fixed (not estimated), reflecting the near-census nature of QCEW. Sensitivity analysis across </w:t>
      </w:r>
      <m:oMath>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noise scales confirms parameter stability. The differential treatment can be further calibrated using the QCEW revision data available from 2017Q1 at national and state levels.</w:t>
      </w:r>
    </w:p>
    <w:p w14:paraId="6C9634FC" w14:textId="77777777" w:rsidR="00D86D63" w:rsidRDefault="00223568">
      <w:pPr>
        <w:pStyle w:val="BodyText"/>
      </w:pPr>
      <w:r>
        <w:t xml:space="preserve">This is a </w:t>
      </w:r>
      <w:r>
        <w:rPr>
          <w:b/>
          <w:bCs/>
        </w:rPr>
        <w:t>conditioning</w:t>
      </w:r>
      <w:r>
        <w:t xml:space="preserve"> approach (high-precision observation) rather than hard benchmarking (constraining the state to match QCEW exactly). Conditioning maintains </w:t>
      </w:r>
      <w:r>
        <w:lastRenderedPageBreak/>
        <w:t>probabilistic coherence while effectively pinning the latent state to QCEW at observed dates.</w:t>
      </w:r>
    </w:p>
    <w:p w14:paraId="597B9DC8" w14:textId="77777777" w:rsidR="00D86D63" w:rsidRDefault="00223568">
      <w:pPr>
        <w:pStyle w:val="Heading4"/>
      </w:pPr>
      <w:bookmarkStart w:id="15" w:name="X1b43a338ad1b999e3733adb73ba1f4d5a0d0a99"/>
      <w:bookmarkEnd w:id="14"/>
      <w:r>
        <w:t>CES Measurement Equations — Vintage-Specific</w:t>
      </w:r>
    </w:p>
    <w:p w14:paraId="7660F39F" w14:textId="77777777" w:rsidR="00D86D63" w:rsidRDefault="00223568">
      <w:pPr>
        <w:pStyle w:val="FirstParagraph"/>
      </w:pPr>
      <w:r>
        <w:t>Each CES print (first, second, final) enters as a separate observation with vintage-specific noise, reflecting the declining sampling error as additional survey responses arrive. Both SA and NSA series are modeled with shared bias and signal loading but separate noise terms.</w:t>
      </w:r>
    </w:p>
    <w:p w14:paraId="006EFF2B" w14:textId="77777777" w:rsidR="00D86D63" w:rsidRDefault="00223568">
      <w:pPr>
        <w:pStyle w:val="BodyText"/>
      </w:pPr>
      <w:r>
        <w:t xml:space="preserve">For vintage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3D3FD762"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55369E5F"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2B668AAA" w14:textId="77777777" w:rsidR="00D86D63" w:rsidRDefault="00223568">
      <w:pPr>
        <w:pStyle w:val="FirstParagraph"/>
      </w:pPr>
      <w:r>
        <w:t>where:</w:t>
      </w:r>
    </w:p>
    <w:p w14:paraId="17E261AB" w14:textId="77777777" w:rsidR="00D86D63" w:rsidRDefault="00223568">
      <w:pPr>
        <w:pStyle w:val="Compact"/>
        <w:numPr>
          <w:ilvl w:val="0"/>
          <w:numId w:val="4"/>
        </w:numPr>
      </w:pPr>
      <m:oMath>
        <m:sSup>
          <m:sSupPr>
            <m:ctrlPr>
              <w:rPr>
                <w:rFonts w:ascii="Cambria Math" w:hAnsi="Cambria Math"/>
              </w:rPr>
            </m:ctrlPr>
          </m:sSupPr>
          <m:e>
            <m:r>
              <w:rPr>
                <w:rFonts w:ascii="Cambria Math" w:hAnsi="Cambria Math"/>
              </w:rPr>
              <m:t>α</m:t>
            </m:r>
          </m:e>
          <m:sup>
            <m:r>
              <w:rPr>
                <w:rFonts w:ascii="Cambria Math" w:hAnsi="Cambria Math"/>
              </w:rPr>
              <m:t>CES</m:t>
            </m:r>
          </m:sup>
        </m:sSup>
      </m:oMath>
      <w:r>
        <w:t xml:space="preserve"> </w:t>
      </w:r>
      <w:r>
        <w:t>is CES-specific bias (absorbs scope differences, seasonal adjustment residuals)</w:t>
      </w:r>
    </w:p>
    <w:p w14:paraId="62C9A2A7" w14:textId="77777777" w:rsidR="00D86D63" w:rsidRDefault="00223568">
      <w:pPr>
        <w:pStyle w:val="Compact"/>
        <w:numPr>
          <w:ilvl w:val="0"/>
          <w:numId w:val="4"/>
        </w:numPr>
      </w:pPr>
      <m:oMath>
        <m:sSup>
          <m:sSupPr>
            <m:ctrlPr>
              <w:rPr>
                <w:rFonts w:ascii="Cambria Math" w:hAnsi="Cambria Math"/>
              </w:rPr>
            </m:ctrlPr>
          </m:sSupPr>
          <m:e>
            <m:r>
              <w:rPr>
                <w:rFonts w:ascii="Cambria Math" w:hAnsi="Cambria Math"/>
              </w:rPr>
              <m:t>λ</m:t>
            </m:r>
          </m:e>
          <m:sup>
            <m:r>
              <w:rPr>
                <w:rFonts w:ascii="Cambria Math" w:hAnsi="Cambria Math"/>
              </w:rPr>
              <m:t>CES</m:t>
            </m:r>
          </m:sup>
        </m:sSup>
      </m:oMath>
      <w:r>
        <w:t xml:space="preserve"> is CES signal loading (should be near 1 if scales are aligned)</w:t>
      </w:r>
    </w:p>
    <w:p w14:paraId="6C71D015" w14:textId="77777777" w:rsidR="00D86D63" w:rsidRDefault="00223568">
      <w:pPr>
        <w:pStyle w:val="Compact"/>
        <w:numPr>
          <w:ilvl w:val="0"/>
          <w:numId w:val="4"/>
        </w:numPr>
      </w:pP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Sub>
      </m:oMath>
      <w:r>
        <w:t xml:space="preserve"> are vintage-specific observation noise</w:t>
      </w:r>
    </w:p>
    <w:p w14:paraId="6548B9A7" w14:textId="77777777" w:rsidR="00D86D63" w:rsidRDefault="00223568">
      <w:pPr>
        <w:pStyle w:val="FirstParagraph"/>
      </w:pPr>
      <w:r>
        <w:t>The first-print standard error is approximately 65,000 jobs for total nonfarm (~0.04% in growth-rate space), declining with each subsequent closure. Vintage-specific noise parameters are calibrated from the CES revision data available from May 2003 at the national level by sector.</w:t>
      </w:r>
    </w:p>
    <w:p w14:paraId="32071775" w14:textId="77777777" w:rsidR="00D86D63" w:rsidRDefault="00223568">
      <w:pPr>
        <w:pStyle w:val="BodyText"/>
      </w:pPr>
      <w:r>
        <w:rPr>
          <w:b/>
          <w:bCs/>
        </w:rPr>
        <w:t>Annual benchmark scope.</w:t>
      </w:r>
      <w:r>
        <w:t xml:space="preserve"> The February benchmark re-anchors the prior year’s March employment level to QCEW-derived universe counts, with a wedge-back over the preceding 11 months. The total scope is 21 months of NSA data and 5 years of re-seasonalized SA data. Backtests using SA data must track re-seasonalization vintages, not just level revisions.</w:t>
      </w:r>
    </w:p>
    <w:p w14:paraId="551BAA89" w14:textId="77777777" w:rsidR="00D86D63" w:rsidRDefault="00223568">
      <w:pPr>
        <w:pStyle w:val="Heading4"/>
      </w:pPr>
      <w:bookmarkStart w:id="16" w:name="Xbba9365ef8fe7794164976067d8bcfd47509226"/>
      <w:bookmarkEnd w:id="15"/>
      <w:r>
        <w:t>Payroll Provider Measurement Equations — Config-Driven</w:t>
      </w:r>
    </w:p>
    <w:p w14:paraId="216A2B1B" w14:textId="77777777" w:rsidR="00D86D63" w:rsidRDefault="00223568">
      <w:pPr>
        <w:pStyle w:val="FirstParagraph"/>
      </w:pPr>
      <w:r>
        <w:t xml:space="preserve">Each provider </w:t>
      </w:r>
      <m:oMath>
        <m:r>
          <w:rPr>
            <w:rFonts w:ascii="Cambria Math" w:hAnsi="Cambria Math"/>
          </w:rPr>
          <m:t>p</m:t>
        </m:r>
      </m:oMath>
      <w:r>
        <w:t xml:space="preserve"> gets independent measurement parameters with configurable error structure. Provider observations load on continuing-units NSA growth (not total growth), since payroll data excludes birth/death dynamics by construction.</w:t>
      </w:r>
    </w:p>
    <w:p w14:paraId="01045C6A" w14:textId="77777777" w:rsidR="00D86D63" w:rsidRDefault="00223568">
      <w:pPr>
        <w:pStyle w:val="BodyText"/>
      </w:pPr>
      <w:r>
        <w:rPr>
          <w:b/>
          <w:bCs/>
        </w:rPr>
        <w:t>iid measurement error (default):</w:t>
      </w:r>
    </w:p>
    <w:p w14:paraId="1F5A0B6D"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up>
                  <m:r>
                    <w:rPr>
                      <w:rFonts w:ascii="Cambria Math" w:hAnsi="Cambria Math"/>
                    </w:rPr>
                    <m:t>2</m:t>
                  </m:r>
                </m:sup>
              </m:sSubSup>
            </m:e>
          </m:d>
        </m:oMath>
      </m:oMathPara>
    </w:p>
    <w:p w14:paraId="5C7521EC" w14:textId="77777777" w:rsidR="00D86D63" w:rsidRDefault="00223568">
      <w:pPr>
        <w:pStyle w:val="FirstParagraph"/>
      </w:pPr>
      <w:r>
        <w:rPr>
          <w:b/>
          <w:bCs/>
        </w:rPr>
        <w:t>AR(1) measurement error</w:t>
      </w:r>
      <w:r>
        <w:t xml:space="preserve"> (for providers whose client base creates autocorrelated residuals, e.g., multi-establishment firms restructuring internally):</w:t>
      </w:r>
    </w:p>
    <w:p w14:paraId="14A35176"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G</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base</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up>
                  <m:r>
                    <w:rPr>
                      <w:rFonts w:ascii="Cambria Math" w:hAnsi="Cambria Math"/>
                    </w:rPr>
                    <m:t>2</m:t>
                  </m:r>
                </m:sup>
              </m:sSubSup>
            </m:e>
          </m:d>
        </m:oMath>
      </m:oMathPara>
    </w:p>
    <w:p w14:paraId="5878DB41" w14:textId="77777777" w:rsidR="00D86D63" w:rsidRDefault="00223568">
      <w:pPr>
        <w:pStyle w:val="FirstParagraph"/>
      </w:pPr>
      <w:r>
        <w:lastRenderedPageBreak/>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p</m:t>
            </m:r>
            <m:r>
              <m:rPr>
                <m:sty m:val="p"/>
              </m:rPr>
              <w:rPr>
                <w:rFonts w:ascii="Cambria Math" w:hAnsi="Cambria Math"/>
              </w:rPr>
              <m:t>,</m:t>
            </m:r>
            <m:r>
              <w:rPr>
                <w:rFonts w:ascii="Cambria Math" w:hAnsi="Cambria Math"/>
              </w:rPr>
              <m:t>t</m:t>
            </m:r>
          </m:sub>
          <m:sup>
            <m:r>
              <w:rPr>
                <w:rFonts w:ascii="Cambria Math" w:hAnsi="Cambria Math"/>
              </w:rPr>
              <m:t>bas</m:t>
            </m:r>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oMath>
      <w:r>
        <w:t>.</w:t>
      </w:r>
    </w:p>
    <w:p w14:paraId="2F804014" w14:textId="77777777" w:rsidR="00D86D63" w:rsidRDefault="00223568">
      <w:pPr>
        <w:pStyle w:val="BodyText"/>
      </w:pPr>
      <w:r>
        <w:t xml:space="preserve">The marginal variance at </w:t>
      </w:r>
      <m:oMath>
        <m:r>
          <w:rPr>
            <w:rFonts w:ascii="Cambria Math" w:hAnsi="Cambria Math"/>
          </w:rPr>
          <m:t>t</m:t>
        </m:r>
        <m:r>
          <m:rPr>
            <m:sty m:val="p"/>
          </m:rPr>
          <w:rPr>
            <w:rFonts w:ascii="Cambria Math" w:hAnsi="Cambria Math"/>
          </w:rPr>
          <m:t>=</m:t>
        </m:r>
        <m:r>
          <w:rPr>
            <w:rFonts w:ascii="Cambria Math" w:hAnsi="Cambria Math"/>
          </w:rPr>
          <m:t>0</m:t>
        </m:r>
      </m:oMath>
      <w:r>
        <w:t xml:space="preserve"> is </w:t>
      </w:r>
      <m:oMath>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2</m:t>
                </m:r>
              </m:sup>
            </m:sSubSup>
          </m:e>
        </m:d>
      </m:oMath>
      <w:r>
        <w:t xml:space="preserve">, ensuring stationarity. The effective precision contribution of an AR(1) provider is reduced by the factor </w:t>
      </w:r>
      <m:oMath>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2</m:t>
                </m:r>
              </m:sup>
            </m:sSubSup>
          </m:e>
        </m:d>
      </m:oMath>
      <w:r>
        <w:t xml:space="preserve"> relative to an iid provider with the same noise level.</w:t>
      </w:r>
    </w:p>
    <w:p w14:paraId="66271595" w14:textId="77777777" w:rsidR="00D86D63" w:rsidRDefault="00223568">
      <w:pPr>
        <w:pStyle w:val="BodyText"/>
      </w:pPr>
      <w:r>
        <w:t xml:space="preserve">New providers require only a </w:t>
      </w:r>
      <w:r>
        <w:rPr>
          <w:rStyle w:val="VerbatimChar"/>
        </w:rPr>
        <w:t>ProviderConfig</w:t>
      </w:r>
      <w:r>
        <w:t xml:space="preserve"> entry specifying name, data file, error model (iid or AR(1)), and optional birth-rate file. The model, diagnostics, and plots adapt automatically.</w:t>
      </w:r>
    </w:p>
    <w:p w14:paraId="0473D890" w14:textId="77777777" w:rsidR="00D86D63" w:rsidRDefault="00223568">
      <w:pPr>
        <w:pStyle w:val="Heading3"/>
      </w:pPr>
      <w:bookmarkStart w:id="17" w:name="priors"/>
      <w:bookmarkEnd w:id="9"/>
      <w:bookmarkEnd w:id="16"/>
      <w:r>
        <w:t>Priors</w:t>
      </w:r>
    </w:p>
    <w:p w14:paraId="6B47C136" w14:textId="77777777" w:rsidR="00D86D63" w:rsidRDefault="00223568">
      <w:pPr>
        <w:pStyle w:val="Heading4"/>
      </w:pPr>
      <w:bookmarkStart w:id="18" w:name="latent-state-dynamics"/>
      <w:r>
        <w:t>Latent state dynamics</w:t>
      </w:r>
    </w:p>
    <w:p w14:paraId="3ACC1799"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r>
            <w:rPr>
              <w:rFonts w:ascii="Cambria Math" w:hAnsi="Cambria Math"/>
            </w:rPr>
            <m:t> </m:t>
          </m:r>
          <m:r>
            <m:rPr>
              <m:nor/>
            </m:rPr>
            <m:t>[ 0.1%/mo mean growth, weakly informative]</m:t>
          </m:r>
        </m:oMath>
      </m:oMathPara>
    </w:p>
    <w:p w14:paraId="42B22079" w14:textId="77777777" w:rsidR="00D86D63" w:rsidRDefault="00223568">
      <w:pPr>
        <w:pStyle w:val="FirstParagraph"/>
      </w:pPr>
      <m:oMathPara>
        <m:oMathParaPr>
          <m:jc m:val="center"/>
        </m:oMathParaPr>
        <m:oMath>
          <m:r>
            <w:rPr>
              <w:rFonts w:ascii="Cambria Math" w:hAnsi="Cambria Math"/>
            </w:rPr>
            <m:t>ϕ</m:t>
          </m:r>
          <m:r>
            <m:rPr>
              <m:sty m:val="p"/>
            </m:rPr>
            <w:rPr>
              <w:rFonts w:ascii="Cambria Math" w:hAnsi="Cambria Math"/>
            </w:rPr>
            <m:t>∼</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0.99</m:t>
              </m:r>
            </m:e>
          </m:d>
          <m:r>
            <w:rPr>
              <w:rFonts w:ascii="Cambria Math" w:hAnsi="Cambria Math"/>
            </w:rPr>
            <m:t> </m:t>
          </m:r>
          <m:r>
            <m:rPr>
              <m:nor/>
            </m:rPr>
            <m:t xml:space="preserve">[allows high persistence; Cajner et al.: </m:t>
          </m:r>
          <m:r>
            <w:rPr>
              <w:rFonts w:ascii="Cambria Math" w:hAnsi="Cambria Math"/>
            </w:rPr>
            <m:t>ρ</m:t>
          </m:r>
          <m:r>
            <m:rPr>
              <m:sty m:val="p"/>
            </m:rPr>
            <w:rPr>
              <w:rFonts w:ascii="Cambria Math" w:hAnsi="Cambria Math"/>
            </w:rPr>
            <m:t>≈</m:t>
          </m:r>
          <m:r>
            <w:rPr>
              <w:rFonts w:ascii="Cambria Math" w:hAnsi="Cambria Math"/>
            </w:rPr>
            <m:t>0.96</m:t>
          </m:r>
          <m:r>
            <m:rPr>
              <m:nor/>
            </m:rPr>
            <m:t>]</m:t>
          </m:r>
        </m:oMath>
      </m:oMathPara>
    </w:p>
    <w:p w14:paraId="46949E45"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η</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e>
          </m:d>
        </m:oMath>
      </m:oMathPara>
    </w:p>
    <w:p w14:paraId="4E888E83" w14:textId="77777777" w:rsidR="00D86D63" w:rsidRDefault="00223568">
      <w:pPr>
        <w:pStyle w:val="Heading4"/>
      </w:pPr>
      <w:bookmarkStart w:id="19" w:name="birthdeath-parameters"/>
      <w:bookmarkEnd w:id="18"/>
      <w:r>
        <w:t>Birth/death parameters</w:t>
      </w:r>
    </w:p>
    <w:p w14:paraId="67D0226F"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0.002</m:t>
                  </m:r>
                </m:e>
                <m:sup>
                  <m:r>
                    <w:rPr>
                      <w:rFonts w:ascii="Cambria Math" w:hAnsi="Cambria Math"/>
                    </w:rPr>
                    <m:t>2</m:t>
                  </m:r>
                </m:sup>
              </m:sSup>
            </m:e>
          </m:d>
          <m:r>
            <w:rPr>
              <w:rFonts w:ascii="Cambria Math" w:hAnsi="Cambria Math"/>
            </w:rPr>
            <m:t> </m:t>
          </m:r>
          <m:r>
            <m:rPr>
              <m:nor/>
            </m:rPr>
            <m:t>[mean BD contribution]</m:t>
          </m:r>
        </m:oMath>
      </m:oMathPara>
    </w:p>
    <w:p w14:paraId="36C5FD47"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0.5</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r>
            <w:rPr>
              <w:rFonts w:ascii="Cambria Math" w:hAnsi="Cambria Math"/>
            </w:rPr>
            <m:t> </m:t>
          </m:r>
          <m:r>
            <m:rPr>
              <m:nor/>
            </m:rPr>
            <m:t>[birth rate loading; positive = procyclical]</m:t>
          </m:r>
        </m:oMath>
      </m:oMathPara>
    </w:p>
    <w:p w14:paraId="6492576B"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0.3</m:t>
              </m:r>
              <m:r>
                <m:rPr>
                  <m:sty m:val="p"/>
                </m:rP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2</m:t>
                  </m:r>
                </m:sup>
              </m:sSup>
            </m:e>
          </m:d>
          <m:r>
            <w:rPr>
              <w:rFonts w:ascii="Cambria Math" w:hAnsi="Cambria Math"/>
            </w:rPr>
            <m:t> </m:t>
          </m:r>
          <m:r>
            <m:rPr>
              <m:nor/>
            </m:rPr>
            <m:t>[QCEW BD proxy persistence]</m:t>
          </m:r>
        </m:oMath>
      </m:oMathPara>
    </w:p>
    <w:p w14:paraId="5D30A0C6"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3</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2</m:t>
                  </m:r>
                </m:sup>
              </m:sSup>
            </m:e>
          </m:d>
          <m:r>
            <w:rPr>
              <w:rFonts w:ascii="Cambria Math" w:hAnsi="Cambria Math"/>
            </w:rPr>
            <m:t> </m:t>
          </m:r>
          <m:r>
            <m:rPr>
              <m:nor/>
            </m:rPr>
            <m:t>[cyclical indicator loadings]</m:t>
          </m:r>
        </m:oMath>
      </m:oMathPara>
    </w:p>
    <w:p w14:paraId="2D94C444"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BD</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0.001</m:t>
              </m:r>
            </m:e>
          </m:d>
        </m:oMath>
      </m:oMathPara>
    </w:p>
    <w:p w14:paraId="3F3A339A" w14:textId="77777777" w:rsidR="00D86D63" w:rsidRDefault="00223568">
      <w:pPr>
        <w:pStyle w:val="Heading4"/>
      </w:pPr>
      <w:bookmarkStart w:id="20" w:name="seasonal-parameters"/>
      <w:bookmarkEnd w:id="19"/>
      <w:r>
        <w:t>Seasonal parameters</w:t>
      </w:r>
    </w:p>
    <w:p w14:paraId="36DA7F0D"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0.015</m:t>
                  </m:r>
                </m:e>
                <m:sup>
                  <m:r>
                    <w:rPr>
                      <w:rFonts w:ascii="Cambria Math" w:hAnsi="Cambria Math"/>
                    </w:rPr>
                    <m:t>2</m:t>
                  </m:r>
                </m:sup>
              </m:sSup>
            </m:e>
          </m:d>
          <m:r>
            <w:rPr>
              <w:rFonts w:ascii="Cambria Math" w:hAnsi="Cambria Math"/>
            </w:rPr>
            <m:t> </m:t>
          </m:r>
          <m:r>
            <m:rPr>
              <m:nor/>
            </m:rPr>
            <m:t xml:space="preserve">for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7748E2F8"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k</m:t>
              </m:r>
            </m:e>
          </m:d>
          <m:r>
            <w:rPr>
              <w:rFonts w:ascii="Cambria Math" w:hAnsi="Cambria Math"/>
            </w:rPr>
            <m:t> </m:t>
          </m:r>
          <m:r>
            <m:rPr>
              <m:nor/>
            </m:rPr>
            <m:t>[tighter for higher harmonics]</m:t>
          </m:r>
        </m:oMath>
      </m:oMathPara>
    </w:p>
    <w:p w14:paraId="42384EB6" w14:textId="77777777" w:rsidR="00D86D63" w:rsidRDefault="00223568">
      <w:pPr>
        <w:pStyle w:val="Heading4"/>
      </w:pPr>
      <w:bookmarkStart w:id="21" w:name="qcew-fixed-noise"/>
      <w:bookmarkEnd w:id="20"/>
      <w:r>
        <w:t>QCEW fixed noise</w:t>
      </w:r>
    </w:p>
    <w:p w14:paraId="0530774F"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m:t>
              </m:r>
              <m:r>
                <w:rPr>
                  <w:rFonts w:ascii="Cambria Math" w:hAnsi="Cambria Math"/>
                </w:rPr>
                <m:t>3</m:t>
              </m:r>
            </m:sub>
          </m:sSub>
          <m:r>
            <m:rPr>
              <m:sty m:val="p"/>
            </m:rPr>
            <w:rPr>
              <w:rFonts w:ascii="Cambria Math" w:hAnsi="Cambria Math"/>
            </w:rPr>
            <m:t>=</m:t>
          </m:r>
          <m:r>
            <w:rPr>
              <w:rFonts w:ascii="Cambria Math" w:hAnsi="Cambria Math"/>
            </w:rPr>
            <m:t>0.0005 </m:t>
          </m:r>
          <m:r>
            <m:rPr>
              <m:nor/>
            </m:rPr>
            <m:t>[ 0.05%/mo — contemporaneous tax filing]</m:t>
          </m:r>
        </m:oMath>
      </m:oMathPara>
    </w:p>
    <w:p w14:paraId="2F5DC759"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M</m:t>
              </m:r>
              <m:r>
                <w:rPr>
                  <w:rFonts w:ascii="Cambria Math" w:hAnsi="Cambria Math"/>
                </w:rPr>
                <m:t>12</m:t>
              </m:r>
            </m:sub>
          </m:sSub>
          <m:r>
            <m:rPr>
              <m:sty m:val="p"/>
            </m:rPr>
            <w:rPr>
              <w:rFonts w:ascii="Cambria Math" w:hAnsi="Cambria Math"/>
            </w:rPr>
            <m:t>=</m:t>
          </m:r>
          <m:r>
            <w:rPr>
              <w:rFonts w:ascii="Cambria Math" w:hAnsi="Cambria Math"/>
            </w:rPr>
            <m:t>0.0015 </m:t>
          </m:r>
          <m:r>
            <m:rPr>
              <m:nor/>
            </m:rPr>
            <m:t>[ 0.15%/mo — retrospective UI months]</m:t>
          </m:r>
        </m:oMath>
      </m:oMathPara>
    </w:p>
    <w:p w14:paraId="3BB57D45" w14:textId="77777777" w:rsidR="00D86D63" w:rsidRDefault="00223568">
      <w:pPr>
        <w:pStyle w:val="Heading4"/>
      </w:pPr>
      <w:bookmarkStart w:id="22" w:name="ces-parameters"/>
      <w:bookmarkEnd w:id="21"/>
      <w:r>
        <w:t>CES parameters</w:t>
      </w:r>
    </w:p>
    <w:p w14:paraId="3C939509" w14:textId="77777777" w:rsidR="00D86D63" w:rsidRDefault="00223568">
      <w:pPr>
        <w:pStyle w:val="FirstParagraph"/>
      </w:pPr>
      <m:oMathPara>
        <m:oMathParaPr>
          <m:jc m:val="center"/>
        </m:oMathParaPr>
        <m:oMath>
          <m:sSup>
            <m:sSupPr>
              <m:ctrlPr>
                <w:rPr>
                  <w:rFonts w:ascii="Cambria Math" w:hAnsi="Cambria Math"/>
                </w:rPr>
              </m:ctrlPr>
            </m:sSupPr>
            <m:e>
              <m:r>
                <w:rPr>
                  <w:rFonts w:ascii="Cambria Math" w:hAnsi="Cambria Math"/>
                </w:rPr>
                <m:t>α</m:t>
              </m:r>
            </m:e>
            <m:sup>
              <m:r>
                <w:rPr>
                  <w:rFonts w:ascii="Cambria Math" w:hAnsi="Cambria Math"/>
                </w:rPr>
                <m:t>CES</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oMath>
      </m:oMathPara>
    </w:p>
    <w:p w14:paraId="04C9535D" w14:textId="77777777" w:rsidR="00D86D63" w:rsidRDefault="00223568">
      <w:pPr>
        <w:pStyle w:val="FirstParagraph"/>
      </w:pPr>
      <m:oMathPara>
        <m:oMathParaPr>
          <m:jc m:val="center"/>
        </m:oMathParaPr>
        <m:oMath>
          <m:sSup>
            <m:sSupPr>
              <m:ctrlPr>
                <w:rPr>
                  <w:rFonts w:ascii="Cambria Math" w:hAnsi="Cambria Math"/>
                </w:rPr>
              </m:ctrlPr>
            </m:sSupPr>
            <m:e>
              <m:r>
                <w:rPr>
                  <w:rFonts w:ascii="Cambria Math" w:hAnsi="Cambria Math"/>
                </w:rPr>
                <m:t>λ</m:t>
              </m:r>
            </m:e>
            <m:sup>
              <m:r>
                <w:rPr>
                  <w:rFonts w:ascii="Cambria Math" w:hAnsi="Cambria Math"/>
                </w:rPr>
                <m:t>CES</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0.15</m:t>
                  </m:r>
                </m:e>
                <m:sup>
                  <m:r>
                    <w:rPr>
                      <w:rFonts w:ascii="Cambria Math" w:hAnsi="Cambria Math"/>
                    </w:rPr>
                    <m:t>2</m:t>
                  </m:r>
                </m:sup>
              </m:sSup>
            </m:e>
          </m:d>
        </m:oMath>
      </m:oMathPara>
    </w:p>
    <w:p w14:paraId="3A8FC923"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v</m:t>
              </m:r>
            </m:sub>
          </m:sSub>
          <m:r>
            <m:rPr>
              <m:sty m:val="p"/>
            </m:rPr>
            <w:rPr>
              <w:rFonts w:ascii="Cambria Math" w:hAnsi="Cambria Math"/>
            </w:rPr>
            <m:t>∼</m:t>
          </m:r>
          <m:r>
            <m:rPr>
              <m:nor/>
            </m:rPr>
            <m:t>InverseGamma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0.004</m:t>
              </m:r>
            </m:e>
          </m:d>
          <m:r>
            <w:rPr>
              <w:rFonts w:ascii="Cambria Math" w:hAnsi="Cambria Math"/>
            </w:rPr>
            <m:t> </m:t>
          </m:r>
          <m:r>
            <m:rPr>
              <m:nor/>
            </m:rPr>
            <m:t xml:space="preserve">for each vintage </m:t>
          </m:r>
          <m:r>
            <w:rPr>
              <w:rFonts w:ascii="Cambria Math" w:hAnsi="Cambria Math"/>
            </w:rPr>
            <m:t>v</m:t>
          </m:r>
        </m:oMath>
      </m:oMathPara>
    </w:p>
    <w:p w14:paraId="39241FF4"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NSA</m:t>
              </m:r>
              <m:r>
                <m:rPr>
                  <m:sty m:val="p"/>
                </m:rPr>
                <w:rPr>
                  <w:rFonts w:ascii="Cambria Math" w:hAnsi="Cambria Math"/>
                </w:rPr>
                <m:t>,</m:t>
              </m:r>
              <m:r>
                <w:rPr>
                  <w:rFonts w:ascii="Cambria Math" w:hAnsi="Cambria Math"/>
                </w:rPr>
                <m:t>v</m:t>
              </m:r>
            </m:sub>
          </m:sSub>
          <m:r>
            <m:rPr>
              <m:sty m:val="p"/>
            </m:rPr>
            <w:rPr>
              <w:rFonts w:ascii="Cambria Math" w:hAnsi="Cambria Math"/>
            </w:rPr>
            <m:t>∼</m:t>
          </m:r>
          <m:r>
            <m:rPr>
              <m:nor/>
            </m:rPr>
            <m:t>InverseGamma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0.004</m:t>
              </m:r>
            </m:e>
          </m:d>
          <m:r>
            <w:rPr>
              <w:rFonts w:ascii="Cambria Math" w:hAnsi="Cambria Math"/>
            </w:rPr>
            <m:t> </m:t>
          </m:r>
          <m:r>
            <m:rPr>
              <m:nor/>
            </m:rPr>
            <m:t xml:space="preserve">for each vintage </m:t>
          </m:r>
          <m:r>
            <w:rPr>
              <w:rFonts w:ascii="Cambria Math" w:hAnsi="Cambria Math"/>
            </w:rPr>
            <m:t>v</m:t>
          </m:r>
        </m:oMath>
      </m:oMathPara>
    </w:p>
    <w:p w14:paraId="39EA9E1F" w14:textId="77777777" w:rsidR="00D86D63" w:rsidRDefault="00223568">
      <w:pPr>
        <w:pStyle w:val="FirstParagraph"/>
      </w:pPr>
      <w:r>
        <w:lastRenderedPageBreak/>
        <w:t xml:space="preserve">The InverseGamma prior keeps </w:t>
      </w:r>
      <m:oMath>
        <m:r>
          <w:rPr>
            <w:rFonts w:ascii="Cambria Math" w:hAnsi="Cambria Math"/>
          </w:rPr>
          <m:t>σ</m:t>
        </m:r>
      </m:oMath>
      <w:r>
        <w:t xml:space="preserve"> away from zero (mode </w:t>
      </w:r>
      <m:oMath>
        <m:r>
          <m:rPr>
            <m:sty m:val="p"/>
          </m:rPr>
          <w:rPr>
            <w:rFonts w:ascii="Cambria Math" w:hAnsi="Cambria Math"/>
          </w:rPr>
          <m:t>≈</m:t>
        </m:r>
        <m:r>
          <w:rPr>
            <w:rFonts w:ascii="Cambria Math" w:hAnsi="Cambria Math"/>
          </w:rPr>
          <m:t>0.001</m:t>
        </m:r>
      </m:oMath>
      <w:r>
        <w:t>), preventing the Neal’s funnel pathology while allowing data to pull toward larger values for noisier vintages.</w:t>
      </w:r>
    </w:p>
    <w:p w14:paraId="78C0D3DD" w14:textId="77777777" w:rsidR="00D86D63" w:rsidRDefault="00223568">
      <w:pPr>
        <w:pStyle w:val="Heading4"/>
      </w:pPr>
      <w:bookmarkStart w:id="23" w:name="per-provider-parameters"/>
      <w:bookmarkEnd w:id="22"/>
      <w:r>
        <w:t>Per-provider parameters</w:t>
      </w:r>
    </w:p>
    <w:p w14:paraId="188CC5DD"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oMath>
      </m:oMathPara>
    </w:p>
    <w:p w14:paraId="6B8F7D6F"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0.15</m:t>
                  </m:r>
                </m:e>
                <m:sup>
                  <m:r>
                    <w:rPr>
                      <w:rFonts w:ascii="Cambria Math" w:hAnsi="Cambria Math"/>
                    </w:rPr>
                    <m:t>2</m:t>
                  </m:r>
                </m:sup>
              </m:sSup>
            </m:e>
          </m:d>
        </m:oMath>
      </m:oMathPara>
    </w:p>
    <w:p w14:paraId="7ACBF678"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p</m:t>
              </m:r>
            </m:sub>
          </m:sSub>
          <m:r>
            <m:rPr>
              <m:sty m:val="p"/>
            </m:rPr>
            <w:rPr>
              <w:rFonts w:ascii="Cambria Math" w:hAnsi="Cambria Math"/>
            </w:rPr>
            <m:t>∼</m:t>
          </m:r>
          <m:r>
            <m:rPr>
              <m:nor/>
            </m:rPr>
            <m:t>InverseGamma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0.004</m:t>
              </m:r>
            </m:e>
          </m:d>
        </m:oMath>
      </m:oMathPara>
    </w:p>
    <w:p w14:paraId="7DBB500D"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r>
            <m:rPr>
              <m:nor/>
            </m:rPr>
            <m:t>Beta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w:rPr>
              <w:rFonts w:ascii="Cambria Math" w:hAnsi="Cambria Math"/>
            </w:rPr>
            <m:t> </m:t>
          </m:r>
          <m:r>
            <m:rPr>
              <m:nor/>
            </m:rPr>
            <m:t xml:space="preserve">[AR(1) providers only; mode </m:t>
          </m:r>
          <m:r>
            <m:rPr>
              <m:sty m:val="p"/>
            </m:rPr>
            <w:rPr>
              <w:rFonts w:ascii="Cambria Math" w:hAnsi="Cambria Math"/>
            </w:rPr>
            <m:t>≈</m:t>
          </m:r>
          <m:r>
            <w:rPr>
              <w:rFonts w:ascii="Cambria Math" w:hAnsi="Cambria Math"/>
            </w:rPr>
            <m:t>0.25</m:t>
          </m:r>
          <m:r>
            <m:rPr>
              <m:nor/>
            </m:rPr>
            <m:t xml:space="preserve">, allows up to </m:t>
          </m:r>
          <m:r>
            <m:rPr>
              <m:sty m:val="p"/>
            </m:rPr>
            <w:rPr>
              <w:rFonts w:ascii="Cambria Math" w:hAnsi="Cambria Math"/>
            </w:rPr>
            <m:t>∼</m:t>
          </m:r>
          <m:r>
            <w:rPr>
              <w:rFonts w:ascii="Cambria Math" w:hAnsi="Cambria Math"/>
            </w:rPr>
            <m:t>0.8</m:t>
          </m:r>
          <m:r>
            <m:rPr>
              <m:nor/>
            </m:rPr>
            <m:t>]</m:t>
          </m:r>
        </m:oMath>
      </m:oMathPara>
    </w:p>
    <w:p w14:paraId="15FB09AC" w14:textId="77777777" w:rsidR="00D86D63" w:rsidRDefault="00223568">
      <w:pPr>
        <w:pStyle w:val="Heading3"/>
      </w:pPr>
      <w:bookmarkStart w:id="24" w:name="forecast-production"/>
      <w:bookmarkEnd w:id="17"/>
      <w:bookmarkEnd w:id="23"/>
      <w:r>
        <w:t>Forecast Production</w:t>
      </w:r>
    </w:p>
    <w:p w14:paraId="5AAEC434" w14:textId="77777777" w:rsidR="00D86D63" w:rsidRDefault="00223568">
      <w:pPr>
        <w:pStyle w:val="Compact"/>
        <w:numPr>
          <w:ilvl w:val="0"/>
          <w:numId w:val="5"/>
        </w:numPr>
      </w:pPr>
      <w:r>
        <w:rPr>
          <w:b/>
          <w:bCs/>
        </w:rPr>
        <w:t>Historical Estimation:</w:t>
      </w:r>
      <w:r>
        <w:t xml:space="preserve"> Run MCMC on all data through </w:t>
      </w:r>
      <m:oMath>
        <m:r>
          <w:rPr>
            <w:rFonts w:ascii="Cambria Math" w:hAnsi="Cambria Math"/>
          </w:rPr>
          <m:t>T</m:t>
        </m:r>
        <m:r>
          <m:rPr>
            <m:sty m:val="p"/>
          </m:rPr>
          <w:rPr>
            <w:rFonts w:ascii="Cambria Math" w:hAnsi="Cambria Math"/>
          </w:rPr>
          <m:t>-</m:t>
        </m:r>
        <m:r>
          <w:rPr>
            <w:rFonts w:ascii="Cambria Math" w:hAnsi="Cambria Math"/>
          </w:rPr>
          <m:t>1</m:t>
        </m:r>
      </m:oMath>
    </w:p>
    <w:p w14:paraId="7DA9EBFC" w14:textId="77777777" w:rsidR="00D86D63" w:rsidRDefault="00223568">
      <w:pPr>
        <w:pStyle w:val="Compact"/>
        <w:numPr>
          <w:ilvl w:val="0"/>
          <w:numId w:val="5"/>
        </w:numPr>
      </w:pPr>
      <w:r>
        <w:rPr>
          <w:b/>
          <w:bCs/>
        </w:rPr>
        <w:t>BD Forecast:</w:t>
      </w:r>
      <w:r>
        <w:t xml:space="preserve"> Estimate </w:t>
      </w: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using cyclical indicators, provider birth rates, and lagged QCEW BD proxy</w:t>
      </w:r>
    </w:p>
    <w:p w14:paraId="7ACF0E5E" w14:textId="77777777" w:rsidR="00D86D63" w:rsidRDefault="00223568">
      <w:pPr>
        <w:pStyle w:val="Compact"/>
        <w:numPr>
          <w:ilvl w:val="0"/>
          <w:numId w:val="5"/>
        </w:numPr>
      </w:pPr>
      <w:r>
        <w:rPr>
          <w:b/>
          <w:bCs/>
        </w:rPr>
        <w:t>Continuing-Units Filtering:</w:t>
      </w:r>
      <w:r>
        <w:t xml:space="preserve"> Filter </w:t>
      </w:r>
      <m:oMath>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oMath>
      <w:r>
        <w:t xml:space="preserve"> from all payroll provider data for current month </w:t>
      </w:r>
      <m:oMath>
        <m:r>
          <w:rPr>
            <w:rFonts w:ascii="Cambria Math" w:hAnsi="Cambria Math"/>
          </w:rPr>
          <m:t>T</m:t>
        </m:r>
      </m:oMath>
    </w:p>
    <w:p w14:paraId="746714AC" w14:textId="77777777" w:rsidR="00D86D63" w:rsidRDefault="00223568">
      <w:pPr>
        <w:pStyle w:val="Compact"/>
        <w:numPr>
          <w:ilvl w:val="0"/>
          <w:numId w:val="5"/>
        </w:numPr>
      </w:pPr>
      <w:r>
        <w:rPr>
          <w:b/>
          <w:bCs/>
        </w:rPr>
        <w:t>Nowcast:</w:t>
      </w:r>
      <w:r>
        <w:t xml:space="preserve"> Posterior predictive distribution for </w:t>
      </w:r>
      <m:oMath>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T</m:t>
            </m:r>
          </m:sub>
        </m:sSub>
      </m:oMath>
    </w:p>
    <w:p w14:paraId="3190F34F" w14:textId="77777777" w:rsidR="00D86D63" w:rsidRDefault="00223568">
      <w:pPr>
        <w:pStyle w:val="Heading3"/>
      </w:pPr>
      <w:bookmarkStart w:id="25" w:name="output-specification"/>
      <w:bookmarkEnd w:id="24"/>
      <w:r>
        <w:t>Output Specification</w:t>
      </w:r>
    </w:p>
    <w:tbl>
      <w:tblPr>
        <w:tblStyle w:val="Table"/>
        <w:tblW w:w="5000" w:type="pct"/>
        <w:tblLayout w:type="fixed"/>
        <w:tblLook w:val="0020" w:firstRow="1" w:lastRow="0" w:firstColumn="0" w:lastColumn="0" w:noHBand="0" w:noVBand="0"/>
      </w:tblPr>
      <w:tblGrid>
        <w:gridCol w:w="3640"/>
        <w:gridCol w:w="5720"/>
      </w:tblGrid>
      <w:tr w:rsidR="00D86D63" w14:paraId="16B09BAB"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3080" w:type="dxa"/>
          </w:tcPr>
          <w:p w14:paraId="20D2FC09" w14:textId="77777777" w:rsidR="00D86D63" w:rsidRDefault="00223568">
            <w:pPr>
              <w:pStyle w:val="Compact"/>
            </w:pPr>
            <w:r>
              <w:t>Output</w:t>
            </w:r>
          </w:p>
        </w:tc>
        <w:tc>
          <w:tcPr>
            <w:tcW w:w="4840" w:type="dxa"/>
          </w:tcPr>
          <w:p w14:paraId="591BB30B" w14:textId="77777777" w:rsidR="00D86D63" w:rsidRDefault="00223568">
            <w:pPr>
              <w:pStyle w:val="Compact"/>
            </w:pPr>
            <w:r>
              <w:t>Description</w:t>
            </w:r>
          </w:p>
        </w:tc>
      </w:tr>
      <w:tr w:rsidR="00D86D63" w14:paraId="70382625" w14:textId="77777777">
        <w:tc>
          <w:tcPr>
            <w:tcW w:w="3080" w:type="dxa"/>
          </w:tcPr>
          <w:p w14:paraId="1050AD77" w14:textId="77777777" w:rsidR="00D86D63" w:rsidRDefault="00223568">
            <w:pPr>
              <w:pStyle w:val="Compact"/>
            </w:pPr>
            <w:r>
              <w:rPr>
                <w:rStyle w:val="VerbatimChar"/>
              </w:rPr>
              <w:t>nfp_nowcast</w:t>
            </w:r>
          </w:p>
        </w:tc>
        <w:tc>
          <w:tcPr>
            <w:tcW w:w="4840" w:type="dxa"/>
          </w:tcPr>
          <w:p w14:paraId="021B6681" w14:textId="77777777" w:rsidR="00D86D63" w:rsidRDefault="00223568">
            <w:pPr>
              <w:pStyle w:val="Compact"/>
            </w:pPr>
            <w:r>
              <w:t xml:space="preserve">Point estimate (posterior mean of </w:t>
            </w:r>
            <m:oMath>
              <m:sSub>
                <m:sSubPr>
                  <m:ctrlPr>
                    <w:rPr>
                      <w:rFonts w:ascii="Cambria Math" w:hAnsi="Cambria Math"/>
                    </w:rPr>
                  </m:ctrlPr>
                </m:sSubPr>
                <m:e>
                  <m:r>
                    <w:rPr>
                      <w:rFonts w:ascii="Cambria Math" w:hAnsi="Cambria Math"/>
                    </w:rPr>
                    <m:t>μ</m:t>
                  </m:r>
                </m:e>
                <m:sub>
                  <m:r>
                    <w:rPr>
                      <w:rFonts w:ascii="Cambria Math" w:hAnsi="Cambria Math"/>
                    </w:rPr>
                    <m:t>T</m:t>
                  </m:r>
                </m:sub>
              </m:sSub>
            </m:oMath>
            <w:r>
              <w:t>)</w:t>
            </w:r>
          </w:p>
        </w:tc>
      </w:tr>
      <w:tr w:rsidR="00D86D63" w14:paraId="11C73662" w14:textId="77777777">
        <w:tc>
          <w:tcPr>
            <w:tcW w:w="3080" w:type="dxa"/>
          </w:tcPr>
          <w:p w14:paraId="351C5DFE" w14:textId="77777777" w:rsidR="00D86D63" w:rsidRDefault="00223568">
            <w:pPr>
              <w:pStyle w:val="Compact"/>
            </w:pPr>
            <w:r>
              <w:rPr>
                <w:rStyle w:val="VerbatimChar"/>
              </w:rPr>
              <w:t>nfp_nowcast_std</w:t>
            </w:r>
          </w:p>
        </w:tc>
        <w:tc>
          <w:tcPr>
            <w:tcW w:w="4840" w:type="dxa"/>
          </w:tcPr>
          <w:p w14:paraId="1C4EB01E" w14:textId="77777777" w:rsidR="00D86D63" w:rsidRDefault="00223568">
            <w:pPr>
              <w:pStyle w:val="Compact"/>
            </w:pPr>
            <w:r>
              <w:t xml:space="preserve">Uncertainty (posterior std of </w:t>
            </w:r>
            <m:oMath>
              <m:sSub>
                <m:sSubPr>
                  <m:ctrlPr>
                    <w:rPr>
                      <w:rFonts w:ascii="Cambria Math" w:hAnsi="Cambria Math"/>
                    </w:rPr>
                  </m:ctrlPr>
                </m:sSubPr>
                <m:e>
                  <m:r>
                    <w:rPr>
                      <w:rFonts w:ascii="Cambria Math" w:hAnsi="Cambria Math"/>
                    </w:rPr>
                    <m:t>μ</m:t>
                  </m:r>
                </m:e>
                <m:sub>
                  <m:r>
                    <w:rPr>
                      <w:rFonts w:ascii="Cambria Math" w:hAnsi="Cambria Math"/>
                    </w:rPr>
                    <m:t>T</m:t>
                  </m:r>
                </m:sub>
              </m:sSub>
            </m:oMath>
            <w:r>
              <w:t>)</w:t>
            </w:r>
          </w:p>
        </w:tc>
      </w:tr>
      <w:tr w:rsidR="00D86D63" w14:paraId="07A38D9E" w14:textId="77777777">
        <w:tc>
          <w:tcPr>
            <w:tcW w:w="3080" w:type="dxa"/>
          </w:tcPr>
          <w:p w14:paraId="227E0C05" w14:textId="77777777" w:rsidR="00D86D63" w:rsidRDefault="00223568">
            <w:pPr>
              <w:pStyle w:val="Compact"/>
            </w:pPr>
            <w:r>
              <w:rPr>
                <w:rStyle w:val="VerbatimChar"/>
              </w:rPr>
              <w:t>nfp_nowcast_ci</w:t>
            </w:r>
          </w:p>
        </w:tc>
        <w:tc>
          <w:tcPr>
            <w:tcW w:w="4840" w:type="dxa"/>
          </w:tcPr>
          <w:p w14:paraId="589FDB0E" w14:textId="77777777" w:rsidR="00D86D63" w:rsidRDefault="00223568">
            <w:pPr>
              <w:pStyle w:val="Compact"/>
            </w:pPr>
            <w:r>
              <w:t>80% and 95% credible intervals</w:t>
            </w:r>
          </w:p>
        </w:tc>
      </w:tr>
      <w:tr w:rsidR="00D86D63" w14:paraId="6EB7CCDC" w14:textId="77777777">
        <w:tc>
          <w:tcPr>
            <w:tcW w:w="3080" w:type="dxa"/>
          </w:tcPr>
          <w:p w14:paraId="287C9E99" w14:textId="77777777" w:rsidR="00D86D63" w:rsidRDefault="00223568">
            <w:pPr>
              <w:pStyle w:val="Compact"/>
            </w:pPr>
            <w:r>
              <w:rPr>
                <w:rStyle w:val="VerbatimChar"/>
              </w:rPr>
              <w:t>g_cont</w:t>
            </w:r>
          </w:p>
        </w:tc>
        <w:tc>
          <w:tcPr>
            <w:tcW w:w="4840" w:type="dxa"/>
          </w:tcPr>
          <w:p w14:paraId="4FDD0FE6" w14:textId="77777777" w:rsidR="00D86D63" w:rsidRDefault="00223568">
            <w:pPr>
              <w:pStyle w:val="Compact"/>
            </w:pPr>
            <w:r>
              <w:t>Continuing-units growth trajectory</w:t>
            </w:r>
          </w:p>
        </w:tc>
      </w:tr>
      <w:tr w:rsidR="00D86D63" w14:paraId="2124405C" w14:textId="77777777">
        <w:tc>
          <w:tcPr>
            <w:tcW w:w="3080" w:type="dxa"/>
          </w:tcPr>
          <w:p w14:paraId="1C3AF9C0" w14:textId="77777777" w:rsidR="00D86D63" w:rsidRDefault="00223568">
            <w:pPr>
              <w:pStyle w:val="Compact"/>
            </w:pPr>
            <w:r>
              <w:rPr>
                <w:rStyle w:val="VerbatimChar"/>
              </w:rPr>
              <w:t>bd</w:t>
            </w:r>
          </w:p>
        </w:tc>
        <w:tc>
          <w:tcPr>
            <w:tcW w:w="4840" w:type="dxa"/>
          </w:tcPr>
          <w:p w14:paraId="1D8C0EE6" w14:textId="77777777" w:rsidR="00D86D63" w:rsidRDefault="00223568">
            <w:pPr>
              <w:pStyle w:val="Compact"/>
            </w:pPr>
            <w:r>
              <w:t>Structural BD trajectory</w:t>
            </w:r>
          </w:p>
        </w:tc>
      </w:tr>
      <w:tr w:rsidR="00D86D63" w14:paraId="2A99EEEF" w14:textId="77777777">
        <w:tc>
          <w:tcPr>
            <w:tcW w:w="3080" w:type="dxa"/>
          </w:tcPr>
          <w:p w14:paraId="06C5C2BF" w14:textId="77777777" w:rsidR="00D86D63" w:rsidRDefault="00223568">
            <w:pPr>
              <w:pStyle w:val="Compact"/>
            </w:pPr>
            <w:r>
              <w:rPr>
                <w:rStyle w:val="VerbatimChar"/>
              </w:rPr>
              <w:t>seasonal</w:t>
            </w:r>
          </w:p>
        </w:tc>
        <w:tc>
          <w:tcPr>
            <w:tcW w:w="4840" w:type="dxa"/>
          </w:tcPr>
          <w:p w14:paraId="6BCCCB23" w14:textId="77777777" w:rsidR="00D86D63" w:rsidRDefault="00223568">
            <w:pPr>
              <w:pStyle w:val="Compact"/>
            </w:pPr>
            <w:r>
              <w:t>Fourier seasonal component</w:t>
            </w:r>
          </w:p>
        </w:tc>
      </w:tr>
      <w:tr w:rsidR="00D86D63" w14:paraId="20E78A88" w14:textId="77777777">
        <w:tc>
          <w:tcPr>
            <w:tcW w:w="3080" w:type="dxa"/>
          </w:tcPr>
          <w:p w14:paraId="6E700BFB" w14:textId="77777777" w:rsidR="00D86D63" w:rsidRDefault="00223568">
            <w:pPr>
              <w:pStyle w:val="Compact"/>
            </w:pPr>
            <w:r>
              <w:rPr>
                <w:rStyle w:val="VerbatimChar"/>
              </w:rPr>
              <w:t>provider_signal_quality</w:t>
            </w:r>
          </w:p>
        </w:tc>
        <w:tc>
          <w:tcPr>
            <w:tcW w:w="4840" w:type="dxa"/>
          </w:tcPr>
          <w:p w14:paraId="5B888F1F" w14:textId="77777777" w:rsidR="00D86D63" w:rsidRDefault="00223568">
            <w:pPr>
              <w:pStyle w:val="Compact"/>
            </w:pPr>
            <w:r>
              <w:t xml:space="preserve">Posterior mean of </w:t>
            </w:r>
            <m:oMath>
              <m:sSub>
                <m:sSubPr>
                  <m:ctrlPr>
                    <w:rPr>
                      <w:rFonts w:ascii="Cambria Math" w:hAnsi="Cambria Math"/>
                    </w:rPr>
                  </m:ctrlPr>
                </m:sSubPr>
                <m:e>
                  <m:r>
                    <w:rPr>
                      <w:rFonts w:ascii="Cambria Math" w:hAnsi="Cambria Math"/>
                    </w:rPr>
                    <m:t>λ</m:t>
                  </m:r>
                </m:e>
                <m:sub>
                  <m:r>
                    <w:rPr>
                      <w:rFonts w:ascii="Cambria Math" w:hAnsi="Cambria Math"/>
                    </w:rPr>
                    <m:t>p</m:t>
                  </m:r>
                </m:sub>
              </m:sSub>
            </m:oMath>
            <w:r>
              <w:t xml:space="preserve"> for each provider</w:t>
            </w:r>
          </w:p>
        </w:tc>
      </w:tr>
      <w:tr w:rsidR="00D86D63" w14:paraId="4272E849" w14:textId="77777777">
        <w:tc>
          <w:tcPr>
            <w:tcW w:w="3080" w:type="dxa"/>
          </w:tcPr>
          <w:p w14:paraId="6DBA36F4" w14:textId="77777777" w:rsidR="00D86D63" w:rsidRDefault="00223568">
            <w:pPr>
              <w:pStyle w:val="Compact"/>
            </w:pPr>
            <w:r>
              <w:rPr>
                <w:rStyle w:val="VerbatimChar"/>
              </w:rPr>
              <w:t>provider_bias</w:t>
            </w:r>
          </w:p>
        </w:tc>
        <w:tc>
          <w:tcPr>
            <w:tcW w:w="4840" w:type="dxa"/>
          </w:tcPr>
          <w:p w14:paraId="1BDB2DA6" w14:textId="77777777" w:rsidR="00D86D63" w:rsidRDefault="00223568">
            <w:pPr>
              <w:pStyle w:val="Compact"/>
            </w:pPr>
            <w:r>
              <w:t xml:space="preserve">Posterior mean of </w:t>
            </w:r>
            <m:oMath>
              <m:sSub>
                <m:sSubPr>
                  <m:ctrlPr>
                    <w:rPr>
                      <w:rFonts w:ascii="Cambria Math" w:hAnsi="Cambria Math"/>
                    </w:rPr>
                  </m:ctrlPr>
                </m:sSubPr>
                <m:e>
                  <m:r>
                    <w:rPr>
                      <w:rFonts w:ascii="Cambria Math" w:hAnsi="Cambria Math"/>
                    </w:rPr>
                    <m:t>α</m:t>
                  </m:r>
                </m:e>
                <m:sub>
                  <m:r>
                    <w:rPr>
                      <w:rFonts w:ascii="Cambria Math" w:hAnsi="Cambria Math"/>
                    </w:rPr>
                    <m:t>p</m:t>
                  </m:r>
                </m:sub>
              </m:sSub>
            </m:oMath>
            <w:r>
              <w:t xml:space="preserve"> for each provider</w:t>
            </w:r>
          </w:p>
        </w:tc>
      </w:tr>
      <w:tr w:rsidR="00D86D63" w14:paraId="2E5D4F58" w14:textId="77777777">
        <w:tc>
          <w:tcPr>
            <w:tcW w:w="3080" w:type="dxa"/>
          </w:tcPr>
          <w:p w14:paraId="4D460E16" w14:textId="77777777" w:rsidR="00D86D63" w:rsidRDefault="00223568">
            <w:pPr>
              <w:pStyle w:val="Compact"/>
            </w:pPr>
            <w:r>
              <w:rPr>
                <w:rStyle w:val="VerbatimChar"/>
              </w:rPr>
              <w:t>provider_weights</w:t>
            </w:r>
          </w:p>
        </w:tc>
        <w:tc>
          <w:tcPr>
            <w:tcW w:w="4840" w:type="dxa"/>
          </w:tcPr>
          <w:p w14:paraId="13974C78" w14:textId="77777777" w:rsidR="00D86D63" w:rsidRDefault="00223568">
            <w:pPr>
              <w:pStyle w:val="Compact"/>
            </w:pPr>
            <w:r>
              <w:t>Effective weight (precision share) of each provider in nowcast</w:t>
            </w:r>
          </w:p>
        </w:tc>
      </w:tr>
      <w:tr w:rsidR="00D86D63" w14:paraId="14799E83" w14:textId="77777777">
        <w:tc>
          <w:tcPr>
            <w:tcW w:w="3080" w:type="dxa"/>
          </w:tcPr>
          <w:p w14:paraId="4CB99BD7" w14:textId="77777777" w:rsidR="00D86D63" w:rsidRDefault="00223568">
            <w:pPr>
              <w:pStyle w:val="Compact"/>
            </w:pPr>
            <w:r>
              <w:rPr>
                <w:rStyle w:val="VerbatimChar"/>
              </w:rPr>
              <w:t>precision_budget</w:t>
            </w:r>
          </w:p>
        </w:tc>
        <w:tc>
          <w:tcPr>
            <w:tcW w:w="4840" w:type="dxa"/>
          </w:tcPr>
          <w:p w14:paraId="079C5BC7" w14:textId="77777777" w:rsidR="00D86D63" w:rsidRDefault="00223568">
            <w:pPr>
              <w:pStyle w:val="Compact"/>
            </w:pPr>
            <w:r>
              <w:t>Share of total precision from QCEW, CES (by vintage), each provider</w:t>
            </w:r>
          </w:p>
        </w:tc>
      </w:tr>
    </w:tbl>
    <w:p w14:paraId="18C2CA6E" w14:textId="77777777" w:rsidR="00D86D63" w:rsidRDefault="00223568">
      <w:pPr>
        <w:pStyle w:val="Heading3"/>
      </w:pPr>
      <w:bookmarkStart w:id="26" w:name="diagnostics"/>
      <w:bookmarkEnd w:id="25"/>
      <w:r>
        <w:t>Diagnostics</w:t>
      </w:r>
    </w:p>
    <w:p w14:paraId="03DC9257" w14:textId="77777777" w:rsidR="00D86D63" w:rsidRDefault="00223568">
      <w:pPr>
        <w:pStyle w:val="Compact"/>
        <w:numPr>
          <w:ilvl w:val="0"/>
          <w:numId w:val="6"/>
        </w:numPr>
      </w:pPr>
      <w:r>
        <w:t>Standardized residuals by source (QCEW, CES SA/NSA, each provider)</w:t>
      </w:r>
    </w:p>
    <w:p w14:paraId="3FE6C5CF" w14:textId="77777777" w:rsidR="00D86D63" w:rsidRDefault="00223568">
      <w:pPr>
        <w:pStyle w:val="Compact"/>
        <w:numPr>
          <w:ilvl w:val="0"/>
          <w:numId w:val="6"/>
        </w:numPr>
      </w:pPr>
      <w:r>
        <w:t>Posterior predictive checks: test statistics (skewness, lag-1 ACF) against replicated data</w:t>
      </w:r>
    </w:p>
    <w:p w14:paraId="133F6481" w14:textId="77777777" w:rsidR="00D86D63" w:rsidRDefault="00223568">
      <w:pPr>
        <w:pStyle w:val="Compact"/>
        <w:numPr>
          <w:ilvl w:val="0"/>
          <w:numId w:val="6"/>
        </w:numPr>
      </w:pPr>
      <w:r>
        <w:t xml:space="preserve">LOO-CV with Pareto </w:t>
      </w:r>
      <m:oMath>
        <m:acc>
          <m:accPr>
            <m:ctrlPr>
              <w:rPr>
                <w:rFonts w:ascii="Cambria Math" w:hAnsi="Cambria Math"/>
              </w:rPr>
            </m:ctrlPr>
          </m:accPr>
          <m:e>
            <m:r>
              <w:rPr>
                <w:rFonts w:ascii="Cambria Math" w:hAnsi="Cambria Math"/>
              </w:rPr>
              <m:t>k</m:t>
            </m:r>
          </m:e>
        </m:acc>
      </m:oMath>
      <w:r>
        <w:t xml:space="preserve"> diagnostics flagging influential observations</w:t>
      </w:r>
    </w:p>
    <w:p w14:paraId="01FF553A" w14:textId="77777777" w:rsidR="00D86D63" w:rsidRDefault="00223568">
      <w:pPr>
        <w:pStyle w:val="Compact"/>
        <w:numPr>
          <w:ilvl w:val="0"/>
          <w:numId w:val="6"/>
        </w:numPr>
      </w:pPr>
      <w:r>
        <w:t xml:space="preserve">QCEW sigma sensitivity: parameter stability across </w:t>
      </w:r>
      <m:oMath>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noise scales</w:t>
      </w:r>
    </w:p>
    <w:p w14:paraId="3B753390" w14:textId="77777777" w:rsidR="00D86D63" w:rsidRDefault="00223568">
      <w:pPr>
        <w:pStyle w:val="Compact"/>
        <w:numPr>
          <w:ilvl w:val="0"/>
          <w:numId w:val="6"/>
        </w:numPr>
      </w:pPr>
      <w:r>
        <w:lastRenderedPageBreak/>
        <w:t>Precision budget decomposition across noise scale configurations</w:t>
      </w:r>
    </w:p>
    <w:p w14:paraId="1A47FC93" w14:textId="77777777" w:rsidR="00D86D63" w:rsidRDefault="00223568">
      <w:pPr>
        <w:pStyle w:val="Compact"/>
        <w:numPr>
          <w:ilvl w:val="0"/>
          <w:numId w:val="6"/>
        </w:numPr>
      </w:pPr>
      <w:r>
        <w:t>Expanding-window out-of-sample backtest against NFP releases</w:t>
      </w:r>
    </w:p>
    <w:p w14:paraId="56B1550A" w14:textId="77777777" w:rsidR="00D86D63" w:rsidRDefault="00223568">
      <w:pPr>
        <w:pStyle w:val="Heading3"/>
      </w:pPr>
      <w:bookmarkStart w:id="27" w:name="validation-metrics"/>
      <w:bookmarkEnd w:id="26"/>
      <w:r>
        <w:t>Validation Metrics</w:t>
      </w:r>
    </w:p>
    <w:p w14:paraId="6C183EF7" w14:textId="77777777" w:rsidR="00D86D63" w:rsidRDefault="00223568">
      <w:pPr>
        <w:pStyle w:val="Compact"/>
        <w:numPr>
          <w:ilvl w:val="0"/>
          <w:numId w:val="7"/>
        </w:numPr>
      </w:pPr>
      <w:r>
        <w:t>Out-of-sample RMSE against NFP releases (by CES vintage: first, second, final, benchmarked)</w:t>
      </w:r>
    </w:p>
    <w:p w14:paraId="79347DDE" w14:textId="77777777" w:rsidR="00D86D63" w:rsidRDefault="00223568">
      <w:pPr>
        <w:pStyle w:val="Compact"/>
        <w:numPr>
          <w:ilvl w:val="0"/>
          <w:numId w:val="7"/>
        </w:numPr>
      </w:pPr>
      <w:r>
        <w:t>Coverage of credible intervals (80% and 95%)</w:t>
      </w:r>
    </w:p>
    <w:p w14:paraId="6DCD9C51" w14:textId="77777777" w:rsidR="00D86D63" w:rsidRDefault="00223568">
      <w:pPr>
        <w:pStyle w:val="Compact"/>
        <w:numPr>
          <w:ilvl w:val="0"/>
          <w:numId w:val="7"/>
        </w:numPr>
      </w:pPr>
      <w:r>
        <w:t>Comparison to naive forecast (random walk on NFP)</w:t>
      </w:r>
    </w:p>
    <w:p w14:paraId="03F2B435" w14:textId="77777777" w:rsidR="00D86D63" w:rsidRDefault="00223568">
      <w:pPr>
        <w:pStyle w:val="Compact"/>
        <w:numPr>
          <w:ilvl w:val="0"/>
          <w:numId w:val="7"/>
        </w:numPr>
      </w:pPr>
      <w:r>
        <w:t>Comparison to post-2026 BLS NBDM (with WLR-regression improvement)</w:t>
      </w:r>
    </w:p>
    <w:p w14:paraId="10F81492" w14:textId="77777777" w:rsidR="00D86D63" w:rsidRDefault="00223568">
      <w:pPr>
        <w:pStyle w:val="Compact"/>
        <w:numPr>
          <w:ilvl w:val="0"/>
          <w:numId w:val="7"/>
        </w:numPr>
      </w:pPr>
      <w:r>
        <w:t>Provider-specific signal quality rankings</w:t>
      </w:r>
    </w:p>
    <w:p w14:paraId="1839EB2D" w14:textId="77777777" w:rsidR="00D86D63" w:rsidRDefault="00223568">
      <w:pPr>
        <w:pStyle w:val="Compact"/>
        <w:numPr>
          <w:ilvl w:val="0"/>
          <w:numId w:val="7"/>
        </w:numPr>
      </w:pPr>
      <w:r>
        <w:t>BD component accuracy against annual benchmark revisions</w:t>
      </w:r>
    </w:p>
    <w:p w14:paraId="00FFD16D" w14:textId="77777777" w:rsidR="00D86D63" w:rsidRDefault="00223568">
      <w:pPr>
        <w:pStyle w:val="Heading3"/>
      </w:pPr>
      <w:bookmarkStart w:id="28" w:name="limitations"/>
      <w:bookmarkEnd w:id="27"/>
      <w:r>
        <w:t>Limitations</w:t>
      </w:r>
    </w:p>
    <w:p w14:paraId="7111FF49" w14:textId="77777777" w:rsidR="00D86D63" w:rsidRDefault="00223568">
      <w:pPr>
        <w:pStyle w:val="Compact"/>
        <w:numPr>
          <w:ilvl w:val="0"/>
          <w:numId w:val="8"/>
        </w:numPr>
      </w:pPr>
      <w:r>
        <w:t>No geographic or industry decomposition</w:t>
      </w:r>
    </w:p>
    <w:p w14:paraId="5A7B98AB" w14:textId="77777777" w:rsidR="00D86D63" w:rsidRDefault="00223568">
      <w:pPr>
        <w:pStyle w:val="Compact"/>
        <w:numPr>
          <w:ilvl w:val="0"/>
          <w:numId w:val="8"/>
        </w:numPr>
      </w:pPr>
      <w:r>
        <w:t>Cannot explain drivers of national forecast</w:t>
      </w:r>
    </w:p>
    <w:p w14:paraId="529CB4CE" w14:textId="77777777" w:rsidR="00D86D63" w:rsidRDefault="00223568">
      <w:pPr>
        <w:pStyle w:val="Compact"/>
        <w:numPr>
          <w:ilvl w:val="0"/>
          <w:numId w:val="8"/>
        </w:numPr>
      </w:pPr>
      <w:r>
        <w:t>Static provider bias (no drift accommodation)</w:t>
      </w:r>
    </w:p>
    <w:p w14:paraId="60D1371F" w14:textId="5AE8FCC3" w:rsidR="00D86D63" w:rsidRDefault="00D86D63"/>
    <w:p w14:paraId="553C9CDE" w14:textId="77777777" w:rsidR="00D86D63" w:rsidRDefault="00223568">
      <w:pPr>
        <w:pStyle w:val="Heading1"/>
      </w:pPr>
      <w:bookmarkStart w:id="29" w:name="X39e4fab0cff7e2d020cc7ed8b9fa6dccb608699"/>
      <w:bookmarkEnd w:id="4"/>
      <w:bookmarkEnd w:id="6"/>
      <w:bookmarkEnd w:id="28"/>
      <w:r>
        <w:t>Release 2: Cell-Level Estimation with MinT Reconciliation</w:t>
      </w:r>
    </w:p>
    <w:p w14:paraId="115ACD1D" w14:textId="77777777" w:rsidR="00D86D63" w:rsidRDefault="00223568">
      <w:pPr>
        <w:pStyle w:val="Heading2"/>
      </w:pPr>
      <w:bookmarkStart w:id="30" w:name="objective-1"/>
      <w:r>
        <w:t>Objective</w:t>
      </w:r>
    </w:p>
    <w:p w14:paraId="637B8A8E" w14:textId="77777777" w:rsidR="00D86D63" w:rsidRDefault="00223568">
      <w:pPr>
        <w:pStyle w:val="FirstParagraph"/>
      </w:pPr>
      <w:r>
        <w:t>Decompose the national estimate into geography × industry cells, producing a narrative of where national employment change is coming from. Cells are reconciled to the national total via MinT, ensuring coherence.</w:t>
      </w:r>
    </w:p>
    <w:p w14:paraId="157F4C32" w14:textId="77777777" w:rsidR="00D86D63" w:rsidRDefault="00223568">
      <w:pPr>
        <w:pStyle w:val="Heading2"/>
      </w:pPr>
      <w:bookmarkStart w:id="31" w:name="incremental-changes-from-release-1"/>
      <w:bookmarkEnd w:id="30"/>
      <w:r>
        <w:t>Incremental Changes from Release 1</w:t>
      </w:r>
    </w:p>
    <w:p w14:paraId="4F9ACF23" w14:textId="77777777" w:rsidR="00D86D63" w:rsidRDefault="00223568">
      <w:pPr>
        <w:pStyle w:val="Compact"/>
        <w:numPr>
          <w:ilvl w:val="0"/>
          <w:numId w:val="9"/>
        </w:numPr>
      </w:pPr>
      <w:r>
        <w:t>Decompose national latent state into geography × industry cells</w:t>
      </w:r>
    </w:p>
    <w:p w14:paraId="01095BAB" w14:textId="77777777" w:rsidR="00D86D63" w:rsidRDefault="00223568">
      <w:pPr>
        <w:pStyle w:val="Compact"/>
        <w:numPr>
          <w:ilvl w:val="0"/>
          <w:numId w:val="9"/>
        </w:numPr>
      </w:pPr>
      <w:r>
        <w:t>Each cell has its own latent state, BD intensity, and seasonal pattern</w:t>
      </w:r>
    </w:p>
    <w:p w14:paraId="5F0E5C73" w14:textId="77777777" w:rsidR="00D86D63" w:rsidRDefault="00223568">
      <w:pPr>
        <w:pStyle w:val="Compact"/>
        <w:numPr>
          <w:ilvl w:val="0"/>
          <w:numId w:val="9"/>
        </w:numPr>
      </w:pPr>
      <w:r>
        <w:t>Dual estimation: independent national model + independent cell models</w:t>
      </w:r>
    </w:p>
    <w:p w14:paraId="44FDA3DC" w14:textId="77777777" w:rsidR="00D86D63" w:rsidRDefault="00223568">
      <w:pPr>
        <w:pStyle w:val="Compact"/>
        <w:numPr>
          <w:ilvl w:val="0"/>
          <w:numId w:val="9"/>
        </w:numPr>
      </w:pPr>
      <w:r>
        <w:t>MinT reconciliation produces coherent cell estimates that sum to national</w:t>
      </w:r>
    </w:p>
    <w:p w14:paraId="51840C6E" w14:textId="77777777" w:rsidR="00D86D63" w:rsidRDefault="00223568">
      <w:pPr>
        <w:pStyle w:val="Compact"/>
        <w:numPr>
          <w:ilvl w:val="0"/>
          <w:numId w:val="9"/>
        </w:numPr>
      </w:pPr>
      <w:r>
        <w:t>Discrepancy model absorbs structural gap between sum-of-cells and national</w:t>
      </w:r>
    </w:p>
    <w:p w14:paraId="51DDCC2D" w14:textId="77777777" w:rsidR="00D86D63" w:rsidRDefault="00223568">
      <w:pPr>
        <w:pStyle w:val="Compact"/>
        <w:numPr>
          <w:ilvl w:val="0"/>
          <w:numId w:val="9"/>
        </w:numPr>
      </w:pPr>
      <w:r>
        <w:t>Exchangeable (non-nested) hierarchical priors over cells</w:t>
      </w:r>
    </w:p>
    <w:p w14:paraId="44EEA99F" w14:textId="77777777" w:rsidR="00D86D63" w:rsidRDefault="00223568">
      <w:pPr>
        <w:pStyle w:val="Compact"/>
        <w:numPr>
          <w:ilvl w:val="0"/>
          <w:numId w:val="9"/>
        </w:numPr>
      </w:pPr>
      <w:r>
        <w:t>Information-regime framework gates observations by publication timing</w:t>
      </w:r>
    </w:p>
    <w:p w14:paraId="12EE1959" w14:textId="77777777" w:rsidR="00D86D63" w:rsidRDefault="00223568">
      <w:pPr>
        <w:pStyle w:val="Compact"/>
        <w:numPr>
          <w:ilvl w:val="0"/>
          <w:numId w:val="9"/>
        </w:numPr>
      </w:pPr>
      <w:r>
        <w:t>Hierarchical Fourier seasonal with industry-parent shrinkage</w:t>
      </w:r>
    </w:p>
    <w:p w14:paraId="534F23FA" w14:textId="77777777" w:rsidR="00D86D63" w:rsidRDefault="00223568">
      <w:pPr>
        <w:pStyle w:val="Heading2"/>
      </w:pPr>
      <w:bookmarkStart w:id="32" w:name="system-description-1"/>
      <w:bookmarkEnd w:id="31"/>
      <w:r>
        <w:t>System Description</w:t>
      </w:r>
    </w:p>
    <w:p w14:paraId="1E2413F3" w14:textId="77777777" w:rsidR="00D86D63" w:rsidRDefault="00223568">
      <w:pPr>
        <w:pStyle w:val="FirstParagraph"/>
      </w:pPr>
      <w:r>
        <w:t xml:space="preserve">Each cell </w:t>
      </w:r>
      <m:oMath>
        <m:r>
          <w:rPr>
            <w:rFonts w:ascii="Cambria Math" w:hAnsi="Cambria Math"/>
          </w:rPr>
          <m:t>j</m:t>
        </m:r>
      </m:oMath>
      <w:r>
        <w:t xml:space="preserve"> in a geography × industry grid has its own latent continuing-units growth, BD contribution, and seasonal pattern. The system runs dual estimation: a national model (Release 1) and independent cell-level models. MinT reconciliation (Wickramasuriya et </w:t>
      </w:r>
      <w:r>
        <w:lastRenderedPageBreak/>
        <w:t>al. 2019) combines them to produce coherent forecasts where cells sum exactly to the national total.</w:t>
      </w:r>
    </w:p>
    <w:p w14:paraId="691E1ADB" w14:textId="77777777" w:rsidR="00D86D63" w:rsidRDefault="00223568">
      <w:pPr>
        <w:pStyle w:val="BodyText"/>
      </w:pPr>
      <w:r>
        <w:rPr>
          <w:b/>
          <w:bCs/>
        </w:rPr>
        <w:t>Start with coarse cells.</w:t>
      </w:r>
      <w:r>
        <w:t xml:space="preserve"> The initial deployment uses 4 Census regions × 3–4 broad industry groups (10–16 cells) rather than the full state × supersector grid (~550 cells, many sparse). This tests the reconciliation machinery with individually well-identified cells before scaling.</w:t>
      </w:r>
    </w:p>
    <w:p w14:paraId="42F92BA2" w14:textId="77777777" w:rsidR="00D86D63" w:rsidRDefault="00223568">
      <w:pPr>
        <w:pStyle w:val="Heading3"/>
      </w:pPr>
      <w:bookmarkStart w:id="33" w:name="additional-data-inputs"/>
      <w:r>
        <w:t>Additional Data Inputs</w:t>
      </w:r>
    </w:p>
    <w:tbl>
      <w:tblPr>
        <w:tblStyle w:val="Table"/>
        <w:tblW w:w="5000" w:type="pct"/>
        <w:tblLayout w:type="fixed"/>
        <w:tblLook w:val="0020" w:firstRow="1" w:lastRow="0" w:firstColumn="0" w:lastColumn="0" w:noHBand="0" w:noVBand="0"/>
      </w:tblPr>
      <w:tblGrid>
        <w:gridCol w:w="2024"/>
        <w:gridCol w:w="2403"/>
        <w:gridCol w:w="2024"/>
        <w:gridCol w:w="2909"/>
      </w:tblGrid>
      <w:tr w:rsidR="00D86D63" w14:paraId="5B13268C"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1712" w:type="dxa"/>
          </w:tcPr>
          <w:p w14:paraId="6C0BCB27" w14:textId="77777777" w:rsidR="00D86D63" w:rsidRDefault="00223568">
            <w:pPr>
              <w:pStyle w:val="Compact"/>
            </w:pPr>
            <w:r>
              <w:t>Source</w:t>
            </w:r>
          </w:p>
        </w:tc>
        <w:tc>
          <w:tcPr>
            <w:tcW w:w="2033" w:type="dxa"/>
          </w:tcPr>
          <w:p w14:paraId="1B7D8730" w14:textId="77777777" w:rsidR="00D86D63" w:rsidRDefault="00223568">
            <w:pPr>
              <w:pStyle w:val="Compact"/>
            </w:pPr>
            <w:r>
              <w:t>Frequency</w:t>
            </w:r>
          </w:p>
        </w:tc>
        <w:tc>
          <w:tcPr>
            <w:tcW w:w="1712" w:type="dxa"/>
          </w:tcPr>
          <w:p w14:paraId="39B80532" w14:textId="77777777" w:rsidR="00D86D63" w:rsidRDefault="00223568">
            <w:pPr>
              <w:pStyle w:val="Compact"/>
            </w:pPr>
            <w:r>
              <w:t>Lag</w:t>
            </w:r>
          </w:p>
        </w:tc>
        <w:tc>
          <w:tcPr>
            <w:tcW w:w="2461" w:type="dxa"/>
          </w:tcPr>
          <w:p w14:paraId="63AC10F3" w14:textId="77777777" w:rsidR="00D86D63" w:rsidRDefault="00223568">
            <w:pPr>
              <w:pStyle w:val="Compact"/>
            </w:pPr>
            <w:r>
              <w:t>Description</w:t>
            </w:r>
          </w:p>
        </w:tc>
      </w:tr>
      <w:tr w:rsidR="00D86D63" w14:paraId="0D73E7C4" w14:textId="77777777">
        <w:tc>
          <w:tcPr>
            <w:tcW w:w="1712" w:type="dxa"/>
          </w:tcPr>
          <w:p w14:paraId="08BAB4C3" w14:textId="77777777" w:rsidR="00D86D63" w:rsidRDefault="00223568">
            <w:pPr>
              <w:pStyle w:val="Compact"/>
            </w:pPr>
            <w:r>
              <w:t>CES State (SA + NSA)</w:t>
            </w:r>
          </w:p>
        </w:tc>
        <w:tc>
          <w:tcPr>
            <w:tcW w:w="2033" w:type="dxa"/>
          </w:tcPr>
          <w:p w14:paraId="7DB53F87" w14:textId="77777777" w:rsidR="00D86D63" w:rsidRDefault="00223568">
            <w:pPr>
              <w:pStyle w:val="Compact"/>
            </w:pPr>
            <w:r>
              <w:t>Monthly</w:t>
            </w:r>
          </w:p>
        </w:tc>
        <w:tc>
          <w:tcPr>
            <w:tcW w:w="1712" w:type="dxa"/>
          </w:tcPr>
          <w:p w14:paraId="2D532211" w14:textId="77777777" w:rsidR="00D86D63" w:rsidRDefault="00223568">
            <w:pPr>
              <w:pStyle w:val="Compact"/>
            </w:pPr>
            <w:r>
              <w:t>~5 weeks (1st print), ~9 weeks (final)</w:t>
            </w:r>
          </w:p>
        </w:tc>
        <w:tc>
          <w:tcPr>
            <w:tcW w:w="2461" w:type="dxa"/>
          </w:tcPr>
          <w:p w14:paraId="694EC1F6" w14:textId="77777777" w:rsidR="00D86D63" w:rsidRDefault="00223568">
            <w:pPr>
              <w:pStyle w:val="Compact"/>
            </w:pPr>
            <w:r>
              <w:t>State total nonfarm. Two closings.</w:t>
            </w:r>
          </w:p>
        </w:tc>
      </w:tr>
      <w:tr w:rsidR="00D86D63" w14:paraId="62B68CA6" w14:textId="77777777">
        <w:tc>
          <w:tcPr>
            <w:tcW w:w="1712" w:type="dxa"/>
          </w:tcPr>
          <w:p w14:paraId="328F052C" w14:textId="77777777" w:rsidR="00D86D63" w:rsidRDefault="00223568">
            <w:pPr>
              <w:pStyle w:val="Compact"/>
            </w:pPr>
            <w:r>
              <w:t>CES National by Supersector</w:t>
            </w:r>
          </w:p>
        </w:tc>
        <w:tc>
          <w:tcPr>
            <w:tcW w:w="2033" w:type="dxa"/>
          </w:tcPr>
          <w:p w14:paraId="33C640F4" w14:textId="77777777" w:rsidR="00D86D63" w:rsidRDefault="00223568">
            <w:pPr>
              <w:pStyle w:val="Compact"/>
            </w:pPr>
            <w:r>
              <w:t>Monthly</w:t>
            </w:r>
          </w:p>
        </w:tc>
        <w:tc>
          <w:tcPr>
            <w:tcW w:w="1712" w:type="dxa"/>
          </w:tcPr>
          <w:p w14:paraId="57B68D8E" w14:textId="77777777" w:rsidR="00D86D63" w:rsidRDefault="00223568">
            <w:pPr>
              <w:pStyle w:val="Compact"/>
            </w:pPr>
            <w:r>
              <w:t>Same as CES national</w:t>
            </w:r>
          </w:p>
        </w:tc>
        <w:tc>
          <w:tcPr>
            <w:tcW w:w="2461" w:type="dxa"/>
          </w:tcPr>
          <w:p w14:paraId="11617447" w14:textId="77777777" w:rsidR="00D86D63" w:rsidRDefault="00223568">
            <w:pPr>
              <w:pStyle w:val="Compact"/>
            </w:pPr>
            <w:r>
              <w:t>Industry-level CES.</w:t>
            </w:r>
          </w:p>
        </w:tc>
      </w:tr>
      <w:tr w:rsidR="00D86D63" w14:paraId="2D65622E" w14:textId="77777777">
        <w:tc>
          <w:tcPr>
            <w:tcW w:w="1712" w:type="dxa"/>
          </w:tcPr>
          <w:p w14:paraId="103EB9BD" w14:textId="77777777" w:rsidR="00D86D63" w:rsidRDefault="00223568">
            <w:pPr>
              <w:pStyle w:val="Compact"/>
            </w:pPr>
            <w:r>
              <w:t>QCEW by State</w:t>
            </w:r>
          </w:p>
        </w:tc>
        <w:tc>
          <w:tcPr>
            <w:tcW w:w="2033" w:type="dxa"/>
          </w:tcPr>
          <w:p w14:paraId="51683DAF" w14:textId="77777777" w:rsidR="00D86D63" w:rsidRDefault="00223568">
            <w:pPr>
              <w:pStyle w:val="Compact"/>
            </w:pPr>
            <w:r>
              <w:t>Quarterly</w:t>
            </w:r>
          </w:p>
        </w:tc>
        <w:tc>
          <w:tcPr>
            <w:tcW w:w="1712" w:type="dxa"/>
          </w:tcPr>
          <w:p w14:paraId="27133AFE" w14:textId="77777777" w:rsidR="00D86D63" w:rsidRDefault="00223568">
            <w:pPr>
              <w:pStyle w:val="Compact"/>
            </w:pPr>
            <w:r>
              <w:t>~5–6 months</w:t>
            </w:r>
          </w:p>
        </w:tc>
        <w:tc>
          <w:tcPr>
            <w:tcW w:w="2461" w:type="dxa"/>
          </w:tcPr>
          <w:p w14:paraId="27CAE2A3" w14:textId="77777777" w:rsidR="00D86D63" w:rsidRDefault="00223568">
            <w:pPr>
              <w:pStyle w:val="Compact"/>
            </w:pPr>
            <w:r>
              <w:t>State-level near-census. M3/M12 differential applies.</w:t>
            </w:r>
          </w:p>
        </w:tc>
      </w:tr>
      <w:tr w:rsidR="00D86D63" w14:paraId="1B01E26F" w14:textId="77777777">
        <w:tc>
          <w:tcPr>
            <w:tcW w:w="1712" w:type="dxa"/>
          </w:tcPr>
          <w:p w14:paraId="257445D2" w14:textId="77777777" w:rsidR="00D86D63" w:rsidRDefault="00223568">
            <w:pPr>
              <w:pStyle w:val="Compact"/>
            </w:pPr>
            <w:r>
              <w:t>Provider data by cell</w:t>
            </w:r>
          </w:p>
        </w:tc>
        <w:tc>
          <w:tcPr>
            <w:tcW w:w="2033" w:type="dxa"/>
          </w:tcPr>
          <w:p w14:paraId="78A74B39" w14:textId="77777777" w:rsidR="00D86D63" w:rsidRDefault="00223568">
            <w:pPr>
              <w:pStyle w:val="Compact"/>
            </w:pPr>
            <w:r>
              <w:t>Monthly</w:t>
            </w:r>
          </w:p>
        </w:tc>
        <w:tc>
          <w:tcPr>
            <w:tcW w:w="1712" w:type="dxa"/>
          </w:tcPr>
          <w:p w14:paraId="44FDC3EA" w14:textId="77777777" w:rsidR="00D86D63" w:rsidRDefault="00223568">
            <w:pPr>
              <w:pStyle w:val="Compact"/>
            </w:pPr>
            <w:r>
              <w:t>Real-time</w:t>
            </w:r>
          </w:p>
        </w:tc>
        <w:tc>
          <w:tcPr>
            <w:tcW w:w="2461" w:type="dxa"/>
          </w:tcPr>
          <w:p w14:paraId="5651CBBD" w14:textId="77777777" w:rsidR="00D86D63" w:rsidRDefault="00223568">
            <w:pPr>
              <w:pStyle w:val="Compact"/>
            </w:pPr>
            <w:r>
              <w:t>Cell-level provider indices (where provider coverage exists).</w:t>
            </w:r>
          </w:p>
        </w:tc>
      </w:tr>
    </w:tbl>
    <w:p w14:paraId="32588ED2" w14:textId="77777777" w:rsidR="00D86D63" w:rsidRDefault="00223568">
      <w:pPr>
        <w:pStyle w:val="BodyText"/>
      </w:pPr>
      <w:r>
        <w:rPr>
          <w:b/>
          <w:bCs/>
        </w:rPr>
        <w:t>CES state timing constraint.</w:t>
      </w:r>
      <w:r>
        <w:t xml:space="preserve"> State CES arrives ~2 weeks after national CES. During this window (Regime B below), the national number is anchored to official data but subnational decomposition relies on provider signals and hierarchical priors alone. State final benchmarks arrive in March, one month after national final benchmarks in February — creating an additional asymmetry.</w:t>
      </w:r>
    </w:p>
    <w:p w14:paraId="0A6BE79B" w14:textId="77777777" w:rsidR="00D86D63" w:rsidRDefault="00223568">
      <w:pPr>
        <w:pStyle w:val="BodyText"/>
      </w:pPr>
      <w:r>
        <w:rPr>
          <w:b/>
          <w:bCs/>
        </w:rPr>
        <w:t>Revision-data constraint.</w:t>
      </w:r>
      <w:r>
        <w:t xml:space="preserve"> CES state revisions exist only for total nonfarm — not by industry. QCEW state revisions exist but not by industry. Cell-level measurement-error parameters for state × industry combinations cannot be directly calibrated from revision data and must be drawn from hierarchical priors pooling toward observable parent-level variances (see priors below).</w:t>
      </w:r>
    </w:p>
    <w:p w14:paraId="68A0EC90" w14:textId="77777777" w:rsidR="00D86D63" w:rsidRDefault="00223568">
      <w:pPr>
        <w:pStyle w:val="Heading3"/>
      </w:pPr>
      <w:bookmarkStart w:id="34" w:name="complete-model-specification-1"/>
      <w:bookmarkEnd w:id="33"/>
      <w:r>
        <w:t>Complete Model Specification</w:t>
      </w:r>
    </w:p>
    <w:p w14:paraId="00A0468E" w14:textId="77777777" w:rsidR="00D86D63" w:rsidRDefault="00223568">
      <w:pPr>
        <w:pStyle w:val="Heading4"/>
      </w:pPr>
      <w:bookmarkStart w:id="35" w:name="cell-level-latent-states"/>
      <w:r>
        <w:t>Cell-Level Latent States</w:t>
      </w:r>
    </w:p>
    <w:p w14:paraId="1FBF5AD4" w14:textId="77777777" w:rsidR="00D86D63" w:rsidRDefault="00223568">
      <w:pPr>
        <w:pStyle w:val="FirstParagraph"/>
      </w:pPr>
      <w:r>
        <w:t xml:space="preserve">For each cell </w:t>
      </w:r>
      <m:oMath>
        <m:r>
          <w:rPr>
            <w:rFonts w:ascii="Cambria Math" w:hAnsi="Cambria Math"/>
          </w:rPr>
          <m:t>j</m:t>
        </m:r>
      </m:oMath>
      <w:r>
        <w:t xml:space="preserve"> in the geography × industry grid:</w:t>
      </w:r>
    </w:p>
    <w:p w14:paraId="0B0C3510"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6E5C4EB6"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66447E89" w14:textId="77777777" w:rsidR="00D86D63" w:rsidRDefault="00223568">
      <w:pPr>
        <w:pStyle w:val="Heading4"/>
      </w:pPr>
      <w:bookmarkStart w:id="36" w:name="cell-level-birthdeath"/>
      <w:bookmarkEnd w:id="35"/>
      <w:r>
        <w:lastRenderedPageBreak/>
        <w:t>Cell-Level Birth/Death</w:t>
      </w:r>
    </w:p>
    <w:p w14:paraId="6CB72AE7" w14:textId="77777777" w:rsidR="00D86D63" w:rsidRDefault="00223568">
      <w:pPr>
        <w:pStyle w:val="FirstParagraph"/>
      </w:pPr>
      <w:r>
        <w:t>BD intensity varies across cells — construction and hospitality have high birth/death rates; healthcare and government have low rates:</w:t>
      </w:r>
    </w:p>
    <w:p w14:paraId="49F5D7A7" w14:textId="77777777" w:rsidR="00D86D63" w:rsidRDefault="00223568">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j</m:t>
              </m:r>
            </m:sub>
          </m:sSub>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birt</m:t>
              </m:r>
              <m:r>
                <w:rPr>
                  <w:rFonts w:ascii="Cambria Math" w:hAnsi="Cambria Math"/>
                </w:rPr>
                <m:t>h</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r>
                <m:rPr>
                  <m:sty m:val="p"/>
                </m:rPr>
                <w:rPr>
                  <w:rFonts w:ascii="Cambria Math" w:hAnsi="Cambria Math"/>
                </w:rPr>
                <m:t>,</m:t>
              </m:r>
              <m:r>
                <w:rPr>
                  <w:rFonts w:ascii="Cambria Math" w:hAnsi="Cambria Math"/>
                </w:rPr>
                <m:t>j</m:t>
              </m:r>
            </m:sub>
          </m:sSub>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r>
                <m:rPr>
                  <m:sty m:val="p"/>
                </m:rPr>
                <w:rPr>
                  <w:rFonts w:ascii="Cambria Math" w:hAnsi="Cambria Math"/>
                </w:rPr>
                <m:t>,</m:t>
              </m:r>
              <m:r>
                <w:rPr>
                  <w:rFonts w:ascii="Cambria Math" w:hAnsi="Cambria Math"/>
                </w:rPr>
                <m:t>j</m:t>
              </m:r>
            </m:sub>
          </m:sSub>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cycle</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BD</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775F058B" w14:textId="77777777" w:rsidR="00D86D63" w:rsidRDefault="00223568">
      <w:pPr>
        <w:pStyle w:val="FirstParagraph"/>
      </w:pPr>
      <w:r>
        <w:t>BD parameters are drawn from exchangeable priors (nested hierarchy deferred to Release 3):</w:t>
      </w:r>
    </w:p>
    <w:p w14:paraId="1364AA92"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ϕ</m:t>
                      </m:r>
                    </m:e>
                    <m:sub>
                      <m:r>
                        <w:rPr>
                          <w:rFonts w:ascii="Cambria Math" w:hAnsi="Cambria Math"/>
                        </w:rPr>
                        <m:t>0</m:t>
                      </m:r>
                    </m:sub>
                  </m:sSub>
                </m:sub>
                <m:sup>
                  <m:r>
                    <w:rPr>
                      <w:rFonts w:ascii="Cambria Math" w:hAnsi="Cambria Math"/>
                    </w:rPr>
                    <m:t>2</m:t>
                  </m:r>
                </m:sup>
              </m:sSubSup>
            </m:e>
          </m:d>
        </m:oMath>
      </m:oMathPara>
    </w:p>
    <w:p w14:paraId="17F06D4C"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BD</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LogNormal</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BD</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BD</m:t>
                      </m:r>
                    </m:sub>
                  </m:sSub>
                </m:sub>
                <m:sup>
                  <m:r>
                    <w:rPr>
                      <w:rFonts w:ascii="Cambria Math" w:hAnsi="Cambria Math"/>
                    </w:rPr>
                    <m:t>2</m:t>
                  </m:r>
                </m:sup>
              </m:sSubSup>
            </m:e>
          </m:d>
        </m:oMath>
      </m:oMathPara>
    </w:p>
    <w:p w14:paraId="7D9DB04E" w14:textId="77777777" w:rsidR="00D86D63" w:rsidRDefault="00223568">
      <w:pPr>
        <w:pStyle w:val="Heading4"/>
      </w:pPr>
      <w:bookmarkStart w:id="37" w:name="hierarchical-fourier-seasonal"/>
      <w:bookmarkEnd w:id="36"/>
      <w:r>
        <w:t>Hierarchical Fourier Seasonal</w:t>
      </w:r>
    </w:p>
    <w:p w14:paraId="2581AD47" w14:textId="77777777" w:rsidR="00D86D63" w:rsidRDefault="00223568">
      <w:pPr>
        <w:pStyle w:val="FirstParagraph"/>
      </w:pPr>
      <w:r>
        <w:t>Cell-level seasonal patterns are drawn from a hierarchy with industry as the primary parent (industry seasonality typically dominates geography: retail is seasonal everywhere; healthcare isn’t seasonal anywhere):</w:t>
      </w:r>
    </w:p>
    <w:p w14:paraId="7AE149E4"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oMath>
      </m:oMathPara>
    </w:p>
    <w:p w14:paraId="2FDCAC83"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oMath>
      </m:oMathPara>
    </w:p>
    <w:p w14:paraId="3FD2DAA8" w14:textId="77777777" w:rsidR="00D86D63" w:rsidRDefault="00223568">
      <w:pPr>
        <w:pStyle w:val="FirstParagraph"/>
      </w:pPr>
      <w:r>
        <w:t xml:space="preserve">where </w:t>
      </w:r>
      <m:oMath>
        <m:r>
          <w:rPr>
            <w:rFonts w:ascii="Cambria Math" w:hAnsi="Cambria Math"/>
          </w:rPr>
          <m:t>s</m:t>
        </m:r>
        <m:d>
          <m:dPr>
            <m:ctrlPr>
              <w:rPr>
                <w:rFonts w:ascii="Cambria Math" w:hAnsi="Cambria Math"/>
              </w:rPr>
            </m:ctrlPr>
          </m:dPr>
          <m:e>
            <m:r>
              <w:rPr>
                <w:rFonts w:ascii="Cambria Math" w:hAnsi="Cambria Math"/>
              </w:rPr>
              <m:t>j</m:t>
            </m:r>
          </m:e>
        </m:d>
      </m:oMath>
      <w:r>
        <w:t xml:space="preserve"> denotes the supersector (industry parent) of cell </w:t>
      </w:r>
      <m:oMath>
        <m:r>
          <w:rPr>
            <w:rFonts w:ascii="Cambria Math" w:hAnsi="Cambria Math"/>
          </w:rPr>
          <m:t>j</m:t>
        </m:r>
      </m:oMath>
      <w:r>
        <w:t>, and:</w:t>
      </w:r>
    </w:p>
    <w:p w14:paraId="171B3A4C"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oMath>
      </m:oMathPara>
    </w:p>
    <w:p w14:paraId="0A98323B"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ω</m:t>
                  </m:r>
                  <m:r>
                    <m:rPr>
                      <m:sty m:val="p"/>
                    </m:rPr>
                    <w:rPr>
                      <w:rFonts w:ascii="Cambria Math" w:hAnsi="Cambria Math"/>
                    </w:rPr>
                    <m:t>,</m:t>
                  </m:r>
                  <m:r>
                    <w:rPr>
                      <w:rFonts w:ascii="Cambria Math" w:hAnsi="Cambria Math"/>
                    </w:rPr>
                    <m:t>k</m:t>
                  </m:r>
                </m:sub>
                <m:sup>
                  <m:r>
                    <w:rPr>
                      <w:rFonts w:ascii="Cambria Math" w:hAnsi="Cambria Math"/>
                    </w:rPr>
                    <m:t>2</m:t>
                  </m:r>
                </m:sup>
              </m:sSubSup>
            </m:e>
          </m:d>
          <m:r>
            <w:rPr>
              <w:rFonts w:ascii="Cambria Math" w:hAnsi="Cambria Math"/>
            </w:rPr>
            <m:t> </m:t>
          </m:r>
          <m:r>
            <m:rPr>
              <m:nor/>
            </m:rPr>
            <m:t>[cell deviation from industry parent]</m:t>
          </m:r>
        </m:oMath>
      </m:oMathPara>
    </w:p>
    <w:p w14:paraId="0BCBB2E4" w14:textId="77777777" w:rsidR="00D86D63" w:rsidRDefault="00223568">
      <w:pPr>
        <w:pStyle w:val="FirstParagraph"/>
      </w:pPr>
      <w:r>
        <w:t>Sparse cells are shrunk toward their industry’s seasonal pattern; data-rich cells can identify their own departures.</w:t>
      </w:r>
    </w:p>
    <w:p w14:paraId="209A83CF" w14:textId="77777777" w:rsidR="00D86D63" w:rsidRDefault="00223568">
      <w:pPr>
        <w:pStyle w:val="Heading4"/>
      </w:pPr>
      <w:bookmarkStart w:id="38" w:name="cell-level-measurement-equations"/>
      <w:bookmarkEnd w:id="37"/>
      <w:r>
        <w:t>Cell-Level Measurement Equations</w:t>
      </w:r>
    </w:p>
    <w:p w14:paraId="62BF71C4" w14:textId="77777777" w:rsidR="00D86D63" w:rsidRDefault="00223568">
      <w:pPr>
        <w:pStyle w:val="FirstParagraph"/>
      </w:pPr>
      <w:r>
        <w:rPr>
          <w:b/>
          <w:bCs/>
        </w:rPr>
        <w:t>QCEW by cell:</w:t>
      </w:r>
    </w:p>
    <w:p w14:paraId="657C56AD"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QCEW</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j</m:t>
                  </m:r>
                </m:sub>
                <m:sup>
                  <m:r>
                    <w:rPr>
                      <w:rFonts w:ascii="Cambria Math" w:hAnsi="Cambria Math"/>
                    </w:rPr>
                    <m:t>2</m:t>
                  </m:r>
                </m:sup>
              </m:sSubSup>
              <m:d>
                <m:dPr>
                  <m:ctrlPr>
                    <w:rPr>
                      <w:rFonts w:ascii="Cambria Math" w:hAnsi="Cambria Math"/>
                    </w:rPr>
                  </m:ctrlPr>
                </m:dPr>
                <m:e>
                  <m:r>
                    <w:rPr>
                      <w:rFonts w:ascii="Cambria Math" w:hAnsi="Cambria Math"/>
                    </w:rPr>
                    <m:t>t</m:t>
                  </m:r>
                </m:e>
              </m:d>
            </m:e>
          </m:d>
        </m:oMath>
      </m:oMathPara>
    </w:p>
    <w:p w14:paraId="6E1608F5" w14:textId="77777777" w:rsidR="00D86D63" w:rsidRDefault="00223568">
      <w:pPr>
        <w:pStyle w:val="FirstParagraph"/>
      </w:pPr>
      <w:r>
        <w:t xml:space="preserve">The M3/M12 differential applies at all levels. Where cell-level QCEW revision data is unavailable (i.e., for state × industry cells), </w:t>
      </w: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j</m:t>
            </m:r>
          </m:sub>
        </m:sSub>
      </m:oMath>
      <w:r>
        <w:t xml:space="preserve"> is drawn from a hierarchical prior:</w:t>
      </w:r>
    </w:p>
    <w:p w14:paraId="5E627E3C"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LogNormal</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Q</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Q</m:t>
                      </m:r>
                    </m:sub>
                  </m:sSub>
                </m:sub>
                <m:sup>
                  <m:r>
                    <w:rPr>
                      <w:rFonts w:ascii="Cambria Math" w:hAnsi="Cambria Math"/>
                    </w:rPr>
                    <m:t>2</m:t>
                  </m:r>
                </m:sup>
              </m:sSubSup>
            </m:e>
          </m:d>
        </m:oMath>
      </m:oMathPara>
    </w:p>
    <w:p w14:paraId="0391BEE8" w14:textId="77777777" w:rsidR="00D86D63" w:rsidRDefault="00223568">
      <w:pPr>
        <w:pStyle w:val="FirstParagraph"/>
      </w:pPr>
      <w:r>
        <w:t>with hyperparameters informed by national and state-level QCEW revision data (where available).</w:t>
      </w:r>
    </w:p>
    <w:p w14:paraId="09558E78" w14:textId="77777777" w:rsidR="00D86D63" w:rsidRDefault="00223568">
      <w:pPr>
        <w:pStyle w:val="BodyText"/>
      </w:pPr>
      <w:r>
        <w:rPr>
          <w:b/>
          <w:bCs/>
        </w:rPr>
        <w:t>CES by cell:</w:t>
      </w:r>
    </w:p>
    <w:p w14:paraId="3247504F" w14:textId="77777777" w:rsidR="00D86D63" w:rsidRDefault="00223568">
      <w:pPr>
        <w:pStyle w:val="BodyText"/>
      </w:pPr>
      <w:r>
        <w:lastRenderedPageBreak/>
        <w:t>National CES by supersector loads on the corresponding industry aggregate. State CES (total nonfarm) loads on the geographic aggregate:</w:t>
      </w:r>
    </w:p>
    <w:p w14:paraId="74E0C1CF"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industry</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s</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6D781D9B"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sub>
            <m:sup>
              <m:r>
                <w:rPr>
                  <w:rFonts w:ascii="Cambria Math" w:hAnsi="Cambria Math"/>
                </w:rPr>
                <m:t>CES</m:t>
              </m:r>
              <m:r>
                <m:rPr>
                  <m:sty m:val="p"/>
                </m:rPr>
                <w:rPr>
                  <w:rFonts w:ascii="Cambria Math" w:hAnsi="Cambria Math"/>
                </w:rPr>
                <m:t>,</m:t>
              </m:r>
              <m:r>
                <w:rPr>
                  <w:rFonts w:ascii="Cambria Math" w:hAnsi="Cambria Math"/>
                </w:rPr>
                <m:t>state</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r</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r</m:t>
                  </m:r>
                </m:sub>
                <m:sup>
                  <m:r>
                    <w:rPr>
                      <w:rFonts w:ascii="Cambria Math" w:hAnsi="Cambria Math"/>
                    </w:rPr>
                    <m:t>CES</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r</m:t>
                  </m:r>
                  <m:r>
                    <m:rPr>
                      <m:sty m:val="p"/>
                    </m:rPr>
                    <w:rPr>
                      <w:rFonts w:ascii="Cambria Math" w:hAnsi="Cambria Math"/>
                    </w:rPr>
                    <m:t>,</m:t>
                  </m:r>
                  <m:r>
                    <w:rPr>
                      <w:rFonts w:ascii="Cambria Math" w:hAnsi="Cambria Math"/>
                    </w:rPr>
                    <m:t>t</m:t>
                  </m:r>
                </m:sub>
                <m:sup>
                  <m:r>
                    <w:rPr>
                      <w:rFonts w:ascii="Cambria Math" w:hAnsi="Cambria Math"/>
                    </w:rPr>
                    <m:t>total</m:t>
                  </m:r>
                  <m:r>
                    <m:rPr>
                      <m:sty m:val="p"/>
                    </m:rPr>
                    <w:rPr>
                      <w:rFonts w:ascii="Cambria Math" w:hAnsi="Cambria Math"/>
                    </w:rPr>
                    <m:t>,</m:t>
                  </m:r>
                  <m:r>
                    <w:rPr>
                      <w:rFonts w:ascii="Cambria Math" w:hAnsi="Cambria Math"/>
                    </w: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CES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sub>
                <m:sup>
                  <m:r>
                    <w:rPr>
                      <w:rFonts w:ascii="Cambria Math" w:hAnsi="Cambria Math"/>
                    </w:rPr>
                    <m:t>2</m:t>
                  </m:r>
                </m:sup>
              </m:sSubSup>
            </m:e>
          </m:d>
        </m:oMath>
      </m:oMathPara>
    </w:p>
    <w:p w14:paraId="3414A371" w14:textId="77777777" w:rsidR="00D86D63" w:rsidRDefault="00223568">
      <w:pPr>
        <w:pStyle w:val="FirstParagraph"/>
      </w:pPr>
      <w:r>
        <w:t xml:space="preserve">State × industry CES noise cannot be directly calibrated from revision data. These parameters inherit from the granularity-accuracy relationship observed in national data, following Dunn et al. (2026): </w:t>
      </w:r>
      <m:oMath>
        <m:r>
          <m:rPr>
            <m:sty m:val="p"/>
          </m:rPr>
          <w:rPr>
            <w:rFonts w:ascii="Cambria Math" w:hAnsi="Cambria Math"/>
          </w:rPr>
          <m:t>-</m:t>
        </m:r>
        <m:r>
          <m:rPr>
            <m:sty m:val="p"/>
          </m:rPr>
          <w:rPr>
            <w:rFonts w:ascii="Cambria Math" w:hAnsi="Cambria Math"/>
          </w:rPr>
          <m:t>ln</m:t>
        </m:r>
        <m:d>
          <m:dPr>
            <m:ctrlPr>
              <w:rPr>
                <w:rFonts w:ascii="Cambria Math" w:hAnsi="Cambria Math"/>
              </w:rPr>
            </m:ctrlPr>
          </m:dPr>
          <m:e>
            <m:r>
              <m:rPr>
                <m:nor/>
              </m:rPr>
              <m:t>RMSE</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ctrlPr>
              <w:rPr>
                <w:rFonts w:ascii="Cambria Math" w:hAnsi="Cambria Math"/>
              </w:rPr>
            </m:ctrlPr>
          </m:dPr>
          <m:e>
            <m:r>
              <m:rPr>
                <m:nor/>
              </m:rPr>
              <m:t>cell size</m:t>
            </m:r>
          </m:e>
        </m:d>
      </m:oMath>
      <w:r>
        <w:t>, which provides a structural form for interpolating expected noise at finer granularities.</w:t>
      </w:r>
    </w:p>
    <w:p w14:paraId="16CF01B1" w14:textId="77777777" w:rsidR="00D86D63" w:rsidRDefault="00223568">
      <w:pPr>
        <w:pStyle w:val="BodyText"/>
      </w:pPr>
      <w:r>
        <w:rPr>
          <w:b/>
          <w:bCs/>
        </w:rPr>
        <w:t>Provider by cell:</w:t>
      </w:r>
    </w:p>
    <w:p w14:paraId="1E809C66"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cont</m:t>
              </m:r>
              <m:r>
                <m:rPr>
                  <m:sty m:val="p"/>
                </m:rPr>
                <w:rPr>
                  <w:rFonts w:ascii="Cambria Math" w:hAnsi="Cambria Math"/>
                </w:rPr>
                <m:t>,</m:t>
              </m:r>
              <m:r>
                <w:rPr>
                  <w:rFonts w:ascii="Cambria Math" w:hAnsi="Cambria Math"/>
                </w:rPr>
                <m:t>NSA</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m:oMathPara>
    </w:p>
    <w:p w14:paraId="46FCB844" w14:textId="77777777" w:rsidR="00D86D63" w:rsidRDefault="00223568">
      <w:pPr>
        <w:pStyle w:val="FirstParagraph"/>
      </w:pPr>
      <w:r>
        <w:t xml:space="preserve">with error structure (iid or AR(1)) inherited from the provider’s configuration. Provider × cell bias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oMath>
      <w:r>
        <w:t xml:space="preserve"> is drawn from exchangeable priors:</w:t>
      </w:r>
    </w:p>
    <w:p w14:paraId="6835DFEB"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α</m:t>
                  </m:r>
                </m:sub>
                <m:sup>
                  <m:r>
                    <w:rPr>
                      <w:rFonts w:ascii="Cambria Math" w:hAnsi="Cambria Math"/>
                    </w:rPr>
                    <m:t>2</m:t>
                  </m:r>
                </m:sup>
              </m:sSubSup>
            </m:e>
          </m:d>
        </m:oMath>
      </m:oMathPara>
    </w:p>
    <w:p w14:paraId="75DC24B1"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λ</m:t>
                      </m:r>
                    </m:e>
                  </m:acc>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λ</m:t>
                  </m:r>
                </m:sub>
                <m:sup>
                  <m:r>
                    <w:rPr>
                      <w:rFonts w:ascii="Cambria Math" w:hAnsi="Cambria Math"/>
                    </w:rPr>
                    <m:t>2</m:t>
                  </m:r>
                </m:sup>
              </m:sSubSup>
            </m:e>
          </m:d>
        </m:oMath>
      </m:oMathPara>
    </w:p>
    <w:p w14:paraId="197890D7" w14:textId="77777777" w:rsidR="00D86D63" w:rsidRDefault="00223568">
      <w:pPr>
        <w:pStyle w:val="Heading4"/>
      </w:pPr>
      <w:bookmarkStart w:id="39" w:name="discrepancy-model"/>
      <w:bookmarkEnd w:id="38"/>
      <w:r>
        <w:t>Discrepancy Model</w:t>
      </w:r>
    </w:p>
    <w:p w14:paraId="41594938" w14:textId="77777777" w:rsidR="00D86D63" w:rsidRDefault="00223568">
      <w:pPr>
        <w:pStyle w:val="FirstParagraph"/>
      </w:pPr>
      <w:r>
        <w:t>True employment aggregates — the sum of cell-level latent states should equal the national latent state — but because CES states do not sum to national by design, the measurement equations reflect independent estimation procedures. The structural aggregation constraint is imposed on the latent state:</w:t>
      </w:r>
    </w:p>
    <w:p w14:paraId="195ABD44" w14:textId="77777777" w:rsidR="00D86D63" w:rsidRDefault="00223568">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e>
          </m:nary>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Sup>
            <m:sSubSupPr>
              <m:ctrlPr>
                <w:rPr>
                  <w:rFonts w:ascii="Cambria Math" w:hAnsi="Cambria Math"/>
                </w:rPr>
              </m:ctrlPr>
            </m:sSubSupPr>
            <m:e>
              <m:r>
                <w:rPr>
                  <w:rFonts w:ascii="Cambria Math" w:hAnsi="Cambria Math"/>
                </w:rPr>
                <m:t>μ</m:t>
              </m:r>
            </m:e>
            <m:sub>
              <m:r>
                <w:rPr>
                  <w:rFonts w:ascii="Cambria Math" w:hAnsi="Cambria Math"/>
                </w:rPr>
                <m:t>t</m:t>
              </m:r>
            </m:sub>
            <m:sup>
              <m:r>
                <w:rPr>
                  <w:rFonts w:ascii="Cambria Math" w:hAnsi="Cambria Math"/>
                </w:rPr>
                <m:t>nat</m:t>
              </m:r>
            </m:sup>
          </m:sSubSup>
        </m:oMath>
      </m:oMathPara>
    </w:p>
    <w:p w14:paraId="491B9DF6" w14:textId="77777777" w:rsidR="00D86D63" w:rsidRDefault="00223568">
      <w:pPr>
        <w:pStyle w:val="FirstParagraph"/>
      </w:pPr>
      <w:r>
        <w:t>Reconciliation is achieved via a discrepancy process that absorbs the gap between independently estimated national and sum-of-cell forecasts:</w:t>
      </w:r>
    </w:p>
    <w:p w14:paraId="4387D26A"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t</m:t>
              </m:r>
            </m:sub>
            <m:sup>
              <m:r>
                <w:rPr>
                  <w:rFonts w:ascii="Cambria Math" w:hAnsi="Cambria Math"/>
                </w:rPr>
                <m:t>δ</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ω</m:t>
              </m:r>
            </m:e>
            <m:sub>
              <m:r>
                <w:rPr>
                  <w:rFonts w:ascii="Cambria Math" w:hAnsi="Cambria Math"/>
                </w:rPr>
                <m:t>t</m:t>
              </m:r>
            </m:sub>
            <m:sup>
              <m:r>
                <w:rPr>
                  <w:rFonts w:ascii="Cambria Math" w:hAnsi="Cambria Math"/>
                </w:rPr>
                <m:t>δ</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δ</m:t>
                  </m:r>
                </m:sub>
                <m:sup>
                  <m:r>
                    <w:rPr>
                      <w:rFonts w:ascii="Cambria Math" w:hAnsi="Cambria Math"/>
                    </w:rPr>
                    <m:t>2</m:t>
                  </m:r>
                </m:sup>
              </m:sSubSup>
            </m:e>
          </m:d>
        </m:oMath>
      </m:oMathPara>
    </w:p>
    <w:p w14:paraId="4CA00380" w14:textId="77777777" w:rsidR="00D86D63" w:rsidRDefault="00223568">
      <w:pPr>
        <w:pStyle w:val="Heading4"/>
      </w:pPr>
      <w:bookmarkStart w:id="40" w:name="mint-reconciliation"/>
      <w:bookmarkEnd w:id="39"/>
      <w:r>
        <w:t>MinT Reconciliation</w:t>
      </w:r>
    </w:p>
    <w:p w14:paraId="31B31AEB" w14:textId="77777777" w:rsidR="00D86D63" w:rsidRDefault="00223568">
      <w:pPr>
        <w:pStyle w:val="FirstParagraph"/>
      </w:pPr>
      <w:r>
        <w:t xml:space="preserve">Let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μ</m:t>
                </m:r>
              </m:e>
            </m:acc>
          </m:e>
          <m:sub>
            <m:r>
              <w:rPr>
                <w:rFonts w:ascii="Cambria Math" w:hAnsi="Cambria Math"/>
              </w:rPr>
              <m:t>t</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μ</m:t>
                    </m:r>
                  </m:e>
                </m:acc>
              </m:e>
              <m:sub>
                <m:r>
                  <w:rPr>
                    <w:rFonts w:ascii="Cambria Math" w:hAnsi="Cambria Math"/>
                  </w:rPr>
                  <m:t>t</m:t>
                </m:r>
              </m:sub>
              <m:sup>
                <m:r>
                  <w:rPr>
                    <w:rFonts w:ascii="Cambria Math" w:hAnsi="Cambria Math"/>
                  </w:rPr>
                  <m:t>nat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J</m:t>
                </m:r>
                <m:r>
                  <m:rPr>
                    <m:sty m:val="p"/>
                  </m:rPr>
                  <w:rPr>
                    <w:rFonts w:ascii="Cambria Math" w:hAnsi="Cambria Math"/>
                  </w:rPr>
                  <m:t>,</m:t>
                </m:r>
                <m:r>
                  <w:rPr>
                    <w:rFonts w:ascii="Cambria Math" w:hAnsi="Cambria Math"/>
                  </w:rPr>
                  <m:t>t</m:t>
                </m:r>
              </m:sub>
            </m:sSub>
          </m:e>
        </m:d>
        <m:r>
          <m:rPr>
            <m:sty m:val="p"/>
          </m:rPr>
          <w:rPr>
            <w:rFonts w:ascii="Cambria Math" w:hAnsi="Cambria Math"/>
          </w:rPr>
          <m:t>'</m:t>
        </m:r>
      </m:oMath>
      <w:r>
        <w:t xml:space="preserve"> be the vector of base (unreconciled) forecasts from independent national and cell models, and let </w:t>
      </w:r>
      <m:oMath>
        <m:r>
          <m:rPr>
            <m:sty m:val="b"/>
          </m:rPr>
          <w:rPr>
            <w:rFonts w:ascii="Cambria Math" w:hAnsi="Cambria Math"/>
          </w:rPr>
          <m:t>S</m:t>
        </m:r>
      </m:oMath>
      <w:r>
        <w:t xml:space="preserve"> </w:t>
      </w:r>
      <w:r>
        <w:t>be the summing matrix encoding the aggregation structure. The MinT reconciled forecast is:</w:t>
      </w:r>
    </w:p>
    <w:p w14:paraId="3F1C85E8" w14:textId="77777777" w:rsidR="00D86D63" w:rsidRDefault="00223568">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μ</m:t>
                  </m:r>
                </m:e>
              </m:acc>
            </m:e>
            <m:sub>
              <m:r>
                <w:rPr>
                  <w:rFonts w:ascii="Cambria Math" w:hAnsi="Cambria Math"/>
                </w:rPr>
                <m:t>t</m:t>
              </m:r>
            </m:sub>
          </m:sSub>
          <m:r>
            <m:rPr>
              <m:sty m:val="p"/>
            </m:rPr>
            <w:rPr>
              <w:rFonts w:ascii="Cambria Math" w:hAnsi="Cambria Math"/>
            </w:rPr>
            <m:t>=</m:t>
          </m:r>
          <m:r>
            <m:rPr>
              <m:sty m:val="b"/>
            </m:rPr>
            <w:rPr>
              <w:rFonts w:ascii="Cambria Math" w:hAnsi="Cambria Math"/>
            </w:rPr>
            <m:t>S</m:t>
          </m:r>
          <m:sSup>
            <m:sSupPr>
              <m:ctrlPr>
                <w:rPr>
                  <w:rFonts w:ascii="Cambria Math" w:hAnsi="Cambria Math"/>
                </w:rPr>
              </m:ctrlPr>
            </m:sSupPr>
            <m:e>
              <m:d>
                <m:dPr>
                  <m:ctrlPr>
                    <w:rPr>
                      <w:rFonts w:ascii="Cambria Math" w:hAnsi="Cambria Math"/>
                    </w:rPr>
                  </m:ctrlPr>
                </m:dPr>
                <m:e>
                  <m:r>
                    <m:rPr>
                      <m:sty m:val="b"/>
                    </m:rP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1</m:t>
                      </m:r>
                    </m:sup>
                  </m:sSup>
                  <m:r>
                    <m:rPr>
                      <m:sty m:val="b"/>
                    </m:rPr>
                    <w:rPr>
                      <w:rFonts w:ascii="Cambria Math" w:hAnsi="Cambria Math"/>
                    </w:rPr>
                    <m:t>S</m:t>
                  </m:r>
                </m:e>
              </m:d>
            </m:e>
            <m:sup>
              <m:r>
                <m:rPr>
                  <m:sty m:val="p"/>
                </m:rPr>
                <w:rPr>
                  <w:rFonts w:ascii="Cambria Math" w:hAnsi="Cambria Math"/>
                </w:rPr>
                <m:t>-</m:t>
              </m:r>
              <m:r>
                <w:rPr>
                  <w:rFonts w:ascii="Cambria Math" w:hAnsi="Cambria Math"/>
                </w:rPr>
                <m:t>1</m:t>
              </m:r>
            </m:sup>
          </m:sSup>
          <m:r>
            <m:rPr>
              <m:sty m:val="b"/>
            </m:rP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r>
                <w:rPr>
                  <w:rFonts w:ascii="Cambria Math" w:hAnsi="Cambria Math"/>
                </w:rPr>
                <m:t>1</m:t>
              </m:r>
            </m:sup>
          </m:sSup>
          <m:sSub>
            <m:sSubPr>
              <m:ctrlPr>
                <w:rPr>
                  <w:rFonts w:ascii="Cambria Math" w:hAnsi="Cambria Math"/>
                </w:rPr>
              </m:ctrlPr>
            </m:sSubPr>
            <m:e>
              <m:acc>
                <m:accPr>
                  <m:ctrlPr>
                    <w:rPr>
                      <w:rFonts w:ascii="Cambria Math" w:hAnsi="Cambria Math"/>
                    </w:rPr>
                  </m:ctrlPr>
                </m:accPr>
                <m:e>
                  <m:r>
                    <m:rPr>
                      <m:sty m:val="b"/>
                    </m:rPr>
                    <w:rPr>
                      <w:rFonts w:ascii="Cambria Math" w:hAnsi="Cambria Math"/>
                    </w:rPr>
                    <m:t>μ</m:t>
                  </m:r>
                </m:e>
              </m:acc>
            </m:e>
            <m:sub>
              <m:r>
                <w:rPr>
                  <w:rFonts w:ascii="Cambria Math" w:hAnsi="Cambria Math"/>
                </w:rPr>
                <m:t>t</m:t>
              </m:r>
            </m:sub>
          </m:sSub>
        </m:oMath>
      </m:oMathPara>
    </w:p>
    <w:p w14:paraId="4449FBA2" w14:textId="77777777" w:rsidR="00D86D63" w:rsidRDefault="00223568">
      <w:pPr>
        <w:pStyle w:val="FirstParagraph"/>
      </w:pPr>
      <w:r>
        <w:t xml:space="preserve">where </w:t>
      </w:r>
      <m:oMath>
        <m:r>
          <m:rPr>
            <m:sty m:val="b"/>
          </m:rPr>
          <w:rPr>
            <w:rFonts w:ascii="Cambria Math" w:hAnsi="Cambria Math"/>
          </w:rPr>
          <m:t>W</m:t>
        </m:r>
      </m:oMath>
      <w:r>
        <w:t xml:space="preserve"> is the covariance matrix of base forecast errors.</w:t>
      </w:r>
    </w:p>
    <w:p w14:paraId="65475456" w14:textId="77777777" w:rsidR="00D86D63" w:rsidRDefault="00223568">
      <w:pPr>
        <w:pStyle w:val="BodyText"/>
      </w:pPr>
      <m:oMath>
        <m:r>
          <m:rPr>
            <m:sty m:val="b"/>
          </m:rPr>
          <w:rPr>
            <w:rFonts w:ascii="Cambria Math" w:hAnsi="Cambria Math"/>
          </w:rPr>
          <w:lastRenderedPageBreak/>
          <m:t>W</m:t>
        </m:r>
      </m:oMath>
      <w:r>
        <w:t xml:space="preserve"> is estimated from historical forecast errors using revision-based cross-validation with QCEW vintages. The revision-data availability constrains this: for cells where direct revision data exists (national, state total nonfarm), empirical error covariances are used. For cells without revision data (state × industry), </w:t>
      </w:r>
      <m:oMath>
        <m:r>
          <m:rPr>
            <m:sty m:val="b"/>
          </m:rPr>
          <w:rPr>
            <w:rFonts w:ascii="Cambria Math" w:hAnsi="Cambria Math"/>
          </w:rPr>
          <m:t>W</m:t>
        </m:r>
      </m:oMath>
      <w:r>
        <w:t xml:space="preserve"> entries are drawn from hierarchical shrinkage estimates.</w:t>
      </w:r>
    </w:p>
    <w:p w14:paraId="7C7B42F3" w14:textId="77777777" w:rsidR="00D86D63" w:rsidRDefault="00223568">
      <w:pPr>
        <w:pStyle w:val="Heading3"/>
      </w:pPr>
      <w:bookmarkStart w:id="41" w:name="information-regimes"/>
      <w:bookmarkEnd w:id="34"/>
      <w:bookmarkEnd w:id="40"/>
      <w:r>
        <w:t>Information Regimes</w:t>
      </w:r>
    </w:p>
    <w:p w14:paraId="1FC47112" w14:textId="77777777" w:rsidR="00D86D63" w:rsidRDefault="00223568">
      <w:pPr>
        <w:pStyle w:val="FirstParagraph"/>
      </w:pPr>
      <w:r>
        <w:t>The narrative decomposition must be explicitly time-stamped to an information regime. Estimates are updated as each data source arrives:</w:t>
      </w:r>
    </w:p>
    <w:p w14:paraId="4E327EB4" w14:textId="77777777" w:rsidR="00D86D63" w:rsidRDefault="00223568">
      <w:pPr>
        <w:pStyle w:val="BodyText"/>
      </w:pPr>
      <w:r>
        <w:rPr>
          <w:b/>
          <w:bCs/>
        </w:rPr>
        <w:t>Regime A (~Jan 1 to Jan 9): Provider data only.</w:t>
      </w:r>
      <w:r>
        <w:t xml:space="preserve"> National nowcast and preliminary cell decomposition from provider signals. No official anchor. Widest uncertainty bands on subnational components.</w:t>
      </w:r>
    </w:p>
    <w:p w14:paraId="02339DF4" w14:textId="77777777" w:rsidR="00D86D63" w:rsidRDefault="00223568">
      <w:pPr>
        <w:pStyle w:val="BodyText"/>
      </w:pPr>
      <w:r>
        <w:rPr>
          <w:b/>
          <w:bCs/>
        </w:rPr>
        <w:t>Regime B (~Jan 9 to Jan 24): National CES, no state CES.</w:t>
      </w:r>
      <w:r>
        <w:t xml:space="preserve"> National first print anchors the top of the hierarchy. Cell decomposition uses national CES + provider data + hierarchical prior. The discrepancy model must distinguish informational gaps (state CES hasn’t arrived) from structural gaps (states don’t sum to national). This is the highest-value regime for users: the national number is known, and the model provides early intelligence on sectoral/geographic composition.</w:t>
      </w:r>
    </w:p>
    <w:p w14:paraId="113F55F6" w14:textId="77777777" w:rsidR="00D86D63" w:rsidRDefault="00223568">
      <w:pPr>
        <w:pStyle w:val="BodyText"/>
      </w:pPr>
      <w:r>
        <w:rPr>
          <w:b/>
          <w:bCs/>
        </w:rPr>
        <w:t>Regime C (~Jan 24 onward): Full information.</w:t>
      </w:r>
      <w:r>
        <w:t xml:space="preserve"> Both national and state CES available. MinT reconciliation uses all hierarchy levels. Uncertainty bands tighten.</w:t>
      </w:r>
    </w:p>
    <w:p w14:paraId="45D17A50" w14:textId="77777777" w:rsidR="00D86D63" w:rsidRDefault="00223568">
      <w:pPr>
        <w:pStyle w:val="BodyText"/>
      </w:pPr>
      <w:r>
        <w:rPr>
          <w:b/>
          <w:bCs/>
        </w:rPr>
        <w:t>February–March benchmark asymmetry.</w:t>
      </w:r>
      <w:r>
        <w:t xml:space="preserve"> National benchmarks arrive in February; state benchmarks in March. During this window, the model’s state-level estimates may be more accurate than official state CES for benchmarked months, because the model conditions on the QCEW that state benchmarks will eventually use. This advantage requires careful vintage tracking to avoid look-ahead bias in backtests.</w:t>
      </w:r>
    </w:p>
    <w:p w14:paraId="104E2588" w14:textId="77777777" w:rsidR="00D86D63" w:rsidRDefault="00223568">
      <w:pPr>
        <w:pStyle w:val="Heading3"/>
      </w:pPr>
      <w:bookmarkStart w:id="42" w:name="priors-1"/>
      <w:bookmarkEnd w:id="41"/>
      <w:r>
        <w:t>Priors</w:t>
      </w:r>
    </w:p>
    <w:p w14:paraId="21029D69" w14:textId="77777777" w:rsidR="00D86D63" w:rsidRDefault="00223568">
      <w:pPr>
        <w:pStyle w:val="Heading4"/>
      </w:pPr>
      <w:bookmarkStart w:id="43" w:name="cell-dynamics-exchangeable"/>
      <w:r>
        <w:t>Cell dynamics (exchangeable)</w:t>
      </w:r>
    </w:p>
    <w:p w14:paraId="7C5D9829"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g</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μ</m:t>
                      </m:r>
                    </m:e>
                    <m:sub>
                      <m:r>
                        <w:rPr>
                          <w:rFonts w:ascii="Cambria Math" w:hAnsi="Cambria Math"/>
                        </w:rPr>
                        <m:t>g</m:t>
                      </m:r>
                    </m:sub>
                  </m:sSub>
                </m:sub>
                <m:sup>
                  <m:r>
                    <w:rPr>
                      <w:rFonts w:ascii="Cambria Math" w:hAnsi="Cambria Math"/>
                    </w:rPr>
                    <m:t>2</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g</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μ</m:t>
                  </m:r>
                </m:e>
                <m:sub>
                  <m:r>
                    <w:rPr>
                      <w:rFonts w:ascii="Cambria Math" w:hAnsi="Cambria Math"/>
                    </w:rPr>
                    <m:t>g</m:t>
                  </m:r>
                </m:sub>
              </m:sSub>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0.003</m:t>
              </m:r>
            </m:e>
          </m:d>
        </m:oMath>
      </m:oMathPara>
    </w:p>
    <w:p w14:paraId="2DA366FD"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m:rPr>
              <m:nor/>
            </m:rPr>
            <m:t>Beta</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ϕ</m:t>
                  </m:r>
                </m:sub>
              </m:sSub>
            </m:e>
          </m:d>
          <m:r>
            <w:rPr>
              <w:rFonts w:ascii="Cambria Math" w:hAnsi="Cambria Math"/>
            </w:rPr>
            <m:t> </m:t>
          </m:r>
          <m:r>
            <m:rPr>
              <m:nor/>
            </m:rPr>
            <m:t>[common shape parameters; hierarchical on logit scale]</m:t>
          </m:r>
        </m:oMath>
      </m:oMathPara>
    </w:p>
    <w:p w14:paraId="70B2C8C1"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η</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LogNormal</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η</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η</m:t>
                      </m:r>
                    </m:sub>
                  </m:sSub>
                </m:sub>
                <m:sup>
                  <m:r>
                    <w:rPr>
                      <w:rFonts w:ascii="Cambria Math" w:hAnsi="Cambria Math"/>
                    </w:rPr>
                    <m:t>2</m:t>
                  </m:r>
                </m:sup>
              </m:sSubSup>
            </m:e>
          </m:d>
        </m:oMath>
      </m:oMathPara>
    </w:p>
    <w:p w14:paraId="15CC93F2" w14:textId="77777777" w:rsidR="00D86D63" w:rsidRDefault="00223568">
      <w:pPr>
        <w:pStyle w:val="Heading4"/>
      </w:pPr>
      <w:bookmarkStart w:id="44" w:name="cell-bd-exchangeable"/>
      <w:bookmarkEnd w:id="43"/>
      <w:r>
        <w:t>Cell BD (exchangeable)</w:t>
      </w:r>
    </w:p>
    <w:p w14:paraId="645459BE" w14:textId="77777777" w:rsidR="00D86D63" w:rsidRDefault="00223568">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0</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0.002</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ϕ</m:t>
                  </m:r>
                </m:e>
                <m:sub>
                  <m:r>
                    <w:rPr>
                      <w:rFonts w:ascii="Cambria Math" w:hAnsi="Cambria Math"/>
                    </w:rPr>
                    <m:t>0</m:t>
                  </m:r>
                </m:sub>
              </m:sSub>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0.002</m:t>
              </m:r>
            </m:e>
          </m:d>
        </m:oMath>
      </m:oMathPara>
    </w:p>
    <w:p w14:paraId="1303BC05"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BD</m:t>
                  </m:r>
                </m:sub>
              </m:sSub>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BD</m:t>
                  </m:r>
                </m:sub>
              </m:sSub>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0.5</m:t>
              </m:r>
            </m:e>
          </m:d>
          <m:r>
            <w:rPr>
              <w:rFonts w:ascii="Cambria Math" w:hAnsi="Cambria Math"/>
            </w:rPr>
            <m:t> </m:t>
          </m:r>
          <m:r>
            <m:rPr>
              <m:nor/>
            </m:rPr>
            <m:t>[log scale]</m:t>
          </m:r>
        </m:oMath>
      </m:oMathPara>
    </w:p>
    <w:p w14:paraId="1150D82C" w14:textId="77777777" w:rsidR="00D86D63" w:rsidRDefault="00223568">
      <w:pPr>
        <w:pStyle w:val="Heading4"/>
      </w:pPr>
      <w:bookmarkStart w:id="45" w:name="hierarchical-seasonal"/>
      <w:bookmarkEnd w:id="44"/>
      <w:r>
        <w:lastRenderedPageBreak/>
        <w:t>Hierarchical seasonal</w:t>
      </w:r>
    </w:p>
    <w:p w14:paraId="6581C6FB"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ω</m:t>
              </m:r>
              <m:r>
                <m:rPr>
                  <m:sty m:val="p"/>
                </m:rPr>
                <w:rPr>
                  <w:rFonts w:ascii="Cambria Math" w:hAnsi="Cambria Math"/>
                </w:rPr>
                <m:t>,</m:t>
              </m:r>
              <m:r>
                <w:rPr>
                  <w:rFonts w:ascii="Cambria Math" w:hAnsi="Cambria Math"/>
                </w:rPr>
                <m:t>k</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k</m:t>
              </m:r>
            </m:e>
          </m:d>
        </m:oMath>
      </m:oMathPara>
    </w:p>
    <w:p w14:paraId="3EBB7176"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ω</m:t>
              </m:r>
              <m:r>
                <m:rPr>
                  <m:sty m:val="p"/>
                </m:rPr>
                <w:rPr>
                  <w:rFonts w:ascii="Cambria Math" w:hAnsi="Cambria Math"/>
                </w:rPr>
                <m:t>,</m:t>
              </m:r>
              <m:r>
                <w:rPr>
                  <w:rFonts w:ascii="Cambria Math" w:hAnsi="Cambria Math"/>
                </w:rPr>
                <m:t>k</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0.003</m:t>
              </m:r>
              <m:r>
                <m:rPr>
                  <m:sty m:val="p"/>
                </m:rPr>
                <w:rPr>
                  <w:rFonts w:ascii="Cambria Math" w:hAnsi="Cambria Math"/>
                </w:rPr>
                <m:t>/</m:t>
              </m:r>
              <m:r>
                <w:rPr>
                  <w:rFonts w:ascii="Cambria Math" w:hAnsi="Cambria Math"/>
                </w:rPr>
                <m:t>k</m:t>
              </m:r>
            </m:e>
          </m:d>
          <m:r>
            <w:rPr>
              <w:rFonts w:ascii="Cambria Math" w:hAnsi="Cambria Math"/>
            </w:rPr>
            <m:t> </m:t>
          </m:r>
          <m:r>
            <m:rPr>
              <m:nor/>
            </m:rPr>
            <m:t>[cell deviation from industry parent]</m:t>
          </m:r>
        </m:oMath>
      </m:oMathPara>
    </w:p>
    <w:p w14:paraId="37FC9362" w14:textId="77777777" w:rsidR="00D86D63" w:rsidRDefault="00223568">
      <w:pPr>
        <w:pStyle w:val="Heading4"/>
      </w:pPr>
      <w:bookmarkStart w:id="46" w:name="X0e28b45b9ae2bbd8716e02146805854f15bbe07"/>
      <w:bookmarkEnd w:id="45"/>
      <w:r>
        <w:t>Cell measurement error (where revision data unavailable)</w:t>
      </w:r>
    </w:p>
    <w:p w14:paraId="6FAEF66F"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σ</m:t>
                  </m:r>
                </m:e>
                <m:sub>
                  <m:r>
                    <w:rPr>
                      <w:rFonts w:ascii="Cambria Math" w:hAnsi="Cambria Math"/>
                    </w:rPr>
                    <m:t>Q</m:t>
                  </m:r>
                </m:sub>
              </m:sSub>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ln</m:t>
              </m:r>
              <m:d>
                <m:dPr>
                  <m:ctrlPr>
                    <w:rPr>
                      <w:rFonts w:ascii="Cambria Math" w:hAnsi="Cambria Math"/>
                    </w:rPr>
                  </m:ctrlPr>
                </m:dPr>
                <m:e>
                  <m:r>
                    <w:rPr>
                      <w:rFonts w:ascii="Cambria Math" w:hAnsi="Cambria Math"/>
                    </w:rPr>
                    <m:t>0.001</m:t>
                  </m:r>
                </m:e>
              </m:d>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σ</m:t>
                  </m:r>
                </m:e>
                <m:sub>
                  <m:r>
                    <w:rPr>
                      <w:rFonts w:ascii="Cambria Math" w:hAnsi="Cambria Math"/>
                    </w:rPr>
                    <m:t>Q</m:t>
                  </m:r>
                </m:sub>
              </m:sSub>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0.3</m:t>
              </m:r>
            </m:e>
          </m:d>
        </m:oMath>
      </m:oMathPara>
    </w:p>
    <w:p w14:paraId="2630E661" w14:textId="77777777" w:rsidR="00D86D63" w:rsidRDefault="00223568">
      <w:pPr>
        <w:pStyle w:val="Heading4"/>
      </w:pPr>
      <w:bookmarkStart w:id="47" w:name="discrepancy"/>
      <w:bookmarkEnd w:id="46"/>
      <w:r>
        <w:t>Discrepancy</w:t>
      </w:r>
    </w:p>
    <w:p w14:paraId="3D02D9DA"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δ</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0.002</m:t>
              </m:r>
            </m:e>
          </m:d>
        </m:oMath>
      </m:oMathPara>
    </w:p>
    <w:p w14:paraId="316C4608" w14:textId="77777777" w:rsidR="00D86D63" w:rsidRDefault="00223568">
      <w:pPr>
        <w:pStyle w:val="Heading3"/>
      </w:pPr>
      <w:bookmarkStart w:id="48" w:name="output-specification-1"/>
      <w:bookmarkEnd w:id="42"/>
      <w:bookmarkEnd w:id="47"/>
      <w:r>
        <w:t>Output Specification</w:t>
      </w:r>
    </w:p>
    <w:p w14:paraId="21C75F79" w14:textId="77777777" w:rsidR="00D86D63" w:rsidRDefault="00223568">
      <w:pPr>
        <w:pStyle w:val="FirstParagraph"/>
      </w:pPr>
      <w:r>
        <w:t>All outputs from Release 1, plus:</w:t>
      </w:r>
    </w:p>
    <w:tbl>
      <w:tblPr>
        <w:tblStyle w:val="Table"/>
        <w:tblW w:w="5000" w:type="pct"/>
        <w:tblLayout w:type="fixed"/>
        <w:tblLook w:val="0020" w:firstRow="1" w:lastRow="0" w:firstColumn="0" w:lastColumn="0" w:noHBand="0" w:noVBand="0"/>
      </w:tblPr>
      <w:tblGrid>
        <w:gridCol w:w="3640"/>
        <w:gridCol w:w="5720"/>
      </w:tblGrid>
      <w:tr w:rsidR="00D86D63" w14:paraId="45E2CF99"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3080" w:type="dxa"/>
          </w:tcPr>
          <w:p w14:paraId="78A67221" w14:textId="77777777" w:rsidR="00D86D63" w:rsidRDefault="00223568">
            <w:pPr>
              <w:pStyle w:val="Compact"/>
            </w:pPr>
            <w:r>
              <w:t>Output</w:t>
            </w:r>
          </w:p>
        </w:tc>
        <w:tc>
          <w:tcPr>
            <w:tcW w:w="4840" w:type="dxa"/>
          </w:tcPr>
          <w:p w14:paraId="24755FA4" w14:textId="77777777" w:rsidR="00D86D63" w:rsidRDefault="00223568">
            <w:pPr>
              <w:pStyle w:val="Compact"/>
            </w:pPr>
            <w:r>
              <w:t>Description</w:t>
            </w:r>
          </w:p>
        </w:tc>
      </w:tr>
      <w:tr w:rsidR="00D86D63" w14:paraId="070F4CE2" w14:textId="77777777">
        <w:tc>
          <w:tcPr>
            <w:tcW w:w="3080" w:type="dxa"/>
          </w:tcPr>
          <w:p w14:paraId="29430330" w14:textId="77777777" w:rsidR="00D86D63" w:rsidRDefault="00223568">
            <w:pPr>
              <w:pStyle w:val="Compact"/>
            </w:pPr>
            <w:r>
              <w:rPr>
                <w:rStyle w:val="VerbatimChar"/>
              </w:rPr>
              <w:t>cell_nowcasts_reconciled</w:t>
            </w:r>
          </w:p>
        </w:tc>
        <w:tc>
          <w:tcPr>
            <w:tcW w:w="4840" w:type="dxa"/>
          </w:tcPr>
          <w:p w14:paraId="0ADE23C7" w14:textId="77777777" w:rsidR="00D86D63" w:rsidRDefault="00223568">
            <w:pPr>
              <w:pStyle w:val="Compact"/>
            </w:pPr>
            <w:r>
              <w:t>Reconciled cell estimates (sum to national)</w:t>
            </w:r>
          </w:p>
        </w:tc>
      </w:tr>
      <w:tr w:rsidR="00D86D63" w14:paraId="7869AF0A" w14:textId="77777777">
        <w:tc>
          <w:tcPr>
            <w:tcW w:w="3080" w:type="dxa"/>
          </w:tcPr>
          <w:p w14:paraId="7105276E" w14:textId="77777777" w:rsidR="00D86D63" w:rsidRDefault="00223568">
            <w:pPr>
              <w:pStyle w:val="Compact"/>
            </w:pPr>
            <w:r>
              <w:rPr>
                <w:rStyle w:val="VerbatimChar"/>
              </w:rPr>
              <w:t>cell_contributions</w:t>
            </w:r>
          </w:p>
        </w:tc>
        <w:tc>
          <w:tcPr>
            <w:tcW w:w="4840" w:type="dxa"/>
          </w:tcPr>
          <w:p w14:paraId="6DC6A30A" w14:textId="77777777" w:rsidR="00D86D63" w:rsidRDefault="00223568">
            <w:pPr>
              <w:pStyle w:val="Compact"/>
            </w:p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j</m:t>
                  </m:r>
                  <m:r>
                    <m:rPr>
                      <m:sty m:val="p"/>
                    </m:rPr>
                    <w:rPr>
                      <w:rFonts w:ascii="Cambria Math" w:hAnsi="Cambria Math"/>
                    </w:rPr>
                    <m:t>,</m:t>
                  </m:r>
                  <m:r>
                    <w:rPr>
                      <w:rFonts w:ascii="Cambria Math" w:hAnsi="Cambria Math"/>
                    </w:rPr>
                    <m:t>T</m:t>
                  </m:r>
                </m:sub>
              </m:sSub>
            </m:oMath>
            <w:r>
              <w:t xml:space="preserve"> for each cell</w:t>
            </w:r>
          </w:p>
        </w:tc>
      </w:tr>
      <w:tr w:rsidR="00D86D63" w14:paraId="18BFB275" w14:textId="77777777">
        <w:tc>
          <w:tcPr>
            <w:tcW w:w="3080" w:type="dxa"/>
          </w:tcPr>
          <w:p w14:paraId="096D0EF1" w14:textId="77777777" w:rsidR="00D86D63" w:rsidRDefault="00223568">
            <w:pPr>
              <w:pStyle w:val="Compact"/>
            </w:pPr>
            <w:r>
              <w:rPr>
                <w:rStyle w:val="VerbatimChar"/>
              </w:rPr>
              <w:t>top_drivers</w:t>
            </w:r>
          </w:p>
        </w:tc>
        <w:tc>
          <w:tcPr>
            <w:tcW w:w="4840" w:type="dxa"/>
          </w:tcPr>
          <w:p w14:paraId="37E2F437" w14:textId="77777777" w:rsidR="00D86D63" w:rsidRDefault="00223568">
            <w:pPr>
              <w:pStyle w:val="Compact"/>
            </w:pPr>
            <w:r>
              <w:t>Cells contributing most to national change</w:t>
            </w:r>
          </w:p>
        </w:tc>
      </w:tr>
      <w:tr w:rsidR="00D86D63" w14:paraId="267ACD5C" w14:textId="77777777">
        <w:tc>
          <w:tcPr>
            <w:tcW w:w="3080" w:type="dxa"/>
          </w:tcPr>
          <w:p w14:paraId="0D2DE921" w14:textId="77777777" w:rsidR="00D86D63" w:rsidRDefault="00223568">
            <w:pPr>
              <w:pStyle w:val="Compact"/>
            </w:pPr>
            <w:r>
              <w:rPr>
                <w:rStyle w:val="VerbatimChar"/>
              </w:rPr>
              <w:t>provider_cell_coverage</w:t>
            </w:r>
          </w:p>
        </w:tc>
        <w:tc>
          <w:tcPr>
            <w:tcW w:w="4840" w:type="dxa"/>
          </w:tcPr>
          <w:p w14:paraId="35555A6D" w14:textId="77777777" w:rsidR="00D86D63" w:rsidRDefault="00223568">
            <w:pPr>
              <w:pStyle w:val="Compact"/>
            </w:pPr>
            <w:r>
              <w:t>Which providers inform which cells</w:t>
            </w:r>
          </w:p>
        </w:tc>
      </w:tr>
      <w:tr w:rsidR="00D86D63" w14:paraId="321F2C73" w14:textId="77777777">
        <w:tc>
          <w:tcPr>
            <w:tcW w:w="3080" w:type="dxa"/>
          </w:tcPr>
          <w:p w14:paraId="5024FA05" w14:textId="77777777" w:rsidR="00D86D63" w:rsidRDefault="00223568">
            <w:pPr>
              <w:pStyle w:val="Compact"/>
            </w:pPr>
            <w:r>
              <w:rPr>
                <w:rStyle w:val="VerbatimChar"/>
              </w:rPr>
              <w:t>discrepancy_estimate</w:t>
            </w:r>
          </w:p>
        </w:tc>
        <w:tc>
          <w:tcPr>
            <w:tcW w:w="4840" w:type="dxa"/>
          </w:tcPr>
          <w:p w14:paraId="3598631D" w14:textId="77777777" w:rsidR="00D86D63" w:rsidRDefault="00223568">
            <w:pPr>
              <w:pStyle w:val="Compact"/>
            </w:pPr>
            <w:r>
              <w:t xml:space="preserve">Current </w:t>
            </w:r>
            <m:oMath>
              <m:sSub>
                <m:sSubPr>
                  <m:ctrlPr>
                    <w:rPr>
                      <w:rFonts w:ascii="Cambria Math" w:hAnsi="Cambria Math"/>
                    </w:rPr>
                  </m:ctrlPr>
                </m:sSubPr>
                <m:e>
                  <m:r>
                    <w:rPr>
                      <w:rFonts w:ascii="Cambria Math" w:hAnsi="Cambria Math"/>
                    </w:rPr>
                    <m:t>δ</m:t>
                  </m:r>
                </m:e>
                <m:sub>
                  <m:r>
                    <w:rPr>
                      <w:rFonts w:ascii="Cambria Math" w:hAnsi="Cambria Math"/>
                    </w:rPr>
                    <m:t>t</m:t>
                  </m:r>
                </m:sub>
              </m:sSub>
            </m:oMath>
          </w:p>
        </w:tc>
      </w:tr>
      <w:tr w:rsidR="00D86D63" w14:paraId="4A74E2CA" w14:textId="77777777">
        <w:tc>
          <w:tcPr>
            <w:tcW w:w="3080" w:type="dxa"/>
          </w:tcPr>
          <w:p w14:paraId="70F8F43E" w14:textId="77777777" w:rsidR="00D86D63" w:rsidRDefault="00223568">
            <w:pPr>
              <w:pStyle w:val="Compact"/>
            </w:pPr>
            <w:r>
              <w:rPr>
                <w:rStyle w:val="VerbatimChar"/>
              </w:rPr>
              <w:t>information_regime</w:t>
            </w:r>
          </w:p>
        </w:tc>
        <w:tc>
          <w:tcPr>
            <w:tcW w:w="4840" w:type="dxa"/>
          </w:tcPr>
          <w:p w14:paraId="19BEDEC5" w14:textId="77777777" w:rsidR="00D86D63" w:rsidRDefault="00223568">
            <w:pPr>
              <w:pStyle w:val="Compact"/>
            </w:pPr>
            <w:r>
              <w:t>Current regime (A, B, or C)</w:t>
            </w:r>
          </w:p>
        </w:tc>
      </w:tr>
      <w:tr w:rsidR="00D86D63" w14:paraId="17AED8F5" w14:textId="77777777">
        <w:tc>
          <w:tcPr>
            <w:tcW w:w="3080" w:type="dxa"/>
          </w:tcPr>
          <w:p w14:paraId="012D3435" w14:textId="77777777" w:rsidR="00D86D63" w:rsidRDefault="00223568">
            <w:pPr>
              <w:pStyle w:val="Compact"/>
            </w:pPr>
            <w:r>
              <w:rPr>
                <w:rStyle w:val="VerbatimChar"/>
              </w:rPr>
              <w:t>regime_uncertainty</w:t>
            </w:r>
          </w:p>
        </w:tc>
        <w:tc>
          <w:tcPr>
            <w:tcW w:w="4840" w:type="dxa"/>
          </w:tcPr>
          <w:p w14:paraId="3E387A0B" w14:textId="77777777" w:rsidR="00D86D63" w:rsidRDefault="00223568">
            <w:pPr>
              <w:pStyle w:val="Compact"/>
            </w:pPr>
            <w:r>
              <w:t>How uncertainty bands change across regimes</w:t>
            </w:r>
          </w:p>
        </w:tc>
      </w:tr>
    </w:tbl>
    <w:p w14:paraId="29C5EF98" w14:textId="77777777" w:rsidR="00D86D63" w:rsidRDefault="00223568">
      <w:pPr>
        <w:pStyle w:val="Heading3"/>
      </w:pPr>
      <w:bookmarkStart w:id="49" w:name="validation-metrics-1"/>
      <w:bookmarkEnd w:id="48"/>
      <w:r>
        <w:t>Validation Metrics</w:t>
      </w:r>
    </w:p>
    <w:p w14:paraId="298563BA" w14:textId="77777777" w:rsidR="00D86D63" w:rsidRDefault="00223568">
      <w:pPr>
        <w:pStyle w:val="Compact"/>
        <w:numPr>
          <w:ilvl w:val="0"/>
          <w:numId w:val="10"/>
        </w:numPr>
      </w:pPr>
      <w:r>
        <w:t>National RMSE (should not degrade vs. Release 1)</w:t>
      </w:r>
    </w:p>
    <w:p w14:paraId="7D4F9150" w14:textId="77777777" w:rsidR="00D86D63" w:rsidRDefault="00223568">
      <w:pPr>
        <w:pStyle w:val="Compact"/>
        <w:numPr>
          <w:ilvl w:val="0"/>
          <w:numId w:val="10"/>
        </w:numPr>
      </w:pPr>
      <w:r>
        <w:t>Coherence: cells sum exactly to national</w:t>
      </w:r>
    </w:p>
    <w:p w14:paraId="7086937C" w14:textId="77777777" w:rsidR="00D86D63" w:rsidRDefault="00223568">
      <w:pPr>
        <w:pStyle w:val="Compact"/>
        <w:numPr>
          <w:ilvl w:val="0"/>
          <w:numId w:val="10"/>
        </w:numPr>
      </w:pPr>
      <w:r>
        <w:t>Cell-level coverage against QCEW</w:t>
      </w:r>
    </w:p>
    <w:p w14:paraId="75D4EBC3" w14:textId="77777777" w:rsidR="00D86D63" w:rsidRDefault="00223568">
      <w:pPr>
        <w:pStyle w:val="Compact"/>
        <w:numPr>
          <w:ilvl w:val="0"/>
          <w:numId w:val="10"/>
        </w:numPr>
      </w:pPr>
      <w:r>
        <w:t>Regime-specific accuracy: does Regime B decomposition hold up when state CES arrives?</w:t>
      </w:r>
    </w:p>
    <w:p w14:paraId="04659174" w14:textId="77777777" w:rsidR="00D86D63" w:rsidRDefault="00223568">
      <w:pPr>
        <w:pStyle w:val="Compact"/>
        <w:numPr>
          <w:ilvl w:val="0"/>
          <w:numId w:val="10"/>
        </w:numPr>
      </w:pPr>
      <w:r>
        <w:t>Provider ranking by signal quality, by cell</w:t>
      </w:r>
    </w:p>
    <w:p w14:paraId="4789BB20" w14:textId="77777777" w:rsidR="00D86D63" w:rsidRDefault="00223568">
      <w:pPr>
        <w:pStyle w:val="Heading3"/>
      </w:pPr>
      <w:bookmarkStart w:id="50" w:name="limitations-1"/>
      <w:bookmarkEnd w:id="49"/>
      <w:r>
        <w:t>Limitations</w:t>
      </w:r>
    </w:p>
    <w:p w14:paraId="09DC8602" w14:textId="77777777" w:rsidR="00D86D63" w:rsidRDefault="00223568">
      <w:pPr>
        <w:pStyle w:val="Compact"/>
        <w:numPr>
          <w:ilvl w:val="0"/>
          <w:numId w:val="11"/>
        </w:numPr>
      </w:pPr>
      <w:r>
        <w:t>Exchangeable priors ignore geographic/industry nesting (addressed in Release 3)</w:t>
      </w:r>
    </w:p>
    <w:p w14:paraId="6C0DA3DC" w14:textId="77777777" w:rsidR="00D86D63" w:rsidRDefault="00223568">
      <w:pPr>
        <w:pStyle w:val="Compact"/>
        <w:numPr>
          <w:ilvl w:val="0"/>
          <w:numId w:val="11"/>
        </w:numPr>
      </w:pPr>
      <w:r>
        <w:t>Time-invariant provider bias (addressed in Release 3)</w:t>
      </w:r>
    </w:p>
    <w:p w14:paraId="62542468" w14:textId="3735A4D3" w:rsidR="00D86D63" w:rsidRDefault="00D86D63"/>
    <w:p w14:paraId="5105A2CA" w14:textId="77777777" w:rsidR="00D86D63" w:rsidRDefault="00223568">
      <w:pPr>
        <w:pStyle w:val="Heading1"/>
      </w:pPr>
      <w:bookmarkStart w:id="51" w:name="X865081e7b348a1bdc56008d399c7960067da4ea"/>
      <w:bookmarkEnd w:id="29"/>
      <w:bookmarkEnd w:id="32"/>
      <w:bookmarkEnd w:id="50"/>
      <w:r>
        <w:lastRenderedPageBreak/>
        <w:t>Release 3: Nested Hierarchy, Time-Varying Bias, and QCEW Forecasting</w:t>
      </w:r>
    </w:p>
    <w:p w14:paraId="604306A2" w14:textId="77777777" w:rsidR="00D86D63" w:rsidRDefault="00223568">
      <w:pPr>
        <w:pStyle w:val="Heading2"/>
      </w:pPr>
      <w:bookmarkStart w:id="52" w:name="objective-2"/>
      <w:r>
        <w:t>Objective</w:t>
      </w:r>
    </w:p>
    <w:p w14:paraId="06625A3C" w14:textId="77777777" w:rsidR="00D86D63" w:rsidRDefault="00223568">
      <w:pPr>
        <w:pStyle w:val="FirstParagraph"/>
      </w:pPr>
      <w:r>
        <w:t>Improve cell-level estimation by exploiting nested geographic and industry structure, allow provider bias to drift with QCEW error-correction, and extend QCEW conditioning to the present via forecasting.</w:t>
      </w:r>
    </w:p>
    <w:p w14:paraId="062C5A0F" w14:textId="77777777" w:rsidR="00D86D63" w:rsidRDefault="00223568">
      <w:pPr>
        <w:pStyle w:val="Heading2"/>
      </w:pPr>
      <w:bookmarkStart w:id="53" w:name="incremental-changes-from-release-2"/>
      <w:bookmarkEnd w:id="52"/>
      <w:r>
        <w:t>Incremental Changes from Release 2</w:t>
      </w:r>
    </w:p>
    <w:p w14:paraId="6E87B602" w14:textId="77777777" w:rsidR="00D86D63" w:rsidRDefault="00223568">
      <w:pPr>
        <w:pStyle w:val="Compact"/>
        <w:numPr>
          <w:ilvl w:val="0"/>
          <w:numId w:val="12"/>
        </w:numPr>
      </w:pPr>
      <w:r>
        <w:t>Replace exchangeable priors with nested random effects</w:t>
      </w:r>
    </w:p>
    <w:p w14:paraId="675E4C48" w14:textId="77777777" w:rsidR="00D86D63" w:rsidRDefault="00223568">
      <w:pPr>
        <w:pStyle w:val="Compact"/>
        <w:numPr>
          <w:ilvl w:val="0"/>
          <w:numId w:val="12"/>
        </w:numPr>
      </w:pPr>
      <w:r>
        <w:t>Bias/loading decomposes into geographic, industry, provider, and residual components</w:t>
      </w:r>
    </w:p>
    <w:p w14:paraId="27A15307" w14:textId="77777777" w:rsidR="00D86D63" w:rsidRDefault="00223568">
      <w:pPr>
        <w:pStyle w:val="Compact"/>
        <w:numPr>
          <w:ilvl w:val="0"/>
          <w:numId w:val="12"/>
        </w:numPr>
      </w:pPr>
      <w:r>
        <w:t>BD intensity follows nested industry hierarchy</w:t>
      </w:r>
    </w:p>
    <w:p w14:paraId="72FB0A75" w14:textId="77777777" w:rsidR="00D86D63" w:rsidRDefault="00223568">
      <w:pPr>
        <w:pStyle w:val="Compact"/>
        <w:numPr>
          <w:ilvl w:val="0"/>
          <w:numId w:val="12"/>
        </w:numPr>
      </w:pPr>
      <w:r>
        <w:t>Enable finer geographic granularity (states) without overfitting</w:t>
      </w:r>
    </w:p>
    <w:p w14:paraId="23CD1F52" w14:textId="77777777" w:rsidR="00D86D63" w:rsidRDefault="00223568">
      <w:pPr>
        <w:pStyle w:val="Compact"/>
        <w:numPr>
          <w:ilvl w:val="0"/>
          <w:numId w:val="12"/>
        </w:numPr>
      </w:pPr>
      <w:r>
        <w:t xml:space="preserve">Time-varying bias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t xml:space="preserve"> with RW1 dynamics and QCEW error-correction</w:t>
      </w:r>
    </w:p>
    <w:p w14:paraId="0F374729" w14:textId="77777777" w:rsidR="00D86D63" w:rsidRDefault="00223568">
      <w:pPr>
        <w:pStyle w:val="Compact"/>
        <w:numPr>
          <w:ilvl w:val="0"/>
          <w:numId w:val="12"/>
        </w:numPr>
      </w:pPr>
      <w:r>
        <w:t>Forecasted QCEW enables real-time conditioning despite 5–6 month lag</w:t>
      </w:r>
    </w:p>
    <w:p w14:paraId="56B1B67A" w14:textId="77777777" w:rsidR="00D86D63" w:rsidRDefault="00223568">
      <w:pPr>
        <w:pStyle w:val="Compact"/>
        <w:numPr>
          <w:ilvl w:val="0"/>
          <w:numId w:val="12"/>
        </w:numPr>
      </w:pPr>
      <w:r>
        <w:t>Location quotients and leading indicators predict QCEW</w:t>
      </w:r>
    </w:p>
    <w:p w14:paraId="7AB24434" w14:textId="77777777" w:rsidR="00D86D63" w:rsidRDefault="00223568">
      <w:pPr>
        <w:pStyle w:val="Heading2"/>
      </w:pPr>
      <w:bookmarkStart w:id="54" w:name="system-description-2"/>
      <w:bookmarkEnd w:id="53"/>
      <w:r>
        <w:t>System Description</w:t>
      </w:r>
    </w:p>
    <w:p w14:paraId="23EF6F96" w14:textId="77777777" w:rsidR="00D86D63" w:rsidRDefault="00223568">
      <w:pPr>
        <w:pStyle w:val="FirstParagraph"/>
      </w:pPr>
      <w:r>
        <w:t>The nested structure reflects true geographic and industry relationships: cells in the same division are more similar than cells in different divisions; construction BD intensity differs from healthcare BD intensity. Provider effects interact with this structure — some providers may perform better in certain regions or industries. Provider bias drifts over time as client composition evolves; QCEW error-correction prevents unbounded drift.</w:t>
      </w:r>
    </w:p>
    <w:p w14:paraId="3398882A" w14:textId="77777777" w:rsidR="00D86D63" w:rsidRDefault="00223568">
      <w:pPr>
        <w:pStyle w:val="Heading3"/>
      </w:pPr>
      <w:bookmarkStart w:id="55" w:name="complete-model-specification-2"/>
      <w:r>
        <w:t>Complete Model Specification</w:t>
      </w:r>
    </w:p>
    <w:p w14:paraId="7DAC6F59" w14:textId="77777777" w:rsidR="00D86D63" w:rsidRDefault="00223568">
      <w:pPr>
        <w:pStyle w:val="Heading4"/>
      </w:pPr>
      <w:bookmarkStart w:id="56" w:name="Xe2a1cc5343f93f168426df2170ac9a8476607e4"/>
      <w:r>
        <w:t>Latent States, Fourier Seasonal, Discrepancy, MinT</w:t>
      </w:r>
    </w:p>
    <w:p w14:paraId="5B389D18" w14:textId="77777777" w:rsidR="00D86D63" w:rsidRDefault="00223568">
      <w:pPr>
        <w:pStyle w:val="FirstParagraph"/>
      </w:pPr>
      <w:r>
        <w:t>Same as Release 2. The cell grid expands from coarse (4 regions × 3–4 industries) to the full state × supersector grid (~550 cells), with nested priors preventing overfitting in sparse cells.</w:t>
      </w:r>
    </w:p>
    <w:p w14:paraId="25EF93FC" w14:textId="77777777" w:rsidR="00D86D63" w:rsidRDefault="00223568">
      <w:pPr>
        <w:pStyle w:val="Heading4"/>
      </w:pPr>
      <w:bookmarkStart w:id="57" w:name="nested-hierarchical-structure"/>
      <w:bookmarkEnd w:id="56"/>
      <w:r>
        <w:t>Nested Hierarchical Structure</w:t>
      </w:r>
    </w:p>
    <w:p w14:paraId="730D0475" w14:textId="77777777" w:rsidR="00D86D63" w:rsidRDefault="00223568">
      <w:pPr>
        <w:pStyle w:val="FirstParagraph"/>
      </w:pPr>
      <w:r>
        <w:t>Cell-level bias decomposes into geographic, industry, provider, and residual components:</w:t>
      </w:r>
    </w:p>
    <w:p w14:paraId="5570FB82"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sub>
            <m:sup>
              <m:r>
                <w:rPr>
                  <w:rFonts w:ascii="Cambria Math" w:hAnsi="Cambria Math"/>
                </w:rPr>
                <m:t>prov</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m:t>
              </m:r>
              <m:d>
                <m:dPr>
                  <m:ctrlPr>
                    <w:rPr>
                      <w:rFonts w:ascii="Cambria Math" w:hAnsi="Cambria Math"/>
                    </w:rPr>
                  </m:ctrlPr>
                </m:dPr>
                <m:e>
                  <m:r>
                    <w:rPr>
                      <w:rFonts w:ascii="Cambria Math" w:hAnsi="Cambria Math"/>
                    </w:rPr>
                    <m:t>j</m:t>
                  </m:r>
                </m:e>
              </m:d>
            </m:sub>
            <m:sup>
              <m:r>
                <w:rPr>
                  <w:rFonts w:ascii="Cambria Math" w:hAnsi="Cambria Math"/>
                </w:rPr>
                <m:t>region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d</m:t>
              </m:r>
              <m:d>
                <m:dPr>
                  <m:ctrlPr>
                    <w:rPr>
                      <w:rFonts w:ascii="Cambria Math" w:hAnsi="Cambria Math"/>
                    </w:rPr>
                  </m:ctrlPr>
                </m:dPr>
                <m:e>
                  <m:r>
                    <w:rPr>
                      <w:rFonts w:ascii="Cambria Math" w:hAnsi="Cambria Math"/>
                    </w:rPr>
                    <m:t>j</m:t>
                  </m:r>
                </m:e>
              </m:d>
            </m:sub>
            <m:sup>
              <m:r>
                <w:rPr>
                  <w:rFonts w:ascii="Cambria Math" w:hAnsi="Cambria Math"/>
                </w:rPr>
                <m:t>division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st</m:t>
              </m:r>
              <m:d>
                <m:dPr>
                  <m:ctrlPr>
                    <w:rPr>
                      <w:rFonts w:ascii="Cambria Math" w:hAnsi="Cambria Math"/>
                    </w:rPr>
                  </m:ctrlPr>
                </m:dPr>
                <m:e>
                  <m:r>
                    <w:rPr>
                      <w:rFonts w:ascii="Cambria Math" w:hAnsi="Cambria Math"/>
                    </w:rPr>
                    <m:t>j</m:t>
                  </m:r>
                </m:e>
              </m:d>
            </m:sub>
            <m:sup>
              <m:r>
                <w:rPr>
                  <w:rFonts w:ascii="Cambria Math" w:hAnsi="Cambria Math"/>
                </w:rPr>
                <m:t>state</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supersector</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prov</m:t>
              </m:r>
              <m:r>
                <m:rPr>
                  <m:sty m:val="p"/>
                </m:rPr>
                <w:rPr>
                  <w:rFonts w:ascii="Cambria Math" w:hAnsi="Cambria Math"/>
                </w:rPr>
                <m:t>×</m:t>
              </m:r>
              <m:r>
                <w:rPr>
                  <w:rFonts w:ascii="Cambria Math" w:hAnsi="Cambria Math"/>
                </w:rPr>
                <m:t>ind</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up>
              <m:r>
                <w:rPr>
                  <w:rFonts w:ascii="Cambria Math" w:hAnsi="Cambria Math"/>
                </w:rPr>
                <m:t>resid</m:t>
              </m:r>
            </m:sup>
          </m:sSubSup>
        </m:oMath>
      </m:oMathPara>
    </w:p>
    <w:p w14:paraId="6A6D7F91" w14:textId="77777777" w:rsidR="00D86D63" w:rsidRDefault="00223568">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st</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oMath>
      <w:r>
        <w:t xml:space="preserve"> denote the region, division, state, and supersector of cell </w:t>
      </w:r>
      <m:oMath>
        <m:r>
          <w:rPr>
            <w:rFonts w:ascii="Cambria Math" w:hAnsi="Cambria Math"/>
          </w:rPr>
          <m:t>j</m:t>
        </m:r>
      </m:oMath>
      <w:r>
        <w:t>.</w:t>
      </w:r>
    </w:p>
    <w:p w14:paraId="05C3D99C" w14:textId="77777777" w:rsidR="00D86D63" w:rsidRDefault="00223568">
      <w:pPr>
        <w:pStyle w:val="BodyText"/>
      </w:pPr>
      <w:r>
        <w:rPr>
          <w:b/>
          <w:bCs/>
        </w:rPr>
        <w:t>Geographic hierarchy:</w:t>
      </w:r>
    </w:p>
    <w:p w14:paraId="457FF9C8"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r</m:t>
              </m:r>
            </m:sub>
            <m:sup>
              <m:r>
                <w:rPr>
                  <w:rFonts w:ascii="Cambria Math" w:hAnsi="Cambria Math"/>
                </w:rPr>
                <m:t>region</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region</m:t>
                  </m:r>
                </m:sub>
                <m:sup>
                  <m:r>
                    <w:rPr>
                      <w:rFonts w:ascii="Cambria Math" w:hAnsi="Cambria Math"/>
                    </w:rPr>
                    <m:t>2</m:t>
                  </m:r>
                </m:sup>
              </m:sSubSup>
            </m:e>
          </m:d>
        </m:oMath>
      </m:oMathPara>
    </w:p>
    <w:p w14:paraId="599E4BC4"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d</m:t>
              </m:r>
            </m:sub>
            <m:sup>
              <m:r>
                <w:rPr>
                  <w:rFonts w:ascii="Cambria Math" w:hAnsi="Cambria Math"/>
                </w:rPr>
                <m:t>division</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division</m:t>
                  </m:r>
                </m:sub>
                <m:sup>
                  <m:r>
                    <w:rPr>
                      <w:rFonts w:ascii="Cambria Math" w:hAnsi="Cambria Math"/>
                    </w:rPr>
                    <m:t>2</m:t>
                  </m:r>
                </m:sup>
              </m:sSubSup>
            </m:e>
          </m:d>
        </m:oMath>
      </m:oMathPara>
    </w:p>
    <w:p w14:paraId="28CD7D70"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st</m:t>
              </m:r>
            </m:sub>
            <m:sup>
              <m:r>
                <w:rPr>
                  <w:rFonts w:ascii="Cambria Math" w:hAnsi="Cambria Math"/>
                </w:rPr>
                <m:t>state</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state</m:t>
                  </m:r>
                </m:sub>
                <m:sup>
                  <m:r>
                    <w:rPr>
                      <w:rFonts w:ascii="Cambria Math" w:hAnsi="Cambria Math"/>
                    </w:rPr>
                    <m:t>2</m:t>
                  </m:r>
                </m:sup>
              </m:sSubSup>
            </m:e>
          </m:d>
        </m:oMath>
      </m:oMathPara>
    </w:p>
    <w:p w14:paraId="6E52065B" w14:textId="77777777" w:rsidR="00D86D63" w:rsidRDefault="00223568">
      <w:pPr>
        <w:pStyle w:val="FirstParagraph"/>
      </w:pPr>
      <w:r>
        <w:rPr>
          <w:b/>
          <w:bCs/>
        </w:rPr>
        <w:t>Industry hierarchy:</w:t>
      </w:r>
    </w:p>
    <w:p w14:paraId="5BCAB4A3"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dom</m:t>
              </m:r>
            </m:sub>
            <m:sup>
              <m:r>
                <w:rPr>
                  <w:rFonts w:ascii="Cambria Math" w:hAnsi="Cambria Math"/>
                </w:rPr>
                <m:t>domain</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domain</m:t>
                  </m:r>
                </m:sub>
                <m:sup>
                  <m:r>
                    <w:rPr>
                      <w:rFonts w:ascii="Cambria Math" w:hAnsi="Cambria Math"/>
                    </w:rPr>
                    <m:t>2</m:t>
                  </m:r>
                </m:sup>
              </m:sSubSup>
            </m:e>
          </m:d>
        </m:oMath>
      </m:oMathPara>
    </w:p>
    <w:p w14:paraId="0A80BA7E"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s</m:t>
              </m:r>
            </m:sub>
            <m:sup>
              <m:r>
                <w:rPr>
                  <w:rFonts w:ascii="Cambria Math" w:hAnsi="Cambria Math"/>
                </w:rPr>
                <m:t>supersector</m:t>
              </m:r>
            </m:sup>
          </m:sSubSup>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dom</m:t>
                  </m:r>
                  <m:d>
                    <m:dPr>
                      <m:ctrlPr>
                        <w:rPr>
                          <w:rFonts w:ascii="Cambria Math" w:hAnsi="Cambria Math"/>
                        </w:rPr>
                      </m:ctrlPr>
                    </m:dPr>
                    <m:e>
                      <m:r>
                        <w:rPr>
                          <w:rFonts w:ascii="Cambria Math" w:hAnsi="Cambria Math"/>
                        </w:rPr>
                        <m:t>s</m:t>
                      </m:r>
                    </m:e>
                  </m:d>
                </m:sub>
                <m:sup>
                  <m:r>
                    <w:rPr>
                      <w:rFonts w:ascii="Cambria Math" w:hAnsi="Cambria Math"/>
                    </w:rPr>
                    <m:t>domain</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supersector</m:t>
                  </m:r>
                  <m:r>
                    <m:rPr>
                      <m:sty m:val="p"/>
                    </m:rPr>
                    <w:rPr>
                      <w:rFonts w:ascii="Cambria Math" w:hAnsi="Cambria Math"/>
                    </w:rPr>
                    <m:t>|</m:t>
                  </m:r>
                  <m:r>
                    <w:rPr>
                      <w:rFonts w:ascii="Cambria Math" w:hAnsi="Cambria Math"/>
                    </w:rPr>
                    <m:t>domain</m:t>
                  </m:r>
                </m:sub>
                <m:sup>
                  <m:r>
                    <w:rPr>
                      <w:rFonts w:ascii="Cambria Math" w:hAnsi="Cambria Math"/>
                    </w:rPr>
                    <m:t>2</m:t>
                  </m:r>
                </m:sup>
              </m:sSubSup>
            </m:e>
          </m:d>
        </m:oMath>
      </m:oMathPara>
    </w:p>
    <w:p w14:paraId="077F2F1F" w14:textId="77777777" w:rsidR="00D86D63" w:rsidRDefault="00223568">
      <w:pPr>
        <w:pStyle w:val="FirstParagraph"/>
      </w:pPr>
      <w:r>
        <w:rPr>
          <w:b/>
          <w:bCs/>
        </w:rPr>
        <w:t>Provider × industry interaction:</w:t>
      </w:r>
    </w:p>
    <w:p w14:paraId="353F6658"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s</m:t>
              </m:r>
            </m:sub>
            <m:sup>
              <m:r>
                <w:rPr>
                  <w:rFonts w:ascii="Cambria Math" w:hAnsi="Cambria Math"/>
                </w:rPr>
                <m:t>prov</m:t>
              </m:r>
              <m:r>
                <m:rPr>
                  <m:sty m:val="p"/>
                </m:rPr>
                <w:rPr>
                  <w:rFonts w:ascii="Cambria Math" w:hAnsi="Cambria Math"/>
                </w:rPr>
                <m:t>×</m:t>
              </m:r>
              <m:r>
                <w:rPr>
                  <w:rFonts w:ascii="Cambria Math" w:hAnsi="Cambria Math"/>
                </w:rPr>
                <m:t>ind</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prov</m:t>
                  </m:r>
                  <m:r>
                    <m:rPr>
                      <m:sty m:val="p"/>
                    </m:rPr>
                    <w:rPr>
                      <w:rFonts w:ascii="Cambria Math" w:hAnsi="Cambria Math"/>
                    </w:rPr>
                    <m:t>×</m:t>
                  </m:r>
                  <m:r>
                    <w:rPr>
                      <w:rFonts w:ascii="Cambria Math" w:hAnsi="Cambria Math"/>
                    </w:rPr>
                    <m:t>ind</m:t>
                  </m:r>
                </m:sub>
                <m:sup>
                  <m:r>
                    <w:rPr>
                      <w:rFonts w:ascii="Cambria Math" w:hAnsi="Cambria Math"/>
                    </w:rPr>
                    <m:t>2</m:t>
                  </m:r>
                </m:sup>
              </m:sSubSup>
            </m:e>
          </m:d>
        </m:oMath>
      </m:oMathPara>
    </w:p>
    <w:p w14:paraId="5C460CA4" w14:textId="77777777" w:rsidR="00D86D63" w:rsidRDefault="00223568">
      <w:pPr>
        <w:pStyle w:val="FirstParagraph"/>
      </w:pPr>
      <w:r>
        <w:rPr>
          <w:b/>
          <w:bCs/>
        </w:rPr>
        <w:t>Residual:</w:t>
      </w:r>
    </w:p>
    <w:p w14:paraId="065FE525" w14:textId="77777777" w:rsidR="00D86D63" w:rsidRDefault="00223568">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up>
              <m:r>
                <w:rPr>
                  <w:rFonts w:ascii="Cambria Math" w:hAnsi="Cambria Math"/>
                </w:rPr>
                <m:t>resid</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resid</m:t>
                  </m:r>
                </m:sub>
                <m:sup>
                  <m:r>
                    <w:rPr>
                      <w:rFonts w:ascii="Cambria Math" w:hAnsi="Cambria Math"/>
                    </w:rPr>
                    <m:t>2</m:t>
                  </m:r>
                </m:sup>
              </m:sSubSup>
            </m:e>
          </m:d>
        </m:oMath>
      </m:oMathPara>
    </w:p>
    <w:p w14:paraId="27E66FB2" w14:textId="77777777" w:rsidR="00D86D63" w:rsidRDefault="00223568">
      <w:pPr>
        <w:pStyle w:val="FirstParagraph"/>
      </w:pPr>
      <w:r>
        <w:t xml:space="preserve">Signal loading </w:t>
      </w:r>
      <m:oMath>
        <m:sSub>
          <m:sSubPr>
            <m:ctrlPr>
              <w:rPr>
                <w:rFonts w:ascii="Cambria Math" w:hAnsi="Cambria Math"/>
              </w:rPr>
            </m:ctrlPr>
          </m:sSubPr>
          <m:e>
            <m:r>
              <w:rPr>
                <w:rFonts w:ascii="Cambria Math" w:hAnsi="Cambria Math"/>
              </w:rPr>
              <m:t>λ</m:t>
            </m:r>
          </m:e>
          <m:sub>
            <m:r>
              <w:rPr>
                <w:rFonts w:ascii="Cambria Math" w:hAnsi="Cambria Math"/>
              </w:rPr>
              <m:t>p</m:t>
            </m:r>
            <m:r>
              <m:rPr>
                <m:sty m:val="p"/>
              </m:rPr>
              <w:rPr>
                <w:rFonts w:ascii="Cambria Math" w:hAnsi="Cambria Math"/>
              </w:rPr>
              <m:t>,</m:t>
            </m:r>
            <m:r>
              <w:rPr>
                <w:rFonts w:ascii="Cambria Math" w:hAnsi="Cambria Math"/>
              </w:rPr>
              <m:t>j</m:t>
            </m:r>
          </m:sub>
        </m:sSub>
      </m:oMath>
      <w:r>
        <w:t xml:space="preserve"> </w:t>
      </w:r>
      <w:r>
        <w:t>follows the same nested decomposition.</w:t>
      </w:r>
    </w:p>
    <w:p w14:paraId="4E57BC6E" w14:textId="77777777" w:rsidR="00D86D63" w:rsidRDefault="00223568">
      <w:pPr>
        <w:pStyle w:val="Heading4"/>
      </w:pPr>
      <w:bookmarkStart w:id="58" w:name="nested-bd-intensity"/>
      <w:bookmarkEnd w:id="57"/>
      <w:r>
        <w:t>Nested BD Intensity</w:t>
      </w:r>
    </w:p>
    <w:p w14:paraId="16E4ADB7" w14:textId="77777777" w:rsidR="00D86D63" w:rsidRDefault="00223568">
      <w:pPr>
        <w:pStyle w:val="FirstParagraph"/>
      </w:pPr>
      <w:r>
        <w:t>BD rates vary systematically by industry. The nested hierarchy captures this:</w:t>
      </w:r>
    </w:p>
    <w:p w14:paraId="5DE91295"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domain</m:t>
              </m:r>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supersector</m:t>
              </m:r>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resid</m:t>
              </m:r>
              <m:r>
                <m:rPr>
                  <m:sty m:val="p"/>
                </m:rPr>
                <w:rPr>
                  <w:rFonts w:ascii="Cambria Math" w:hAnsi="Cambria Math"/>
                </w:rPr>
                <m:t>,</m:t>
              </m:r>
              <m:r>
                <w:rPr>
                  <w:rFonts w:ascii="Cambria Math" w:hAnsi="Cambria Math"/>
                </w:rPr>
                <m:t>j</m:t>
              </m:r>
            </m:sup>
          </m:sSubSup>
        </m:oMath>
      </m:oMathPara>
    </w:p>
    <w:p w14:paraId="517AB472" w14:textId="77777777" w:rsidR="00D86D63" w:rsidRDefault="00223568">
      <w:pPr>
        <w:pStyle w:val="FirstParagraph"/>
      </w:pPr>
      <w:r>
        <w:t xml:space="preserve">with analogous nesting for BD covariate loadings </w:t>
      </w:r>
      <m:oMath>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r>
              <m:rPr>
                <m:sty m:val="p"/>
              </m:rPr>
              <w:rPr>
                <w:rFonts w:ascii="Cambria Math" w:hAnsi="Cambria Math"/>
              </w:rPr>
              <m:t>,</m:t>
            </m:r>
            <m:r>
              <w:rPr>
                <w:rFonts w:ascii="Cambria Math" w:hAnsi="Cambria Math"/>
              </w:rPr>
              <m:t>j</m:t>
            </m:r>
          </m:sub>
        </m:sSub>
      </m:oMath>
      <w:r>
        <w:t>.</w:t>
      </w:r>
    </w:p>
    <w:p w14:paraId="6B695CD7" w14:textId="77777777" w:rsidR="00D86D63" w:rsidRDefault="00223568">
      <w:pPr>
        <w:pStyle w:val="Heading4"/>
      </w:pPr>
      <w:bookmarkStart w:id="59" w:name="time-varying-provider-bias"/>
      <w:bookmarkEnd w:id="58"/>
      <w:r>
        <w:t>Time-Varying Provider Bias</w:t>
      </w:r>
    </w:p>
    <w:p w14:paraId="441BA5BB" w14:textId="77777777" w:rsidR="00D86D63" w:rsidRDefault="00223568">
      <w:pPr>
        <w:pStyle w:val="FirstParagraph"/>
      </w:pPr>
      <w:r>
        <w:t>Provider bias drifts via RW1 with QCEW error-correction:</w:t>
      </w:r>
    </w:p>
    <w:p w14:paraId="73B1D9E9" w14:textId="77777777" w:rsidR="00D86D63" w:rsidRDefault="00223568">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oMath>
      </m:oMathPara>
    </w:p>
    <w:p w14:paraId="0901BDD4" w14:textId="77777777" w:rsidR="00D86D63" w:rsidRDefault="00223568">
      <w:pPr>
        <w:pStyle w:val="FirstParagraph"/>
      </w:pPr>
      <w:r>
        <w:t>where:</w:t>
      </w:r>
    </w:p>
    <w:p w14:paraId="22DC1CFF" w14:textId="77777777" w:rsidR="00D86D63" w:rsidRDefault="00223568">
      <w:pPr>
        <w:pStyle w:val="Compact"/>
        <w:numPr>
          <w:ilvl w:val="0"/>
          <w:numId w:val="13"/>
        </w:numPr>
      </w:pPr>
      <m:oMath>
        <m:sSub>
          <m:sSubPr>
            <m:ctrlPr>
              <w:rPr>
                <w:rFonts w:ascii="Cambria Math" w:hAnsi="Cambria Math"/>
              </w:rPr>
            </m:ctrlPr>
          </m:sSubPr>
          <m:e>
            <m:r>
              <w:rPr>
                <w:rFonts w:ascii="Cambria Math" w:hAnsi="Cambria Math"/>
              </w:rPr>
              <m:t>ω</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ω</m:t>
                </m:r>
              </m:sub>
              <m:sup>
                <m:r>
                  <w:rPr>
                    <w:rFonts w:ascii="Cambria Math" w:hAnsi="Cambria Math"/>
                  </w:rPr>
                  <m:t>2</m:t>
                </m:r>
              </m:sup>
            </m:sSubSup>
          </m:e>
        </m:d>
      </m:oMath>
      <w:r>
        <w:t xml:space="preserve"> is the RW1 innovation</w:t>
      </w:r>
    </w:p>
    <w:p w14:paraId="71513834" w14:textId="77777777" w:rsidR="00D86D63" w:rsidRDefault="00223568">
      <w:pPr>
        <w:pStyle w:val="Compact"/>
        <w:numPr>
          <w:ilvl w:val="0"/>
          <w:numId w:val="13"/>
        </w:numPr>
      </w:pPr>
      <m:oMath>
        <m:sSub>
          <m:sSubPr>
            <m:ctrlPr>
              <w:rPr>
                <w:rFonts w:ascii="Cambria Math" w:hAnsi="Cambria Math"/>
              </w:rPr>
            </m:ctrlPr>
          </m:sSubPr>
          <m:e>
            <m:r>
              <w:rPr>
                <w:rFonts w:ascii="Cambria Math" w:hAnsi="Cambria Math"/>
              </w:rPr>
              <m:t>d</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oMath>
      <w:r>
        <w:t xml:space="preserve"> </w:t>
      </w:r>
      <w:r>
        <w:t xml:space="preserve">is the discrepancy between provider </w:t>
      </w:r>
      <m:oMath>
        <m:r>
          <w:rPr>
            <w:rFonts w:ascii="Cambria Math" w:hAnsi="Cambria Math"/>
          </w:rPr>
          <m:t>p</m:t>
        </m:r>
      </m:oMath>
      <w:r>
        <w:t xml:space="preserve">’s estimate and QCEW at lag </w:t>
      </w:r>
      <m:oMath>
        <m:r>
          <w:rPr>
            <w:rFonts w:ascii="Cambria Math" w:hAnsi="Cambria Math"/>
          </w:rPr>
          <m:t>L</m:t>
        </m:r>
      </m:oMath>
    </w:p>
    <w:p w14:paraId="53E60D5D" w14:textId="77777777" w:rsidR="00D86D63" w:rsidRDefault="00223568">
      <w:pPr>
        <w:pStyle w:val="Compact"/>
        <w:numPr>
          <w:ilvl w:val="0"/>
          <w:numId w:val="13"/>
        </w:numPr>
      </w:pPr>
      <m:oMath>
        <m:sSub>
          <m:sSubPr>
            <m:ctrlPr>
              <w:rPr>
                <w:rFonts w:ascii="Cambria Math" w:hAnsi="Cambria Math"/>
              </w:rPr>
            </m:ctrlPr>
          </m:sSubPr>
          <m:e>
            <m:r>
              <w:rPr>
                <w:rFonts w:ascii="Cambria Math" w:hAnsi="Cambria Math"/>
              </w:rPr>
              <m:t>κ</m:t>
            </m:r>
          </m:e>
          <m:sub>
            <m:r>
              <w:rPr>
                <w:rFonts w:ascii="Cambria Math" w:hAnsi="Cambria Math"/>
              </w:rPr>
              <m:t>p</m:t>
            </m:r>
          </m:sub>
        </m:sSub>
      </m:oMath>
      <w:r>
        <w:t xml:space="preserve"> is the provider-specific error-correction speed</w:t>
      </w:r>
    </w:p>
    <w:p w14:paraId="3B9B86F8" w14:textId="77777777" w:rsidR="00D86D63" w:rsidRDefault="00223568">
      <w:pPr>
        <w:pStyle w:val="FirstParagraph"/>
      </w:pPr>
      <w:r>
        <w:t xml:space="preserve">The initial bias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0</m:t>
            </m:r>
          </m:sub>
        </m:sSub>
      </m:oMath>
      <w:r>
        <w:t xml:space="preserve"> retains the nested decomposition above.</w:t>
      </w:r>
    </w:p>
    <w:p w14:paraId="5895BE4B" w14:textId="77777777" w:rsidR="00D86D63" w:rsidRDefault="00223568">
      <w:pPr>
        <w:pStyle w:val="BodyText"/>
      </w:pPr>
      <w:r>
        <w:t>Different providers may have different bias persistence — some track QCEW more closely than others.</w:t>
      </w:r>
    </w:p>
    <w:p w14:paraId="03B23A29" w14:textId="77777777" w:rsidR="00D86D63" w:rsidRDefault="00223568">
      <w:pPr>
        <w:pStyle w:val="Heading4"/>
      </w:pPr>
      <w:bookmarkStart w:id="60" w:name="provider-specific-error-correction"/>
      <w:bookmarkEnd w:id="59"/>
      <w:r>
        <w:t>Provider-Specific Error-Correction</w:t>
      </w:r>
    </w:p>
    <w:p w14:paraId="676DF47C"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p</m:t>
              </m:r>
            </m:sub>
          </m:sSub>
          <m:r>
            <m:rPr>
              <m:sty m:val="p"/>
            </m:rPr>
            <w:rPr>
              <w:rFonts w:ascii="Cambria Math" w:hAnsi="Cambria Math"/>
            </w:rPr>
            <m:t>∼</m:t>
          </m:r>
          <m:r>
            <m:rPr>
              <m:nor/>
            </m:rPr>
            <m:t>Beta</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3</m:t>
              </m:r>
            </m:e>
          </m:d>
        </m:oMath>
      </m:oMathPara>
    </w:p>
    <w:p w14:paraId="00491EBB" w14:textId="77777777" w:rsidR="00D86D63" w:rsidRDefault="00223568">
      <w:pPr>
        <w:pStyle w:val="Heading4"/>
      </w:pPr>
      <w:bookmarkStart w:id="61" w:name="qcew-forecast-model"/>
      <w:bookmarkEnd w:id="60"/>
      <w:r>
        <w:lastRenderedPageBreak/>
        <w:t>QCEW Forecast Model</w:t>
      </w:r>
    </w:p>
    <w:p w14:paraId="102C8BB5" w14:textId="77777777" w:rsidR="00D86D63" w:rsidRDefault="00223568">
      <w:pPr>
        <w:pStyle w:val="FirstParagraph"/>
      </w:pPr>
      <w:r>
        <w:t>During the 5–6 month QCEW publication lag, forecasted QCEW extends conditioning to the present:</w:t>
      </w:r>
    </w:p>
    <w:p w14:paraId="17F852D5" w14:textId="77777777" w:rsidR="00D86D63" w:rsidRDefault="00223568">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j</m:t>
              </m:r>
            </m:sub>
            <m:sup>
              <m:r>
                <w:rPr>
                  <w:rFonts w:ascii="Cambria Math" w:hAnsi="Cambria Math"/>
                </w:rPr>
                <m:t>LQ</m:t>
              </m:r>
            </m:sup>
          </m:sSubSup>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s</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t</m:t>
                  </m:r>
                </m:sub>
                <m:sup>
                  <m:r>
                    <w:rPr>
                      <w:rFonts w:ascii="Cambria Math" w:hAnsi="Cambria Math"/>
                    </w:rPr>
                    <m:t>sector</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w:rPr>
                      <w:rFonts w:ascii="Cambria Math" w:hAnsi="Cambria Math"/>
                    </w:rPr>
                    <m:t>national</m:t>
                  </m:r>
                </m:sup>
              </m:sSubSup>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fcst</m:t>
              </m:r>
            </m:sup>
          </m:s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oMath>
      </m:oMathPara>
    </w:p>
    <w:p w14:paraId="2C8E8071" w14:textId="77777777" w:rsidR="00D86D63" w:rsidRDefault="00223568">
      <w:pPr>
        <w:pStyle w:val="FirstParagraph"/>
      </w:pPr>
      <m:oMathPara>
        <m:oMathParaPr>
          <m:jc m:val="center"/>
        </m:oMathParaPr>
        <m:oMath>
          <m:sSubSup>
            <m:sSubSupPr>
              <m:ctrlPr>
                <w:rPr>
                  <w:rFonts w:ascii="Cambria Math" w:hAnsi="Cambria Math"/>
                </w:rPr>
              </m:ctrlPr>
            </m:sSubSup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r>
            <m:rPr>
              <m:sty m:val="p"/>
            </m:rP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fcst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d>
        </m:oMath>
      </m:oMathPara>
    </w:p>
    <w:p w14:paraId="71E22A86" w14:textId="77777777" w:rsidR="00D86D63" w:rsidRDefault="00223568">
      <w:pPr>
        <w:pStyle w:val="FirstParagraph"/>
      </w:pPr>
      <w:r>
        <w:t xml:space="preserve">where </w:t>
      </w: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is the location quotient of cell </w:t>
      </w:r>
      <m:oMath>
        <m:r>
          <w:rPr>
            <w:rFonts w:ascii="Cambria Math" w:hAnsi="Cambria Math"/>
          </w:rPr>
          <m:t>j</m:t>
        </m:r>
      </m:oMath>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s</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t</m:t>
            </m:r>
          </m:sub>
          <m:sup>
            <m:r>
              <w:rPr>
                <w:rFonts w:ascii="Cambria Math" w:hAnsi="Cambria Math"/>
              </w:rPr>
              <m:t>sector</m:t>
            </m:r>
          </m:sup>
        </m:sSubSup>
      </m:oMath>
      <w:r>
        <w:t xml:space="preserve"> is the national sector forecast, and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t>is a forecast horizon variable that increases noise for longer-horizon forecasts.</w:t>
      </w:r>
    </w:p>
    <w:p w14:paraId="0C8640EE" w14:textId="77777777" w:rsidR="00D86D63" w:rsidRDefault="00223568">
      <w:pPr>
        <w:pStyle w:val="BodyText"/>
      </w:pPr>
      <w:r>
        <w:rPr>
          <w:b/>
          <w:bCs/>
        </w:rPr>
        <w:t>Conditioning on forecasted QCEW:</w:t>
      </w:r>
    </w:p>
    <w:p w14:paraId="1575B3AB" w14:textId="77777777" w:rsidR="00D86D63" w:rsidRDefault="00223568">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QCEW</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up>
              <m:r>
                <w:rPr>
                  <w:rFonts w:ascii="Cambria Math" w:hAnsi="Cambria Math"/>
                </w:rPr>
                <m:t>fcst</m:t>
              </m:r>
            </m:sup>
          </m:sSub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fcst</m:t>
                  </m:r>
                </m:sub>
                <m:sup>
                  <m:r>
                    <w:rPr>
                      <w:rFonts w:ascii="Cambria Math" w:hAnsi="Cambria Math"/>
                    </w:rPr>
                    <m:t>2</m:t>
                  </m:r>
                </m:sup>
              </m:sSubSup>
            </m:e>
          </m:d>
        </m:oMath>
      </m:oMathPara>
    </w:p>
    <w:p w14:paraId="5F7A6C5A" w14:textId="77777777" w:rsidR="00D86D63" w:rsidRDefault="00223568">
      <w:pPr>
        <w:pStyle w:val="FirstParagraph"/>
      </w:pPr>
      <w:r>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QCEW</m:t>
            </m:r>
            <m:r>
              <m:rPr>
                <m:sty m:val="p"/>
              </m:rPr>
              <w:rPr>
                <w:rFonts w:ascii="Cambria Math" w:hAnsi="Cambria Math"/>
              </w:rPr>
              <m:t>,</m:t>
            </m:r>
            <m:r>
              <w:rPr>
                <w:rFonts w:ascii="Cambria Math" w:hAnsi="Cambria Math"/>
              </w:rPr>
              <m:t>fcst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QCEW</m:t>
            </m:r>
          </m:sub>
          <m:sup>
            <m:r>
              <w:rPr>
                <w:rFonts w:ascii="Cambria Math" w:hAnsi="Cambria Math"/>
              </w:rPr>
              <m:t>2</m:t>
            </m:r>
          </m:sup>
        </m:sSubSup>
      </m:oMath>
      <w:r>
        <w:t>, reflecting forecast uncertainty rather than census noise.</w:t>
      </w:r>
    </w:p>
    <w:p w14:paraId="769BB29A" w14:textId="77777777" w:rsidR="00D86D63" w:rsidRDefault="00223568">
      <w:pPr>
        <w:pStyle w:val="Heading3"/>
      </w:pPr>
      <w:bookmarkStart w:id="62" w:name="priors-2"/>
      <w:bookmarkEnd w:id="55"/>
      <w:bookmarkEnd w:id="61"/>
      <w:r>
        <w:t>Priors</w:t>
      </w:r>
    </w:p>
    <w:p w14:paraId="4E1FAC17" w14:textId="77777777" w:rsidR="00D86D63" w:rsidRDefault="00223568">
      <w:pPr>
        <w:pStyle w:val="Heading4"/>
      </w:pPr>
      <w:bookmarkStart w:id="63" w:name="nested-hierarchy-variance-components"/>
      <w:r>
        <w:t>Nested hierarchy variance components</w:t>
      </w:r>
    </w:p>
    <w:p w14:paraId="3019C8A5"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region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0.3</m:t>
              </m:r>
            </m:e>
          </m:d>
        </m:oMath>
      </m:oMathPara>
    </w:p>
    <w:p w14:paraId="6833370F"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division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0.25</m:t>
              </m:r>
            </m:e>
          </m:d>
        </m:oMath>
      </m:oMathPara>
    </w:p>
    <w:p w14:paraId="0FD4217B"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state</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m:t>
              </m:r>
            </m:e>
          </m:d>
        </m:oMath>
      </m:oMathPara>
    </w:p>
    <w:p w14:paraId="581515CB"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domain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0.3</m:t>
              </m:r>
            </m:e>
          </m:d>
        </m:oMath>
      </m:oMathPara>
    </w:p>
    <w:p w14:paraId="3BF1E9BC"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supersector</m:t>
              </m:r>
              <m:r>
                <m:rPr>
                  <m:sty m:val="p"/>
                </m:rPr>
                <w:rPr>
                  <w:rFonts w:ascii="Cambria Math" w:hAnsi="Cambria Math"/>
                </w:rPr>
                <m:t>|</m:t>
              </m:r>
              <m:r>
                <w:rPr>
                  <w:rFonts w:ascii="Cambria Math" w:hAnsi="Cambria Math"/>
                </w:rPr>
                <m:t>domain</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0.25</m:t>
              </m:r>
            </m:e>
          </m:d>
        </m:oMath>
      </m:oMathPara>
    </w:p>
    <w:p w14:paraId="4AA094BB"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pro</m:t>
              </m:r>
              <m:r>
                <w:rPr>
                  <w:rFonts w:ascii="Cambria Math" w:hAnsi="Cambria Math"/>
                </w:rPr>
                <m:t>v</m:t>
              </m:r>
              <m:r>
                <m:rPr>
                  <m:sty m:val="p"/>
                </m:rPr>
                <w:rPr>
                  <w:rFonts w:ascii="Cambria Math" w:hAnsi="Cambria Math"/>
                </w:rPr>
                <m:t>×</m:t>
              </m:r>
              <m:r>
                <w:rPr>
                  <w:rFonts w:ascii="Cambria Math" w:hAnsi="Cambria Math"/>
                </w:rPr>
                <m:t>ind</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0.15</m:t>
              </m:r>
            </m:e>
          </m:d>
        </m:oMath>
      </m:oMathPara>
    </w:p>
    <w:p w14:paraId="0D76B60F"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resid</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0.1</m:t>
              </m:r>
            </m:e>
          </m:d>
        </m:oMath>
      </m:oMathPara>
    </w:p>
    <w:p w14:paraId="1E33150C" w14:textId="77777777" w:rsidR="00D86D63" w:rsidRDefault="00223568">
      <w:pPr>
        <w:pStyle w:val="Heading4"/>
      </w:pPr>
      <w:bookmarkStart w:id="64" w:name="time-varying-bias"/>
      <w:bookmarkEnd w:id="63"/>
      <w:r>
        <w:t>Time-varying bias</w:t>
      </w:r>
    </w:p>
    <w:p w14:paraId="28BB3EA9" w14:textId="77777777" w:rsidR="00D86D63" w:rsidRDefault="00223568">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ω</m:t>
              </m:r>
            </m:sub>
          </m:sSub>
          <m:r>
            <m:rPr>
              <m:sty m:val="p"/>
            </m:rPr>
            <w:rPr>
              <w:rFonts w:ascii="Cambria Math" w:hAnsi="Cambria Math"/>
            </w:rPr>
            <m:t>∼</m:t>
          </m:r>
          <m:r>
            <m:rPr>
              <m:nor/>
            </m:rPr>
            <m:t>Half-N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0.005</m:t>
              </m:r>
            </m:e>
          </m:d>
        </m:oMath>
      </m:oMathPara>
    </w:p>
    <w:p w14:paraId="325F8FF2" w14:textId="77777777" w:rsidR="00D86D63" w:rsidRDefault="00223568">
      <w:pPr>
        <w:pStyle w:val="Heading3"/>
      </w:pPr>
      <w:bookmarkStart w:id="65" w:name="note-on-temporal-dependence"/>
      <w:bookmarkEnd w:id="62"/>
      <w:bookmarkEnd w:id="64"/>
      <w:r>
        <w:t>Note on Temporal Dependence</w:t>
      </w:r>
    </w:p>
    <w:p w14:paraId="1721F362" w14:textId="77777777" w:rsidR="00D86D63" w:rsidRDefault="00223568">
      <w:pPr>
        <w:pStyle w:val="FirstParagraph"/>
      </w:pPr>
      <w:r>
        <w:t xml:space="preserve">The RW1 prior on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t xml:space="preserve"> </w:t>
      </w:r>
      <w:r>
        <w:t xml:space="preserve">implies a unit root, capturing smooth drift. The QCEW error-correction </w:t>
      </w:r>
      <m:oMath>
        <m:sSub>
          <m:sSubPr>
            <m:ctrlPr>
              <w:rPr>
                <w:rFonts w:ascii="Cambria Math" w:hAnsi="Cambria Math"/>
              </w:rPr>
            </m:ctrlPr>
          </m:sSubPr>
          <m:e>
            <m:r>
              <w:rPr>
                <w:rFonts w:ascii="Cambria Math" w:hAnsi="Cambria Math"/>
              </w:rPr>
              <m:t>κ</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oMath>
      <w:r>
        <w:t xml:space="preserve"> provides mean-reverting behavior, preventing unbounded drift. A Gaussian Process would be theoretically superior but is computationally prohibitive at the scale of </w:t>
      </w:r>
      <m:oMath>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oMath>
      <w:r>
        <w:t xml:space="preserve"> bias trajectories.</w:t>
      </w:r>
    </w:p>
    <w:p w14:paraId="0C82C07C" w14:textId="77777777" w:rsidR="00D86D63" w:rsidRDefault="00223568">
      <w:pPr>
        <w:pStyle w:val="Heading3"/>
      </w:pPr>
      <w:bookmarkStart w:id="66" w:name="output-specification-2"/>
      <w:bookmarkEnd w:id="65"/>
      <w:r>
        <w:t>Output Specification</w:t>
      </w:r>
    </w:p>
    <w:p w14:paraId="0F1F0C46" w14:textId="77777777" w:rsidR="00D86D63" w:rsidRDefault="00223568">
      <w:pPr>
        <w:pStyle w:val="FirstParagraph"/>
      </w:pPr>
      <w:r>
        <w:t>All outputs from Release 2, plus:</w:t>
      </w:r>
    </w:p>
    <w:tbl>
      <w:tblPr>
        <w:tblStyle w:val="Table"/>
        <w:tblW w:w="5000" w:type="pct"/>
        <w:tblLayout w:type="fixed"/>
        <w:tblLook w:val="0020" w:firstRow="1" w:lastRow="0" w:firstColumn="0" w:lastColumn="0" w:noHBand="0" w:noVBand="0"/>
      </w:tblPr>
      <w:tblGrid>
        <w:gridCol w:w="3640"/>
        <w:gridCol w:w="5720"/>
      </w:tblGrid>
      <w:tr w:rsidR="00D86D63" w14:paraId="53CAC05B"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3080" w:type="dxa"/>
          </w:tcPr>
          <w:p w14:paraId="352687E3" w14:textId="77777777" w:rsidR="00D86D63" w:rsidRDefault="00223568">
            <w:pPr>
              <w:pStyle w:val="Compact"/>
            </w:pPr>
            <w:r>
              <w:lastRenderedPageBreak/>
              <w:t>Output</w:t>
            </w:r>
          </w:p>
        </w:tc>
        <w:tc>
          <w:tcPr>
            <w:tcW w:w="4840" w:type="dxa"/>
          </w:tcPr>
          <w:p w14:paraId="2237DA9F" w14:textId="77777777" w:rsidR="00D86D63" w:rsidRDefault="00223568">
            <w:pPr>
              <w:pStyle w:val="Compact"/>
            </w:pPr>
            <w:r>
              <w:t>Description</w:t>
            </w:r>
          </w:p>
        </w:tc>
      </w:tr>
      <w:tr w:rsidR="00D86D63" w14:paraId="1C73450F" w14:textId="77777777">
        <w:tc>
          <w:tcPr>
            <w:tcW w:w="3080" w:type="dxa"/>
          </w:tcPr>
          <w:p w14:paraId="24423E8C" w14:textId="77777777" w:rsidR="00D86D63" w:rsidRDefault="00223568">
            <w:pPr>
              <w:pStyle w:val="Compact"/>
            </w:pPr>
            <w:r>
              <w:rPr>
                <w:rStyle w:val="VerbatimChar"/>
              </w:rPr>
              <w:t>variance_components</w:t>
            </w:r>
          </w:p>
        </w:tc>
        <w:tc>
          <w:tcPr>
            <w:tcW w:w="4840" w:type="dxa"/>
          </w:tcPr>
          <w:p w14:paraId="1C665262" w14:textId="77777777" w:rsidR="00D86D63" w:rsidRDefault="00223568">
            <w:pPr>
              <w:pStyle w:val="Compact"/>
            </w:pP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at each hierarchy level</w:t>
            </w:r>
          </w:p>
        </w:tc>
      </w:tr>
      <w:tr w:rsidR="00D86D63" w14:paraId="1684FDE1" w14:textId="77777777">
        <w:tc>
          <w:tcPr>
            <w:tcW w:w="3080" w:type="dxa"/>
          </w:tcPr>
          <w:p w14:paraId="0D2D008E" w14:textId="77777777" w:rsidR="00D86D63" w:rsidRDefault="00223568">
            <w:pPr>
              <w:pStyle w:val="Compact"/>
            </w:pPr>
            <w:r>
              <w:rPr>
                <w:rStyle w:val="VerbatimChar"/>
              </w:rPr>
              <w:t>geographic_effects</w:t>
            </w:r>
          </w:p>
        </w:tc>
        <w:tc>
          <w:tcPr>
            <w:tcW w:w="4840" w:type="dxa"/>
          </w:tcPr>
          <w:p w14:paraId="127B1298" w14:textId="77777777" w:rsidR="00D86D63" w:rsidRDefault="00223568">
            <w:pPr>
              <w:pStyle w:val="Compact"/>
            </w:pPr>
            <w:r>
              <w:t>Region, division, state effects</w:t>
            </w:r>
          </w:p>
        </w:tc>
      </w:tr>
      <w:tr w:rsidR="00D86D63" w14:paraId="3D06E0A0" w14:textId="77777777">
        <w:tc>
          <w:tcPr>
            <w:tcW w:w="3080" w:type="dxa"/>
          </w:tcPr>
          <w:p w14:paraId="070C5E1C" w14:textId="77777777" w:rsidR="00D86D63" w:rsidRDefault="00223568">
            <w:pPr>
              <w:pStyle w:val="Compact"/>
            </w:pPr>
            <w:r>
              <w:rPr>
                <w:rStyle w:val="VerbatimChar"/>
              </w:rPr>
              <w:t>industry_effects</w:t>
            </w:r>
          </w:p>
        </w:tc>
        <w:tc>
          <w:tcPr>
            <w:tcW w:w="4840" w:type="dxa"/>
          </w:tcPr>
          <w:p w14:paraId="00830296" w14:textId="77777777" w:rsidR="00D86D63" w:rsidRDefault="00223568">
            <w:pPr>
              <w:pStyle w:val="Compact"/>
            </w:pPr>
            <w:r>
              <w:t>Domain, supersector effects</w:t>
            </w:r>
          </w:p>
        </w:tc>
      </w:tr>
      <w:tr w:rsidR="00D86D63" w14:paraId="7C729BC8" w14:textId="77777777">
        <w:tc>
          <w:tcPr>
            <w:tcW w:w="3080" w:type="dxa"/>
          </w:tcPr>
          <w:p w14:paraId="4BE43371" w14:textId="77777777" w:rsidR="00D86D63" w:rsidRDefault="00223568">
            <w:pPr>
              <w:pStyle w:val="Compact"/>
            </w:pPr>
            <w:r>
              <w:rPr>
                <w:rStyle w:val="VerbatimChar"/>
              </w:rPr>
              <w:t>provider_industry_interactions</w:t>
            </w:r>
          </w:p>
        </w:tc>
        <w:tc>
          <w:tcPr>
            <w:tcW w:w="4840" w:type="dxa"/>
          </w:tcPr>
          <w:p w14:paraId="0C9648C6" w14:textId="77777777" w:rsidR="00D86D63" w:rsidRDefault="00223568">
            <w:pPr>
              <w:pStyle w:val="Compact"/>
            </w:pPr>
            <w:r>
              <w:t>Which providers excel in which industries</w:t>
            </w:r>
          </w:p>
        </w:tc>
      </w:tr>
      <w:tr w:rsidR="00D86D63" w14:paraId="3A0057C9" w14:textId="77777777">
        <w:tc>
          <w:tcPr>
            <w:tcW w:w="3080" w:type="dxa"/>
          </w:tcPr>
          <w:p w14:paraId="53CF4F47" w14:textId="77777777" w:rsidR="00D86D63" w:rsidRDefault="00223568">
            <w:pPr>
              <w:pStyle w:val="Compact"/>
            </w:pPr>
            <w:r>
              <w:rPr>
                <w:rStyle w:val="VerbatimChar"/>
              </w:rPr>
              <w:t>effective_shrinkage</w:t>
            </w:r>
          </w:p>
        </w:tc>
        <w:tc>
          <w:tcPr>
            <w:tcW w:w="4840" w:type="dxa"/>
          </w:tcPr>
          <w:p w14:paraId="532127CA" w14:textId="77777777" w:rsidR="00D86D63" w:rsidRDefault="00223568">
            <w:pPr>
              <w:pStyle w:val="Compact"/>
            </w:pPr>
            <w:r>
              <w:t>Cell-level shrinkage toward each parent</w:t>
            </w:r>
          </w:p>
        </w:tc>
      </w:tr>
      <w:tr w:rsidR="00D86D63" w14:paraId="601AEB6A" w14:textId="77777777">
        <w:tc>
          <w:tcPr>
            <w:tcW w:w="3080" w:type="dxa"/>
          </w:tcPr>
          <w:p w14:paraId="3A3486F9" w14:textId="77777777" w:rsidR="00D86D63" w:rsidRDefault="00223568">
            <w:pPr>
              <w:pStyle w:val="Compact"/>
            </w:pPr>
            <w:r>
              <w:rPr>
                <w:rStyle w:val="VerbatimChar"/>
              </w:rPr>
              <w:t>bias_trajectories</w:t>
            </w:r>
          </w:p>
        </w:tc>
        <w:tc>
          <w:tcPr>
            <w:tcW w:w="4840" w:type="dxa"/>
          </w:tcPr>
          <w:p w14:paraId="0C2AC6D7" w14:textId="77777777" w:rsidR="00D86D63" w:rsidRDefault="00223568">
            <w:pPr>
              <w:pStyle w:val="Compact"/>
            </w:pP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t xml:space="preserve"> time series by provider and cell</w:t>
            </w:r>
          </w:p>
        </w:tc>
      </w:tr>
      <w:tr w:rsidR="00D86D63" w14:paraId="137173C6" w14:textId="77777777">
        <w:tc>
          <w:tcPr>
            <w:tcW w:w="3080" w:type="dxa"/>
          </w:tcPr>
          <w:p w14:paraId="03C61C06" w14:textId="77777777" w:rsidR="00D86D63" w:rsidRDefault="00223568">
            <w:pPr>
              <w:pStyle w:val="Compact"/>
            </w:pPr>
            <w:r>
              <w:rPr>
                <w:rStyle w:val="VerbatimChar"/>
              </w:rPr>
              <w:t>error_correction_speeds</w:t>
            </w:r>
          </w:p>
        </w:tc>
        <w:tc>
          <w:tcPr>
            <w:tcW w:w="4840" w:type="dxa"/>
          </w:tcPr>
          <w:p w14:paraId="622DD5D7" w14:textId="77777777" w:rsidR="00D86D63" w:rsidRDefault="00223568">
            <w:pPr>
              <w:pStyle w:val="Compact"/>
            </w:pPr>
            <m:oMath>
              <m:sSub>
                <m:sSubPr>
                  <m:ctrlPr>
                    <w:rPr>
                      <w:rFonts w:ascii="Cambria Math" w:hAnsi="Cambria Math"/>
                    </w:rPr>
                  </m:ctrlPr>
                </m:sSubPr>
                <m:e>
                  <m:r>
                    <w:rPr>
                      <w:rFonts w:ascii="Cambria Math" w:hAnsi="Cambria Math"/>
                    </w:rPr>
                    <m:t>κ</m:t>
                  </m:r>
                </m:e>
                <m:sub>
                  <m:r>
                    <w:rPr>
                      <w:rFonts w:ascii="Cambria Math" w:hAnsi="Cambria Math"/>
                    </w:rPr>
                    <m:t>p</m:t>
                  </m:r>
                </m:sub>
              </m:sSub>
            </m:oMath>
            <w:r>
              <w:t xml:space="preserve"> by provider</w:t>
            </w:r>
          </w:p>
        </w:tc>
      </w:tr>
      <w:tr w:rsidR="00D86D63" w14:paraId="12EEFC90" w14:textId="77777777">
        <w:tc>
          <w:tcPr>
            <w:tcW w:w="3080" w:type="dxa"/>
          </w:tcPr>
          <w:p w14:paraId="02731E2B" w14:textId="77777777" w:rsidR="00D86D63" w:rsidRDefault="00223568">
            <w:pPr>
              <w:pStyle w:val="Compact"/>
            </w:pPr>
            <w:r>
              <w:rPr>
                <w:rStyle w:val="VerbatimChar"/>
              </w:rPr>
              <w:t>qcew_forecast</w:t>
            </w:r>
          </w:p>
        </w:tc>
        <w:tc>
          <w:tcPr>
            <w:tcW w:w="4840" w:type="dxa"/>
          </w:tcPr>
          <w:p w14:paraId="155903AF" w14:textId="77777777" w:rsidR="00D86D63" w:rsidRDefault="00223568">
            <w:pPr>
              <w:pStyle w:val="Compact"/>
            </w:pPr>
            <w:r>
              <w:t>Forecasted QCEW by cell</w:t>
            </w:r>
          </w:p>
        </w:tc>
      </w:tr>
      <w:tr w:rsidR="00D86D63" w14:paraId="575B2003" w14:textId="77777777">
        <w:tc>
          <w:tcPr>
            <w:tcW w:w="3080" w:type="dxa"/>
          </w:tcPr>
          <w:p w14:paraId="755BDC54" w14:textId="77777777" w:rsidR="00D86D63" w:rsidRDefault="00223568">
            <w:pPr>
              <w:pStyle w:val="Compact"/>
            </w:pPr>
            <w:r>
              <w:rPr>
                <w:rStyle w:val="VerbatimChar"/>
              </w:rPr>
              <w:t>provider_bias_stability</w:t>
            </w:r>
          </w:p>
        </w:tc>
        <w:tc>
          <w:tcPr>
            <w:tcW w:w="4840" w:type="dxa"/>
          </w:tcPr>
          <w:p w14:paraId="60206F4F" w14:textId="77777777" w:rsidR="00D86D63" w:rsidRDefault="00223568">
            <w:pPr>
              <w:pStyle w:val="Compact"/>
            </w:pPr>
            <w:r>
              <w:t>Which providers have more stable bias</w:t>
            </w:r>
          </w:p>
        </w:tc>
      </w:tr>
    </w:tbl>
    <w:p w14:paraId="5DE7E5A9" w14:textId="77777777" w:rsidR="00D86D63" w:rsidRDefault="00223568">
      <w:pPr>
        <w:pStyle w:val="Heading3"/>
      </w:pPr>
      <w:bookmarkStart w:id="67" w:name="validation-metrics-2"/>
      <w:bookmarkEnd w:id="66"/>
      <w:r>
        <w:t>Validation Metrics</w:t>
      </w:r>
    </w:p>
    <w:p w14:paraId="246264AE" w14:textId="77777777" w:rsidR="00D86D63" w:rsidRDefault="00223568">
      <w:pPr>
        <w:pStyle w:val="Compact"/>
        <w:numPr>
          <w:ilvl w:val="0"/>
          <w:numId w:val="14"/>
        </w:numPr>
      </w:pPr>
      <w:r>
        <w:t>Improved RMSE for sparse cells vs. Release 2</w:t>
      </w:r>
    </w:p>
    <w:p w14:paraId="6DBD2A58" w14:textId="77777777" w:rsidR="00D86D63" w:rsidRDefault="00223568">
      <w:pPr>
        <w:pStyle w:val="Compact"/>
        <w:numPr>
          <w:ilvl w:val="0"/>
          <w:numId w:val="14"/>
        </w:numPr>
      </w:pPr>
      <w:r>
        <w:t>Variance decomposition by hierarchy level</w:t>
      </w:r>
    </w:p>
    <w:p w14:paraId="0D0E6895" w14:textId="77777777" w:rsidR="00D86D63" w:rsidRDefault="00223568">
      <w:pPr>
        <w:pStyle w:val="Compact"/>
        <w:numPr>
          <w:ilvl w:val="0"/>
          <w:numId w:val="14"/>
        </w:numPr>
      </w:pPr>
      <w:r>
        <w:t>Provider × industry interaction patterns</w:t>
      </w:r>
    </w:p>
    <w:p w14:paraId="7CCEE448" w14:textId="77777777" w:rsidR="00D86D63" w:rsidRDefault="00223568">
      <w:pPr>
        <w:pStyle w:val="Compact"/>
        <w:numPr>
          <w:ilvl w:val="0"/>
          <w:numId w:val="14"/>
        </w:numPr>
      </w:pPr>
      <w:r>
        <w:t>Time-varying bias detection: does the model identify known composition shifts?</w:t>
      </w:r>
    </w:p>
    <w:p w14:paraId="28189B4A" w14:textId="77777777" w:rsidR="00D86D63" w:rsidRDefault="00223568">
      <w:pPr>
        <w:pStyle w:val="Compact"/>
        <w:numPr>
          <w:ilvl w:val="0"/>
          <w:numId w:val="14"/>
        </w:numPr>
      </w:pPr>
      <w:r>
        <w:t>QCEW forecast accuracy at various horizons</w:t>
      </w:r>
    </w:p>
    <w:p w14:paraId="530A2665" w14:textId="77777777" w:rsidR="00D86D63" w:rsidRDefault="00223568">
      <w:pPr>
        <w:pStyle w:val="Compact"/>
        <w:numPr>
          <w:ilvl w:val="0"/>
          <w:numId w:val="14"/>
        </w:numPr>
      </w:pPr>
      <w:r>
        <w:t>Coverage improvement from QCEW forecasting vs. no-forecast baseline</w:t>
      </w:r>
    </w:p>
    <w:p w14:paraId="476FD997" w14:textId="20010048" w:rsidR="00D86D63" w:rsidRDefault="00D86D63"/>
    <w:p w14:paraId="4E0CF5A0" w14:textId="77777777" w:rsidR="00C47922" w:rsidRDefault="00C47922">
      <w:pPr>
        <w:rPr>
          <w:rFonts w:asciiTheme="majorHAnsi" w:eastAsiaTheme="majorEastAsia" w:hAnsiTheme="majorHAnsi" w:cstheme="majorBidi"/>
          <w:color w:val="0F4761" w:themeColor="accent1" w:themeShade="BF"/>
          <w:sz w:val="40"/>
          <w:szCs w:val="40"/>
        </w:rPr>
      </w:pPr>
      <w:bookmarkStart w:id="68" w:name="appendix-a-summary-release-comparison"/>
      <w:bookmarkEnd w:id="51"/>
      <w:bookmarkEnd w:id="54"/>
      <w:bookmarkEnd w:id="67"/>
      <w:r>
        <w:br w:type="page"/>
      </w:r>
    </w:p>
    <w:p w14:paraId="28FB5B16" w14:textId="61748486" w:rsidR="00D86D63" w:rsidRDefault="00223568">
      <w:pPr>
        <w:pStyle w:val="Heading1"/>
      </w:pPr>
      <w:r>
        <w:lastRenderedPageBreak/>
        <w:t>Appendix A: Summary Release Comparison</w:t>
      </w:r>
    </w:p>
    <w:tbl>
      <w:tblPr>
        <w:tblStyle w:val="Table"/>
        <w:tblW w:w="5000" w:type="pct"/>
        <w:tblLayout w:type="fixed"/>
        <w:tblLook w:val="0020" w:firstRow="1" w:lastRow="0" w:firstColumn="0" w:lastColumn="0" w:noHBand="0" w:noVBand="0"/>
      </w:tblPr>
      <w:tblGrid>
        <w:gridCol w:w="2340"/>
        <w:gridCol w:w="2340"/>
        <w:gridCol w:w="2340"/>
        <w:gridCol w:w="2340"/>
      </w:tblGrid>
      <w:tr w:rsidR="00D86D63" w14:paraId="363F2EA6"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DE21DAE" w14:textId="77777777" w:rsidR="00D86D63" w:rsidRDefault="00D86D63">
            <w:pPr>
              <w:pStyle w:val="Compact"/>
            </w:pPr>
          </w:p>
        </w:tc>
        <w:tc>
          <w:tcPr>
            <w:tcW w:w="1980" w:type="dxa"/>
          </w:tcPr>
          <w:p w14:paraId="76996902" w14:textId="77777777" w:rsidR="00D86D63" w:rsidRDefault="00223568">
            <w:pPr>
              <w:pStyle w:val="Compact"/>
            </w:pPr>
            <w:r>
              <w:t>Release 1</w:t>
            </w:r>
          </w:p>
        </w:tc>
        <w:tc>
          <w:tcPr>
            <w:tcW w:w="1980" w:type="dxa"/>
          </w:tcPr>
          <w:p w14:paraId="765E78E5" w14:textId="77777777" w:rsidR="00D86D63" w:rsidRDefault="00223568">
            <w:pPr>
              <w:pStyle w:val="Compact"/>
            </w:pPr>
            <w:r>
              <w:t>Release 2</w:t>
            </w:r>
          </w:p>
        </w:tc>
        <w:tc>
          <w:tcPr>
            <w:tcW w:w="1980" w:type="dxa"/>
          </w:tcPr>
          <w:p w14:paraId="2150DD1C" w14:textId="77777777" w:rsidR="00D86D63" w:rsidRDefault="00223568">
            <w:pPr>
              <w:pStyle w:val="Compact"/>
            </w:pPr>
            <w:r>
              <w:t>Release 3</w:t>
            </w:r>
          </w:p>
        </w:tc>
      </w:tr>
      <w:tr w:rsidR="00D86D63" w14:paraId="56F00CC2" w14:textId="77777777">
        <w:tc>
          <w:tcPr>
            <w:tcW w:w="1980" w:type="dxa"/>
          </w:tcPr>
          <w:p w14:paraId="30ED67FA" w14:textId="77777777" w:rsidR="00D86D63" w:rsidRDefault="00223568">
            <w:pPr>
              <w:pStyle w:val="Compact"/>
            </w:pPr>
            <w:r>
              <w:rPr>
                <w:b/>
                <w:bCs/>
              </w:rPr>
              <w:t>Scope</w:t>
            </w:r>
          </w:p>
        </w:tc>
        <w:tc>
          <w:tcPr>
            <w:tcW w:w="1980" w:type="dxa"/>
          </w:tcPr>
          <w:p w14:paraId="1EBABB36" w14:textId="77777777" w:rsidR="00D86D63" w:rsidRDefault="00223568">
            <w:pPr>
              <w:pStyle w:val="Compact"/>
            </w:pPr>
            <w:r>
              <w:t>National</w:t>
            </w:r>
          </w:p>
        </w:tc>
        <w:tc>
          <w:tcPr>
            <w:tcW w:w="1980" w:type="dxa"/>
          </w:tcPr>
          <w:p w14:paraId="7CACD4D7" w14:textId="77777777" w:rsidR="00D86D63" w:rsidRDefault="00223568">
            <w:pPr>
              <w:pStyle w:val="Compact"/>
            </w:pPr>
            <w:r>
              <w:t>Geo × Industry (coarse)</w:t>
            </w:r>
          </w:p>
        </w:tc>
        <w:tc>
          <w:tcPr>
            <w:tcW w:w="1980" w:type="dxa"/>
          </w:tcPr>
          <w:p w14:paraId="0D6E2E3A" w14:textId="77777777" w:rsidR="00D86D63" w:rsidRDefault="00223568">
            <w:pPr>
              <w:pStyle w:val="Compact"/>
            </w:pPr>
            <w:r>
              <w:t>State × Supersector (full)</w:t>
            </w:r>
          </w:p>
        </w:tc>
      </w:tr>
      <w:tr w:rsidR="00D86D63" w14:paraId="3ACB41D4" w14:textId="77777777">
        <w:tc>
          <w:tcPr>
            <w:tcW w:w="1980" w:type="dxa"/>
          </w:tcPr>
          <w:p w14:paraId="52265654" w14:textId="77777777" w:rsidR="00D86D63" w:rsidRDefault="00223568">
            <w:pPr>
              <w:pStyle w:val="Compact"/>
            </w:pPr>
            <w:r>
              <w:rPr>
                <w:b/>
                <w:bCs/>
              </w:rPr>
              <w:t>Multi-Provider</w:t>
            </w:r>
          </w:p>
        </w:tc>
        <w:tc>
          <w:tcPr>
            <w:tcW w:w="1980" w:type="dxa"/>
          </w:tcPr>
          <w:p w14:paraId="23CAA4EA" w14:textId="77777777" w:rsidR="00D86D63" w:rsidRDefault="00223568">
            <w:pPr>
              <w:pStyle w:val="Compact"/>
            </w:pPr>
            <w:r>
              <w:rPr>
                <w:b/>
                <w:bCs/>
              </w:rPr>
              <w:t>Yes</w:t>
            </w:r>
          </w:p>
        </w:tc>
        <w:tc>
          <w:tcPr>
            <w:tcW w:w="1980" w:type="dxa"/>
          </w:tcPr>
          <w:p w14:paraId="30257B07" w14:textId="77777777" w:rsidR="00D86D63" w:rsidRDefault="00223568">
            <w:pPr>
              <w:pStyle w:val="Compact"/>
            </w:pPr>
            <w:r>
              <w:t>Yes</w:t>
            </w:r>
          </w:p>
        </w:tc>
        <w:tc>
          <w:tcPr>
            <w:tcW w:w="1980" w:type="dxa"/>
          </w:tcPr>
          <w:p w14:paraId="28ED831A" w14:textId="77777777" w:rsidR="00D86D63" w:rsidRDefault="00223568">
            <w:pPr>
              <w:pStyle w:val="Compact"/>
            </w:pPr>
            <w:r>
              <w:t>Yes</w:t>
            </w:r>
          </w:p>
        </w:tc>
      </w:tr>
      <w:tr w:rsidR="00D86D63" w14:paraId="18891922" w14:textId="77777777">
        <w:tc>
          <w:tcPr>
            <w:tcW w:w="1980" w:type="dxa"/>
          </w:tcPr>
          <w:p w14:paraId="22A94380" w14:textId="77777777" w:rsidR="00D86D63" w:rsidRDefault="00223568">
            <w:pPr>
              <w:pStyle w:val="Compact"/>
            </w:pPr>
            <w:r>
              <w:rPr>
                <w:b/>
                <w:bCs/>
              </w:rPr>
              <w:t>Birth/Death</w:t>
            </w:r>
          </w:p>
        </w:tc>
        <w:tc>
          <w:tcPr>
            <w:tcW w:w="1980" w:type="dxa"/>
          </w:tcPr>
          <w:p w14:paraId="528F450A" w14:textId="77777777" w:rsidR="00D86D63" w:rsidRDefault="00223568">
            <w:pPr>
              <w:pStyle w:val="Compact"/>
            </w:pPr>
            <w:r>
              <w:rPr>
                <w:b/>
                <w:bCs/>
              </w:rPr>
              <w:t>Yes</w:t>
            </w:r>
            <w:r>
              <w:t xml:space="preserve"> (structural)</w:t>
            </w:r>
          </w:p>
        </w:tc>
        <w:tc>
          <w:tcPr>
            <w:tcW w:w="1980" w:type="dxa"/>
          </w:tcPr>
          <w:p w14:paraId="5D586BAB" w14:textId="77777777" w:rsidR="00D86D63" w:rsidRDefault="00223568">
            <w:pPr>
              <w:pStyle w:val="Compact"/>
            </w:pPr>
            <w:r>
              <w:t>Yes (cell-level)</w:t>
            </w:r>
          </w:p>
        </w:tc>
        <w:tc>
          <w:tcPr>
            <w:tcW w:w="1980" w:type="dxa"/>
          </w:tcPr>
          <w:p w14:paraId="24277390" w14:textId="77777777" w:rsidR="00D86D63" w:rsidRDefault="00223568">
            <w:pPr>
              <w:pStyle w:val="Compact"/>
            </w:pPr>
            <w:r>
              <w:t>Yes (nested)</w:t>
            </w:r>
          </w:p>
        </w:tc>
      </w:tr>
      <w:tr w:rsidR="00D86D63" w14:paraId="19870F1B" w14:textId="77777777">
        <w:tc>
          <w:tcPr>
            <w:tcW w:w="1980" w:type="dxa"/>
          </w:tcPr>
          <w:p w14:paraId="5E95DB35" w14:textId="77777777" w:rsidR="00D86D63" w:rsidRDefault="00223568">
            <w:pPr>
              <w:pStyle w:val="Compact"/>
            </w:pPr>
            <w:r>
              <w:rPr>
                <w:b/>
                <w:bCs/>
              </w:rPr>
              <w:t>Seasonal</w:t>
            </w:r>
          </w:p>
        </w:tc>
        <w:tc>
          <w:tcPr>
            <w:tcW w:w="1980" w:type="dxa"/>
          </w:tcPr>
          <w:p w14:paraId="36076063" w14:textId="77777777" w:rsidR="00D86D63" w:rsidRDefault="00223568">
            <w:pPr>
              <w:pStyle w:val="Compact"/>
            </w:pPr>
            <w:r>
              <w:rPr>
                <w:b/>
                <w:bCs/>
              </w:rPr>
              <w:t>Fourier</w:t>
            </w:r>
            <w:r>
              <w:t xml:space="preserve"> (time-varying)</w:t>
            </w:r>
          </w:p>
        </w:tc>
        <w:tc>
          <w:tcPr>
            <w:tcW w:w="1980" w:type="dxa"/>
          </w:tcPr>
          <w:p w14:paraId="54099187" w14:textId="77777777" w:rsidR="00D86D63" w:rsidRDefault="00223568">
            <w:pPr>
              <w:pStyle w:val="Compact"/>
            </w:pPr>
            <w:r>
              <w:t>Hierarchical Fourier</w:t>
            </w:r>
          </w:p>
        </w:tc>
        <w:tc>
          <w:tcPr>
            <w:tcW w:w="1980" w:type="dxa"/>
          </w:tcPr>
          <w:p w14:paraId="0E20C089" w14:textId="77777777" w:rsidR="00D86D63" w:rsidRDefault="00223568">
            <w:pPr>
              <w:pStyle w:val="Compact"/>
            </w:pPr>
            <w:r>
              <w:t>Hierarchical Fourier</w:t>
            </w:r>
          </w:p>
        </w:tc>
      </w:tr>
      <w:tr w:rsidR="00D86D63" w14:paraId="55821489" w14:textId="77777777">
        <w:tc>
          <w:tcPr>
            <w:tcW w:w="1980" w:type="dxa"/>
          </w:tcPr>
          <w:p w14:paraId="6D5B2F49" w14:textId="77777777" w:rsidR="00D86D63" w:rsidRDefault="00223568">
            <w:pPr>
              <w:pStyle w:val="Compact"/>
            </w:pPr>
            <w:r>
              <w:rPr>
                <w:b/>
                <w:bCs/>
              </w:rPr>
              <w:t>Hierarchy</w:t>
            </w:r>
          </w:p>
        </w:tc>
        <w:tc>
          <w:tcPr>
            <w:tcW w:w="1980" w:type="dxa"/>
          </w:tcPr>
          <w:p w14:paraId="5E31F15D" w14:textId="77777777" w:rsidR="00D86D63" w:rsidRDefault="00223568">
            <w:pPr>
              <w:pStyle w:val="Compact"/>
            </w:pPr>
            <w:r>
              <w:t>—</w:t>
            </w:r>
          </w:p>
        </w:tc>
        <w:tc>
          <w:tcPr>
            <w:tcW w:w="1980" w:type="dxa"/>
          </w:tcPr>
          <w:p w14:paraId="3D056190" w14:textId="77777777" w:rsidR="00D86D63" w:rsidRDefault="00223568">
            <w:pPr>
              <w:pStyle w:val="Compact"/>
            </w:pPr>
            <w:r>
              <w:t>Exchangeable</w:t>
            </w:r>
          </w:p>
        </w:tc>
        <w:tc>
          <w:tcPr>
            <w:tcW w:w="1980" w:type="dxa"/>
          </w:tcPr>
          <w:p w14:paraId="127CB6EB" w14:textId="77777777" w:rsidR="00D86D63" w:rsidRDefault="00223568">
            <w:pPr>
              <w:pStyle w:val="Compact"/>
            </w:pPr>
            <w:r>
              <w:rPr>
                <w:b/>
                <w:bCs/>
              </w:rPr>
              <w:t>Nested</w:t>
            </w:r>
          </w:p>
        </w:tc>
      </w:tr>
      <w:tr w:rsidR="00D86D63" w14:paraId="2E52C833" w14:textId="77777777">
        <w:tc>
          <w:tcPr>
            <w:tcW w:w="1980" w:type="dxa"/>
          </w:tcPr>
          <w:p w14:paraId="7A5AAA53" w14:textId="77777777" w:rsidR="00D86D63" w:rsidRDefault="00223568">
            <w:pPr>
              <w:pStyle w:val="Compact"/>
            </w:pPr>
            <w:r>
              <w:rPr>
                <w:b/>
                <w:bCs/>
              </w:rPr>
              <w:t>Dual + MinT</w:t>
            </w:r>
          </w:p>
        </w:tc>
        <w:tc>
          <w:tcPr>
            <w:tcW w:w="1980" w:type="dxa"/>
          </w:tcPr>
          <w:p w14:paraId="03453B33" w14:textId="77777777" w:rsidR="00D86D63" w:rsidRDefault="00223568">
            <w:pPr>
              <w:pStyle w:val="Compact"/>
            </w:pPr>
            <w:r>
              <w:t>No</w:t>
            </w:r>
          </w:p>
        </w:tc>
        <w:tc>
          <w:tcPr>
            <w:tcW w:w="1980" w:type="dxa"/>
          </w:tcPr>
          <w:p w14:paraId="11FCCF8C" w14:textId="77777777" w:rsidR="00D86D63" w:rsidRDefault="00223568">
            <w:pPr>
              <w:pStyle w:val="Compact"/>
            </w:pPr>
            <w:r>
              <w:rPr>
                <w:b/>
                <w:bCs/>
              </w:rPr>
              <w:t>Yes</w:t>
            </w:r>
          </w:p>
        </w:tc>
        <w:tc>
          <w:tcPr>
            <w:tcW w:w="1980" w:type="dxa"/>
          </w:tcPr>
          <w:p w14:paraId="2AB2F44C" w14:textId="77777777" w:rsidR="00D86D63" w:rsidRDefault="00223568">
            <w:pPr>
              <w:pStyle w:val="Compact"/>
            </w:pPr>
            <w:r>
              <w:t>Yes</w:t>
            </w:r>
          </w:p>
        </w:tc>
      </w:tr>
      <w:tr w:rsidR="00D86D63" w14:paraId="3E330D00" w14:textId="77777777">
        <w:tc>
          <w:tcPr>
            <w:tcW w:w="1980" w:type="dxa"/>
          </w:tcPr>
          <w:p w14:paraId="38D71608" w14:textId="77777777" w:rsidR="00D86D63" w:rsidRDefault="00223568">
            <w:pPr>
              <w:pStyle w:val="Compact"/>
            </w:pPr>
            <w:r>
              <w:rPr>
                <w:b/>
                <w:bCs/>
              </w:rPr>
              <w:t>QCEW</w:t>
            </w:r>
          </w:p>
        </w:tc>
        <w:tc>
          <w:tcPr>
            <w:tcW w:w="1980" w:type="dxa"/>
          </w:tcPr>
          <w:p w14:paraId="2E751204" w14:textId="77777777" w:rsidR="00D86D63" w:rsidRDefault="00223568">
            <w:pPr>
              <w:pStyle w:val="Compact"/>
            </w:pPr>
            <w:r>
              <w:rPr>
                <w:b/>
                <w:bCs/>
              </w:rPr>
              <w:t>Anchored</w:t>
            </w:r>
            <w:r>
              <w:t xml:space="preserve"> (lagged)</w:t>
            </w:r>
          </w:p>
        </w:tc>
        <w:tc>
          <w:tcPr>
            <w:tcW w:w="1980" w:type="dxa"/>
          </w:tcPr>
          <w:p w14:paraId="5C40E683" w14:textId="77777777" w:rsidR="00D86D63" w:rsidRDefault="00223568">
            <w:pPr>
              <w:pStyle w:val="Compact"/>
            </w:pPr>
            <w:r>
              <w:t>Anchored (lagged)</w:t>
            </w:r>
          </w:p>
        </w:tc>
        <w:tc>
          <w:tcPr>
            <w:tcW w:w="1980" w:type="dxa"/>
          </w:tcPr>
          <w:p w14:paraId="40D81F3C" w14:textId="77777777" w:rsidR="00D86D63" w:rsidRDefault="00223568">
            <w:pPr>
              <w:pStyle w:val="Compact"/>
            </w:pPr>
            <w:r>
              <w:rPr>
                <w:b/>
                <w:bCs/>
              </w:rPr>
              <w:t>Forecasted</w:t>
            </w:r>
            <w:r>
              <w:t xml:space="preserve"> (real-time)</w:t>
            </w:r>
          </w:p>
        </w:tc>
      </w:tr>
      <w:tr w:rsidR="00D86D63" w14:paraId="7F51C0EE" w14:textId="77777777">
        <w:tc>
          <w:tcPr>
            <w:tcW w:w="1980" w:type="dxa"/>
          </w:tcPr>
          <w:p w14:paraId="4786886D" w14:textId="77777777" w:rsidR="00D86D63" w:rsidRDefault="00223568">
            <w:pPr>
              <w:pStyle w:val="Compact"/>
            </w:pPr>
            <w:r>
              <w:rPr>
                <w:b/>
                <w:bCs/>
              </w:rPr>
              <w:t>CES Vintages</w:t>
            </w:r>
          </w:p>
        </w:tc>
        <w:tc>
          <w:tcPr>
            <w:tcW w:w="1980" w:type="dxa"/>
          </w:tcPr>
          <w:p w14:paraId="0F2C85C2" w14:textId="77777777" w:rsidR="00D86D63" w:rsidRDefault="00223568">
            <w:pPr>
              <w:pStyle w:val="Compact"/>
            </w:pPr>
            <w:r>
              <w:rPr>
                <w:b/>
                <w:bCs/>
              </w:rPr>
              <w:t>Yes</w:t>
            </w:r>
          </w:p>
        </w:tc>
        <w:tc>
          <w:tcPr>
            <w:tcW w:w="1980" w:type="dxa"/>
          </w:tcPr>
          <w:p w14:paraId="3A1413E2" w14:textId="77777777" w:rsidR="00D86D63" w:rsidRDefault="00223568">
            <w:pPr>
              <w:pStyle w:val="Compact"/>
            </w:pPr>
            <w:r>
              <w:t>Yes</w:t>
            </w:r>
          </w:p>
        </w:tc>
        <w:tc>
          <w:tcPr>
            <w:tcW w:w="1980" w:type="dxa"/>
          </w:tcPr>
          <w:p w14:paraId="2F4B859E" w14:textId="77777777" w:rsidR="00D86D63" w:rsidRDefault="00223568">
            <w:pPr>
              <w:pStyle w:val="Compact"/>
            </w:pPr>
            <w:r>
              <w:t>Yes</w:t>
            </w:r>
          </w:p>
        </w:tc>
      </w:tr>
      <w:tr w:rsidR="00D86D63" w14:paraId="4ABB63AB" w14:textId="77777777">
        <w:tc>
          <w:tcPr>
            <w:tcW w:w="1980" w:type="dxa"/>
          </w:tcPr>
          <w:p w14:paraId="7E63760D" w14:textId="77777777" w:rsidR="00D86D63" w:rsidRDefault="00223568">
            <w:pPr>
              <w:pStyle w:val="Compact"/>
            </w:pPr>
            <w:r>
              <w:rPr>
                <w:b/>
                <w:bCs/>
              </w:rPr>
              <w:t>Time-Varying Bias</w:t>
            </w:r>
          </w:p>
        </w:tc>
        <w:tc>
          <w:tcPr>
            <w:tcW w:w="1980" w:type="dxa"/>
          </w:tcPr>
          <w:p w14:paraId="48B4B9D9" w14:textId="77777777" w:rsidR="00D86D63" w:rsidRDefault="00223568">
            <w:pPr>
              <w:pStyle w:val="Compact"/>
            </w:pPr>
            <w:r>
              <w:t>No</w:t>
            </w:r>
          </w:p>
        </w:tc>
        <w:tc>
          <w:tcPr>
            <w:tcW w:w="1980" w:type="dxa"/>
          </w:tcPr>
          <w:p w14:paraId="584A8DAD" w14:textId="77777777" w:rsidR="00D86D63" w:rsidRDefault="00223568">
            <w:pPr>
              <w:pStyle w:val="Compact"/>
            </w:pPr>
            <w:r>
              <w:t>No</w:t>
            </w:r>
          </w:p>
        </w:tc>
        <w:tc>
          <w:tcPr>
            <w:tcW w:w="1980" w:type="dxa"/>
          </w:tcPr>
          <w:p w14:paraId="3F2A0981" w14:textId="77777777" w:rsidR="00D86D63" w:rsidRDefault="00223568">
            <w:pPr>
              <w:pStyle w:val="Compact"/>
            </w:pPr>
            <w:r>
              <w:rPr>
                <w:b/>
                <w:bCs/>
              </w:rPr>
              <w:t>Yes</w:t>
            </w:r>
          </w:p>
        </w:tc>
      </w:tr>
      <w:tr w:rsidR="00D86D63" w14:paraId="08BA54AC" w14:textId="77777777">
        <w:tc>
          <w:tcPr>
            <w:tcW w:w="1980" w:type="dxa"/>
          </w:tcPr>
          <w:p w14:paraId="11EB6DBE" w14:textId="77777777" w:rsidR="00D86D63" w:rsidRDefault="00223568">
            <w:pPr>
              <w:pStyle w:val="Compact"/>
            </w:pPr>
            <w:r>
              <w:rPr>
                <w:b/>
                <w:bCs/>
              </w:rPr>
              <w:t>Info Regimes</w:t>
            </w:r>
          </w:p>
        </w:tc>
        <w:tc>
          <w:tcPr>
            <w:tcW w:w="1980" w:type="dxa"/>
          </w:tcPr>
          <w:p w14:paraId="0FDDC49A" w14:textId="77777777" w:rsidR="00D86D63" w:rsidRDefault="00223568">
            <w:pPr>
              <w:pStyle w:val="Compact"/>
            </w:pPr>
            <w:r>
              <w:t>N/A</w:t>
            </w:r>
          </w:p>
        </w:tc>
        <w:tc>
          <w:tcPr>
            <w:tcW w:w="1980" w:type="dxa"/>
          </w:tcPr>
          <w:p w14:paraId="49CC12B9" w14:textId="77777777" w:rsidR="00D86D63" w:rsidRDefault="00223568">
            <w:pPr>
              <w:pStyle w:val="Compact"/>
            </w:pPr>
            <w:r>
              <w:rPr>
                <w:b/>
                <w:bCs/>
              </w:rPr>
              <w:t>Yes</w:t>
            </w:r>
          </w:p>
        </w:tc>
        <w:tc>
          <w:tcPr>
            <w:tcW w:w="1980" w:type="dxa"/>
          </w:tcPr>
          <w:p w14:paraId="34F727B0" w14:textId="77777777" w:rsidR="00D86D63" w:rsidRDefault="00223568">
            <w:pPr>
              <w:pStyle w:val="Compact"/>
            </w:pPr>
            <w:r>
              <w:t>Yes</w:t>
            </w:r>
          </w:p>
        </w:tc>
      </w:tr>
    </w:tbl>
    <w:p w14:paraId="138D126C" w14:textId="77777777" w:rsidR="00C47922" w:rsidRDefault="00C47922">
      <w:pPr>
        <w:pStyle w:val="Heading1"/>
      </w:pPr>
      <w:bookmarkStart w:id="69" w:name="X6ced4835efb86810ba9b880e31a6fdce3c58a7b"/>
      <w:bookmarkEnd w:id="68"/>
    </w:p>
    <w:p w14:paraId="2D534760" w14:textId="77777777" w:rsidR="00C47922" w:rsidRDefault="00C47922">
      <w:pPr>
        <w:rPr>
          <w:rFonts w:asciiTheme="majorHAnsi" w:eastAsiaTheme="majorEastAsia" w:hAnsiTheme="majorHAnsi" w:cstheme="majorBidi"/>
          <w:color w:val="0F4761" w:themeColor="accent1" w:themeShade="BF"/>
          <w:sz w:val="40"/>
          <w:szCs w:val="40"/>
        </w:rPr>
      </w:pPr>
      <w:r>
        <w:br w:type="page"/>
      </w:r>
    </w:p>
    <w:p w14:paraId="6F4EF3C4" w14:textId="260873E8" w:rsidR="00D86D63" w:rsidRDefault="00223568">
      <w:pPr>
        <w:pStyle w:val="Heading1"/>
      </w:pPr>
      <w:r>
        <w:lastRenderedPageBreak/>
        <w:t>Appendix B: Multi-Provider Design Rationale</w:t>
      </w:r>
    </w:p>
    <w:p w14:paraId="42EAA9A1" w14:textId="77777777" w:rsidR="00D86D63" w:rsidRDefault="00223568">
      <w:pPr>
        <w:pStyle w:val="Heading2"/>
      </w:pPr>
      <w:bookmarkStart w:id="70" w:name="why-multi-provider-from-the-start"/>
      <w:r>
        <w:t>Why Multi-Provider from the Start?</w:t>
      </w:r>
    </w:p>
    <w:p w14:paraId="3F7A4FE4" w14:textId="77777777" w:rsidR="00D86D63" w:rsidRDefault="00223568">
      <w:pPr>
        <w:numPr>
          <w:ilvl w:val="0"/>
          <w:numId w:val="15"/>
        </w:numPr>
      </w:pPr>
      <w:r>
        <w:rPr>
          <w:b/>
          <w:bCs/>
        </w:rPr>
        <w:t>No retrofitting:</w:t>
      </w:r>
      <w:r>
        <w:t xml:space="preserve"> Adding providers later requires restructuring; building it in from Release 1 is cleaner.</w:t>
      </w:r>
    </w:p>
    <w:p w14:paraId="5257C5D4" w14:textId="77777777" w:rsidR="00D86D63" w:rsidRDefault="00223568">
      <w:pPr>
        <w:numPr>
          <w:ilvl w:val="0"/>
          <w:numId w:val="15"/>
        </w:numPr>
      </w:pPr>
      <w:r>
        <w:rPr>
          <w:b/>
          <w:bCs/>
        </w:rPr>
        <w:t>Graceful degradation:</w:t>
      </w:r>
      <w:r>
        <w:t xml:space="preserve"> With one provider, independent priors collapse to weakly informative; the framework works but doesn’t overcomplicate.</w:t>
      </w:r>
    </w:p>
    <w:p w14:paraId="0C4D345B" w14:textId="77777777" w:rsidR="00D86D63" w:rsidRDefault="00223568">
      <w:pPr>
        <w:numPr>
          <w:ilvl w:val="0"/>
          <w:numId w:val="15"/>
        </w:numPr>
      </w:pPr>
      <w:r>
        <w:rPr>
          <w:b/>
          <w:bCs/>
        </w:rPr>
        <w:t>Immediate benefits:</w:t>
      </w:r>
      <w:r>
        <w:t xml:space="preserve"> Even with one provider, the framework reveals provider-specific signal quality metrics and precision budget.</w:t>
      </w:r>
    </w:p>
    <w:p w14:paraId="08DE2E79" w14:textId="77777777" w:rsidR="00D86D63" w:rsidRDefault="00223568">
      <w:pPr>
        <w:numPr>
          <w:ilvl w:val="0"/>
          <w:numId w:val="15"/>
        </w:numPr>
      </w:pPr>
      <w:r>
        <w:rPr>
          <w:b/>
          <w:bCs/>
        </w:rPr>
        <w:t>Provider comparison:</w:t>
      </w:r>
      <w:r>
        <w:t xml:space="preserve"> When multiple providers exist, the model automatically learns relative strengths by cell/industry.</w:t>
      </w:r>
    </w:p>
    <w:p w14:paraId="4EA9A043" w14:textId="77777777" w:rsidR="00D86D63" w:rsidRDefault="00223568">
      <w:pPr>
        <w:pStyle w:val="Heading2"/>
      </w:pPr>
      <w:bookmarkStart w:id="71" w:name="provider-cell-interaction-release-3"/>
      <w:bookmarkEnd w:id="70"/>
      <w:r>
        <w:t>Provider × Cell Interaction (Release 3)</w:t>
      </w:r>
    </w:p>
    <w:p w14:paraId="5C760F0B" w14:textId="77777777" w:rsidR="00D86D63" w:rsidRDefault="00223568">
      <w:pPr>
        <w:pStyle w:val="FirstParagraph"/>
      </w:pPr>
      <w:r>
        <w:t xml:space="preserve">The decomposition </w:t>
      </w:r>
      <m:oMath>
        <m:sSub>
          <m:sSubPr>
            <m:ctrlPr>
              <w:rPr>
                <w:rFonts w:ascii="Cambria Math" w:hAnsi="Cambria Math"/>
              </w:rPr>
            </m:ctrlPr>
          </m:sSub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sub>
          <m:sup>
            <m:r>
              <w:rPr>
                <w:rFonts w:ascii="Cambria Math" w:hAnsi="Cambria Math"/>
              </w:rPr>
              <m:t>prov</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r</m:t>
            </m:r>
            <m:d>
              <m:dPr>
                <m:ctrlPr>
                  <w:rPr>
                    <w:rFonts w:ascii="Cambria Math" w:hAnsi="Cambria Math"/>
                  </w:rPr>
                </m:ctrlPr>
              </m:dPr>
              <m:e>
                <m:r>
                  <w:rPr>
                    <w:rFonts w:ascii="Cambria Math" w:hAnsi="Cambria Math"/>
                  </w:rPr>
                  <m:t>j</m:t>
                </m:r>
              </m:e>
            </m:d>
          </m:sub>
          <m:sup>
            <m:r>
              <w:rPr>
                <w:rFonts w:ascii="Cambria Math" w:hAnsi="Cambria Math"/>
              </w:rPr>
              <m:t>region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d</m:t>
            </m:r>
            <m:d>
              <m:dPr>
                <m:ctrlPr>
                  <w:rPr>
                    <w:rFonts w:ascii="Cambria Math" w:hAnsi="Cambria Math"/>
                  </w:rPr>
                </m:ctrlPr>
              </m:dPr>
              <m:e>
                <m:r>
                  <w:rPr>
                    <w:rFonts w:ascii="Cambria Math" w:hAnsi="Cambria Math"/>
                  </w:rPr>
                  <m:t>j</m:t>
                </m:r>
              </m:e>
            </m:d>
          </m:sub>
          <m:sup>
            <m:r>
              <w:rPr>
                <w:rFonts w:ascii="Cambria Math" w:hAnsi="Cambria Math"/>
              </w:rPr>
              <m:t>division</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st</m:t>
            </m:r>
            <m:d>
              <m:dPr>
                <m:ctrlPr>
                  <w:rPr>
                    <w:rFonts w:ascii="Cambria Math" w:hAnsi="Cambria Math"/>
                  </w:rPr>
                </m:ctrlPr>
              </m:dPr>
              <m:e>
                <m:r>
                  <w:rPr>
                    <w:rFonts w:ascii="Cambria Math" w:hAnsi="Cambria Math"/>
                  </w:rPr>
                  <m:t>j</m:t>
                </m:r>
              </m:e>
            </m:d>
          </m:sub>
          <m:sup>
            <m:r>
              <w:rPr>
                <w:rFonts w:ascii="Cambria Math" w:hAnsi="Cambria Math"/>
              </w:rPr>
              <m:t>stat</m:t>
            </m:r>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supersector</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j</m:t>
                </m:r>
              </m:e>
            </m:d>
          </m:sub>
          <m:sup>
            <m:r>
              <w:rPr>
                <w:rFonts w:ascii="Cambria Math" w:hAnsi="Cambria Math"/>
              </w:rPr>
              <m:t>prov</m:t>
            </m:r>
            <m:r>
              <m:rPr>
                <m:sty m:val="p"/>
              </m:rPr>
              <w:rPr>
                <w:rFonts w:ascii="Cambria Math" w:hAnsi="Cambria Math"/>
              </w:rPr>
              <m:t>×</m:t>
            </m:r>
            <m:r>
              <w:rPr>
                <w:rFonts w:ascii="Cambria Math" w:hAnsi="Cambria Math"/>
              </w:rPr>
              <m:t>ind</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p</m:t>
            </m:r>
            <m:r>
              <m:rPr>
                <m:sty m:val="p"/>
              </m:rPr>
              <w:rPr>
                <w:rFonts w:ascii="Cambria Math" w:hAnsi="Cambria Math"/>
              </w:rPr>
              <m:t>,</m:t>
            </m:r>
            <m:r>
              <w:rPr>
                <w:rFonts w:ascii="Cambria Math" w:hAnsi="Cambria Math"/>
              </w:rPr>
              <m:t>j</m:t>
            </m:r>
          </m:sub>
          <m:sup>
            <m:r>
              <w:rPr>
                <w:rFonts w:ascii="Cambria Math" w:hAnsi="Cambria Math"/>
              </w:rPr>
              <m:t>resid</m:t>
            </m:r>
          </m:sup>
        </m:sSubSup>
      </m:oMath>
      <w:r>
        <w:t xml:space="preserve"> captures:</w:t>
      </w:r>
    </w:p>
    <w:p w14:paraId="382BF7A2" w14:textId="77777777" w:rsidR="00D86D63" w:rsidRDefault="00223568">
      <w:pPr>
        <w:pStyle w:val="Compact"/>
        <w:numPr>
          <w:ilvl w:val="0"/>
          <w:numId w:val="16"/>
        </w:numPr>
      </w:pPr>
      <w:r>
        <w:rPr>
          <w:b/>
          <w:bCs/>
        </w:rPr>
        <w:t>Provider main effect:</w:t>
      </w:r>
      <w:r>
        <w:t xml:space="preserve"> Some providers are systematically biased</w:t>
      </w:r>
    </w:p>
    <w:p w14:paraId="09C7C524" w14:textId="77777777" w:rsidR="00D86D63" w:rsidRDefault="00223568">
      <w:pPr>
        <w:pStyle w:val="Compact"/>
        <w:numPr>
          <w:ilvl w:val="0"/>
          <w:numId w:val="16"/>
        </w:numPr>
      </w:pPr>
      <w:r>
        <w:rPr>
          <w:b/>
          <w:bCs/>
        </w:rPr>
        <w:t>Cell main effect:</w:t>
      </w:r>
      <w:r>
        <w:t xml:space="preserve"> Some cells are harder to estimate for all providers</w:t>
      </w:r>
    </w:p>
    <w:p w14:paraId="4FE2ADE6" w14:textId="77777777" w:rsidR="00D86D63" w:rsidRDefault="00223568">
      <w:pPr>
        <w:pStyle w:val="Compact"/>
        <w:numPr>
          <w:ilvl w:val="0"/>
          <w:numId w:val="16"/>
        </w:numPr>
      </w:pPr>
      <w:r>
        <w:rPr>
          <w:b/>
          <w:bCs/>
        </w:rPr>
        <w:t>Provider × industry:</w:t>
      </w:r>
      <w:r>
        <w:t xml:space="preserve"> Some providers specialize in certain industries</w:t>
      </w:r>
    </w:p>
    <w:p w14:paraId="463636C2" w14:textId="77777777" w:rsidR="00D86D63" w:rsidRDefault="00223568">
      <w:pPr>
        <w:pStyle w:val="Compact"/>
        <w:numPr>
          <w:ilvl w:val="0"/>
          <w:numId w:val="16"/>
        </w:numPr>
      </w:pPr>
      <w:r>
        <w:rPr>
          <w:b/>
          <w:bCs/>
        </w:rPr>
        <w:t>Residual:</w:t>
      </w:r>
      <w:r>
        <w:t xml:space="preserve"> Unexplained provider-cell variation</w:t>
      </w:r>
    </w:p>
    <w:p w14:paraId="28DF8107" w14:textId="77777777" w:rsidR="00D86D63" w:rsidRDefault="00223568">
      <w:pPr>
        <w:pStyle w:val="Heading2"/>
      </w:pPr>
      <w:bookmarkStart w:id="72" w:name="combining-multiple-provider-signals"/>
      <w:bookmarkEnd w:id="71"/>
      <w:r>
        <w:t>Combining Multiple Provider Signals</w:t>
      </w:r>
    </w:p>
    <w:p w14:paraId="2165A723" w14:textId="77777777" w:rsidR="00D86D63" w:rsidRDefault="00223568">
      <w:pPr>
        <w:pStyle w:val="FirstParagraph"/>
      </w:pPr>
      <w:r>
        <w:t xml:space="preserve">For a given cell </w:t>
      </w:r>
      <m:oMath>
        <m:r>
          <w:rPr>
            <w:rFonts w:ascii="Cambria Math" w:hAnsi="Cambria Math"/>
          </w:rPr>
          <m:t>j</m:t>
        </m:r>
      </m:oMath>
      <w:r>
        <w:t xml:space="preserve">, the model combines signals from all providers observing that cell via precision weighting. Providers with lower noise (higher </w:t>
      </w:r>
      <m:oMath>
        <m:sSub>
          <m:sSubPr>
            <m:ctrlPr>
              <w:rPr>
                <w:rFonts w:ascii="Cambria Math" w:hAnsi="Cambria Math"/>
              </w:rPr>
            </m:ctrlPr>
          </m:sSubPr>
          <m:e>
            <m:r>
              <w:rPr>
                <w:rFonts w:ascii="Cambria Math" w:hAnsi="Cambria Math"/>
              </w:rPr>
              <m:t>λ</m:t>
            </m:r>
          </m:e>
          <m:sub>
            <m:r>
              <w:rPr>
                <w:rFonts w:ascii="Cambria Math" w:hAnsi="Cambria Math"/>
              </w:rPr>
              <m:t>p</m:t>
            </m:r>
          </m:sub>
        </m:sSub>
      </m:oMath>
      <w:r>
        <w:t xml:space="preserve">, lower </w:t>
      </w:r>
      <m:oMath>
        <m:sSub>
          <m:sSubPr>
            <m:ctrlPr>
              <w:rPr>
                <w:rFonts w:ascii="Cambria Math" w:hAnsi="Cambria Math"/>
              </w:rPr>
            </m:ctrlPr>
          </m:sSubPr>
          <m:e>
            <m:r>
              <w:rPr>
                <w:rFonts w:ascii="Cambria Math" w:hAnsi="Cambria Math"/>
              </w:rPr>
              <m:t>σ</m:t>
            </m:r>
          </m:e>
          <m:sub>
            <m:r>
              <w:rPr>
                <w:rFonts w:ascii="Cambria Math" w:hAnsi="Cambria Math"/>
              </w:rPr>
              <m:t>p</m:t>
            </m:r>
            <m:r>
              <m:rPr>
                <m:sty m:val="p"/>
              </m:rPr>
              <w:rPr>
                <w:rFonts w:ascii="Cambria Math" w:hAnsi="Cambria Math"/>
              </w:rPr>
              <m:t>,</m:t>
            </m:r>
            <m:r>
              <w:rPr>
                <w:rFonts w:ascii="Cambria Math" w:hAnsi="Cambria Math"/>
              </w:rPr>
              <m:t>j</m:t>
            </m:r>
          </m:sub>
        </m:sSub>
      </m:oMath>
      <w:r>
        <w:t xml:space="preserve">) receive more weight. For AR(1) providers, effective precision is reduced by </w:t>
      </w:r>
      <m:oMath>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p</m:t>
                </m:r>
              </m:sub>
              <m:sup>
                <m:r>
                  <w:rPr>
                    <w:rFonts w:ascii="Cambria Math" w:hAnsi="Cambria Math"/>
                  </w:rPr>
                  <m:t>2</m:t>
                </m:r>
              </m:sup>
            </m:sSubSup>
          </m:e>
        </m:d>
      </m:oMath>
      <w:r>
        <w:t>.</w:t>
      </w:r>
    </w:p>
    <w:p w14:paraId="07E59EA0" w14:textId="77777777" w:rsidR="00C47922" w:rsidRDefault="00C47922">
      <w:pPr>
        <w:rPr>
          <w:rFonts w:asciiTheme="majorHAnsi" w:eastAsiaTheme="majorEastAsia" w:hAnsiTheme="majorHAnsi" w:cstheme="majorBidi"/>
          <w:color w:val="0F4761" w:themeColor="accent1" w:themeShade="BF"/>
          <w:sz w:val="40"/>
          <w:szCs w:val="40"/>
        </w:rPr>
      </w:pPr>
      <w:bookmarkStart w:id="73" w:name="appendix-c-implementation-notes"/>
      <w:bookmarkEnd w:id="69"/>
      <w:bookmarkEnd w:id="72"/>
      <w:r>
        <w:br w:type="page"/>
      </w:r>
    </w:p>
    <w:p w14:paraId="53C9A907" w14:textId="6EE5FB46" w:rsidR="00D86D63" w:rsidRDefault="00223568">
      <w:pPr>
        <w:pStyle w:val="Heading1"/>
      </w:pPr>
      <w:r>
        <w:lastRenderedPageBreak/>
        <w:t>Appendix C: Implementation Notes</w:t>
      </w:r>
    </w:p>
    <w:p w14:paraId="7A665E09" w14:textId="77777777" w:rsidR="00D86D63" w:rsidRDefault="00223568">
      <w:pPr>
        <w:pStyle w:val="Heading2"/>
      </w:pPr>
      <w:bookmarkStart w:id="74" w:name="non-centered-parameterization"/>
      <w:r>
        <w:t>Non-Centered Parameterization</w:t>
      </w:r>
    </w:p>
    <w:p w14:paraId="44328012" w14:textId="77777777" w:rsidR="00D86D63" w:rsidRDefault="00223568">
      <w:pPr>
        <w:pStyle w:val="FirstParagraph"/>
      </w:pPr>
      <w:r>
        <w:t>Essential for sparse cells and providers with limited coverage:</w:t>
      </w:r>
    </w:p>
    <w:p w14:paraId="606815AB" w14:textId="77777777" w:rsidR="00D86D63" w:rsidRDefault="00223568">
      <w:pPr>
        <w:pStyle w:val="SourceCode"/>
      </w:pPr>
      <w:r>
        <w:rPr>
          <w:rStyle w:val="VerbatimChar"/>
        </w:rPr>
        <w:t>α̃_{p,j} ~ N(0, 1)</w:t>
      </w:r>
      <w:r>
        <w:br/>
      </w:r>
      <w:r>
        <w:rPr>
          <w:rStyle w:val="VerbatimChar"/>
        </w:rPr>
        <w:t>α_{p,j} = μ_α + τ_α × α̃_{p,j}</w:t>
      </w:r>
    </w:p>
    <w:p w14:paraId="141426E0" w14:textId="77777777" w:rsidR="00D86D63" w:rsidRDefault="00223568">
      <w:pPr>
        <w:pStyle w:val="FirstParagraph"/>
      </w:pPr>
      <w:r>
        <w:t>This avoids the Neal’s funnel pathology where the sampler struggles to simultaneously estimate the group mean, group variance, and individual effects.</w:t>
      </w:r>
    </w:p>
    <w:p w14:paraId="64242C79" w14:textId="77777777" w:rsidR="00D86D63" w:rsidRDefault="00223568">
      <w:pPr>
        <w:pStyle w:val="Heading2"/>
      </w:pPr>
      <w:bookmarkStart w:id="75" w:name="computational-scaling"/>
      <w:bookmarkEnd w:id="74"/>
      <w:r>
        <w:t>Computational Scaling</w:t>
      </w:r>
    </w:p>
    <w:tbl>
      <w:tblPr>
        <w:tblStyle w:val="Table"/>
        <w:tblW w:w="5000" w:type="pct"/>
        <w:tblLayout w:type="fixed"/>
        <w:tblLook w:val="0020" w:firstRow="1" w:lastRow="0" w:firstColumn="0" w:lastColumn="0" w:noHBand="0" w:noVBand="0"/>
      </w:tblPr>
      <w:tblGrid>
        <w:gridCol w:w="1153"/>
        <w:gridCol w:w="6027"/>
        <w:gridCol w:w="2180"/>
      </w:tblGrid>
      <w:tr w:rsidR="00D86D63" w14:paraId="787D20DE" w14:textId="77777777" w:rsidTr="00D86D63">
        <w:trPr>
          <w:cnfStyle w:val="100000000000" w:firstRow="1" w:lastRow="0" w:firstColumn="0" w:lastColumn="0" w:oddVBand="0" w:evenVBand="0" w:oddHBand="0" w:evenHBand="0" w:firstRowFirstColumn="0" w:firstRowLastColumn="0" w:lastRowFirstColumn="0" w:lastRowLastColumn="0"/>
          <w:tblHeader/>
        </w:trPr>
        <w:tc>
          <w:tcPr>
            <w:tcW w:w="976" w:type="dxa"/>
          </w:tcPr>
          <w:p w14:paraId="5ACB1AA3" w14:textId="77777777" w:rsidR="00D86D63" w:rsidRDefault="00223568">
            <w:pPr>
              <w:pStyle w:val="Compact"/>
            </w:pPr>
            <w:r>
              <w:t>Release</w:t>
            </w:r>
          </w:p>
        </w:tc>
        <w:tc>
          <w:tcPr>
            <w:tcW w:w="5099" w:type="dxa"/>
          </w:tcPr>
          <w:p w14:paraId="3CC9C2A5" w14:textId="77777777" w:rsidR="00D86D63" w:rsidRDefault="00223568">
            <w:pPr>
              <w:pStyle w:val="Compact"/>
            </w:pPr>
            <w:r>
              <w:t>Approx. Parameters</w:t>
            </w:r>
          </w:p>
        </w:tc>
        <w:tc>
          <w:tcPr>
            <w:tcW w:w="1844" w:type="dxa"/>
          </w:tcPr>
          <w:p w14:paraId="233D0F35" w14:textId="77777777" w:rsidR="00D86D63" w:rsidRDefault="00223568">
            <w:pPr>
              <w:pStyle w:val="Compact"/>
            </w:pPr>
            <w:r>
              <w:t>Typical Runtime</w:t>
            </w:r>
          </w:p>
        </w:tc>
      </w:tr>
      <w:tr w:rsidR="00D86D63" w14:paraId="588A6E41" w14:textId="77777777">
        <w:tc>
          <w:tcPr>
            <w:tcW w:w="976" w:type="dxa"/>
          </w:tcPr>
          <w:p w14:paraId="7362E2D3" w14:textId="77777777" w:rsidR="00D86D63" w:rsidRDefault="00223568">
            <w:pPr>
              <w:pStyle w:val="Compact"/>
            </w:pPr>
            <w:r>
              <w:t>1</w:t>
            </w:r>
          </w:p>
        </w:tc>
        <w:tc>
          <w:tcPr>
            <w:tcW w:w="5099" w:type="dxa"/>
          </w:tcPr>
          <w:p w14:paraId="33A4B45C" w14:textId="77777777" w:rsidR="00D86D63" w:rsidRDefault="00223568">
            <w:pPr>
              <w:pStyle w:val="Compact"/>
            </w:pPr>
            <w:r>
              <w:t>~15 + 5×P</w:t>
            </w:r>
          </w:p>
        </w:tc>
        <w:tc>
          <w:tcPr>
            <w:tcW w:w="1844" w:type="dxa"/>
          </w:tcPr>
          <w:p w14:paraId="50A80310" w14:textId="77777777" w:rsidR="00D86D63" w:rsidRDefault="00223568">
            <w:pPr>
              <w:pStyle w:val="Compact"/>
            </w:pPr>
            <w:r>
              <w:t>Minutes</w:t>
            </w:r>
          </w:p>
        </w:tc>
      </w:tr>
      <w:tr w:rsidR="00D86D63" w14:paraId="0A6B3F46" w14:textId="77777777">
        <w:tc>
          <w:tcPr>
            <w:tcW w:w="976" w:type="dxa"/>
          </w:tcPr>
          <w:p w14:paraId="51B48D9A" w14:textId="77777777" w:rsidR="00D86D63" w:rsidRDefault="00223568">
            <w:pPr>
              <w:pStyle w:val="Compact"/>
            </w:pPr>
            <w:r>
              <w:t>2</w:t>
            </w:r>
          </w:p>
        </w:tc>
        <w:tc>
          <w:tcPr>
            <w:tcW w:w="5099" w:type="dxa"/>
          </w:tcPr>
          <w:p w14:paraId="16A92C8F" w14:textId="77777777" w:rsidR="00D86D63" w:rsidRDefault="00223568">
            <w:pPr>
              <w:pStyle w:val="Compact"/>
            </w:pPr>
            <w:r>
              <w:t>~50 + 10×P + 8×J + P×J</w:t>
            </w:r>
          </w:p>
        </w:tc>
        <w:tc>
          <w:tcPr>
            <w:tcW w:w="1844" w:type="dxa"/>
          </w:tcPr>
          <w:p w14:paraId="731F14BB" w14:textId="77777777" w:rsidR="00D86D63" w:rsidRDefault="00223568">
            <w:pPr>
              <w:pStyle w:val="Compact"/>
            </w:pPr>
            <w:r>
              <w:t>30–60 min</w:t>
            </w:r>
          </w:p>
        </w:tc>
      </w:tr>
      <w:tr w:rsidR="00D86D63" w14:paraId="2985EDC5" w14:textId="77777777">
        <w:tc>
          <w:tcPr>
            <w:tcW w:w="976" w:type="dxa"/>
          </w:tcPr>
          <w:p w14:paraId="4F672523" w14:textId="77777777" w:rsidR="00D86D63" w:rsidRDefault="00223568">
            <w:pPr>
              <w:pStyle w:val="Compact"/>
            </w:pPr>
            <w:r>
              <w:t>3</w:t>
            </w:r>
          </w:p>
        </w:tc>
        <w:tc>
          <w:tcPr>
            <w:tcW w:w="5099" w:type="dxa"/>
          </w:tcPr>
          <w:p w14:paraId="43089F35" w14:textId="77777777" w:rsidR="00D86D63" w:rsidRDefault="00223568">
            <w:pPr>
              <w:pStyle w:val="Compact"/>
            </w:pPr>
            <w:r>
              <w:t>~100 + 10×P + hierarchy + P×J + T×P×J (bias)</w:t>
            </w:r>
          </w:p>
        </w:tc>
        <w:tc>
          <w:tcPr>
            <w:tcW w:w="1844" w:type="dxa"/>
          </w:tcPr>
          <w:p w14:paraId="3CD098E2" w14:textId="77777777" w:rsidR="00D86D63" w:rsidRDefault="00223568">
            <w:pPr>
              <w:pStyle w:val="Compact"/>
            </w:pPr>
            <w:r>
              <w:t>3–6 hours</w:t>
            </w:r>
          </w:p>
        </w:tc>
      </w:tr>
    </w:tbl>
    <w:p w14:paraId="11FF65FA" w14:textId="77777777" w:rsidR="00D86D63" w:rsidRDefault="00223568">
      <w:pPr>
        <w:pStyle w:val="BodyText"/>
      </w:pPr>
      <w:r>
        <w:t>P = number of providers, J = number of cells, T = time periods.</w:t>
      </w:r>
    </w:p>
    <w:p w14:paraId="0DF7DF45" w14:textId="77777777" w:rsidR="00D86D63" w:rsidRDefault="00223568">
      <w:pPr>
        <w:pStyle w:val="BodyText"/>
      </w:pPr>
      <w:r>
        <w:t>Release 3 at full state × supersector scale (~550 cells) with time-varying bias will require careful attention to sampler efficiency: nutpie with JAX backend, batched non-centered parameterizations, and potentially variational initialization for MCMC.</w:t>
      </w:r>
    </w:p>
    <w:p w14:paraId="793D1D6C" w14:textId="77777777" w:rsidR="00D86D63" w:rsidRDefault="00223568">
      <w:pPr>
        <w:pStyle w:val="Heading2"/>
      </w:pPr>
      <w:bookmarkStart w:id="76" w:name="sampler-configuration"/>
      <w:bookmarkEnd w:id="75"/>
      <w:r>
        <w:t>Sampler Configuration</w:t>
      </w:r>
    </w:p>
    <w:p w14:paraId="389EC3C0" w14:textId="77777777" w:rsidR="00D86D63" w:rsidRDefault="00223568">
      <w:pPr>
        <w:pStyle w:val="FirstParagraph"/>
      </w:pPr>
      <w:r>
        <w:t>The default sampler is nutpie, optimized for Apple Silicon (M4 Max). Three configurations are available:</w:t>
      </w:r>
    </w:p>
    <w:p w14:paraId="3DC87ED5" w14:textId="77777777" w:rsidR="00D86D63" w:rsidRDefault="00223568">
      <w:pPr>
        <w:pStyle w:val="Compact"/>
        <w:numPr>
          <w:ilvl w:val="0"/>
          <w:numId w:val="17"/>
        </w:numPr>
      </w:pPr>
      <w:r>
        <w:rPr>
          <w:b/>
          <w:bCs/>
        </w:rPr>
        <w:t>LIGHT:</w:t>
      </w:r>
      <w:r>
        <w:t xml:space="preserve"> Faster convergence checks during development</w:t>
      </w:r>
    </w:p>
    <w:p w14:paraId="4FB6824D" w14:textId="77777777" w:rsidR="00D86D63" w:rsidRDefault="00223568">
      <w:pPr>
        <w:pStyle w:val="Compact"/>
        <w:numPr>
          <w:ilvl w:val="0"/>
          <w:numId w:val="17"/>
        </w:numPr>
      </w:pPr>
      <w:r>
        <w:rPr>
          <w:b/>
          <w:bCs/>
        </w:rPr>
        <w:t>MEDIUM:</w:t>
      </w:r>
      <w:r>
        <w:t xml:space="preserve"> Used for sensitivity analysis runs</w:t>
      </w:r>
    </w:p>
    <w:p w14:paraId="27B1A468" w14:textId="77777777" w:rsidR="00D86D63" w:rsidRDefault="00223568">
      <w:pPr>
        <w:pStyle w:val="Compact"/>
        <w:numPr>
          <w:ilvl w:val="0"/>
          <w:numId w:val="17"/>
        </w:numPr>
      </w:pPr>
      <w:r>
        <w:rPr>
          <w:b/>
          <w:bCs/>
        </w:rPr>
        <w:t>DEFAULT:</w:t>
      </w:r>
      <w:r>
        <w:t xml:space="preserve"> Full production sampling with convergence guarantees</w:t>
      </w:r>
    </w:p>
    <w:p w14:paraId="64FCFADA" w14:textId="77777777" w:rsidR="00D86D63" w:rsidRDefault="00223568">
      <w:pPr>
        <w:pStyle w:val="Heading2"/>
      </w:pPr>
      <w:bookmarkStart w:id="77" w:name="config-driven-provider-architecture"/>
      <w:bookmarkEnd w:id="76"/>
      <w:r>
        <w:t>Config-Driven Provider Architecture</w:t>
      </w:r>
    </w:p>
    <w:p w14:paraId="58306B90" w14:textId="77777777" w:rsidR="00D86D63" w:rsidRDefault="00223568">
      <w:pPr>
        <w:pStyle w:val="FirstParagraph"/>
      </w:pPr>
      <w:r>
        <w:t xml:space="preserve">Adding a new provider requires only a </w:t>
      </w:r>
      <w:r>
        <w:rPr>
          <w:rStyle w:val="VerbatimChar"/>
        </w:rPr>
        <w:t>ProviderConfig</w:t>
      </w:r>
      <w:r>
        <w:t xml:space="preserve"> entry:</w:t>
      </w:r>
    </w:p>
    <w:p w14:paraId="549B6281" w14:textId="77777777" w:rsidR="00D86D63" w:rsidRDefault="00223568">
      <w:pPr>
        <w:pStyle w:val="SourceCode"/>
      </w:pPr>
      <w:r>
        <w:rPr>
          <w:rStyle w:val="NormalTok"/>
        </w:rPr>
        <w:t>ProviderConfig(</w:t>
      </w:r>
      <w:r>
        <w:br/>
      </w:r>
      <w:r>
        <w:rPr>
          <w:rStyle w:val="NormalTok"/>
        </w:rPr>
        <w:t xml:space="preserve">    name</w:t>
      </w:r>
      <w:r>
        <w:rPr>
          <w:rStyle w:val="OperatorTok"/>
        </w:rPr>
        <w:t>=</w:t>
      </w:r>
      <w:r>
        <w:rPr>
          <w:rStyle w:val="StringTok"/>
        </w:rPr>
        <w:t>'PP3'</w:t>
      </w:r>
      <w:r>
        <w:rPr>
          <w:rStyle w:val="NormalTok"/>
        </w:rPr>
        <w:t>,</w:t>
      </w:r>
      <w:r>
        <w:br/>
      </w:r>
      <w:r>
        <w:rPr>
          <w:rStyle w:val="NormalTok"/>
        </w:rPr>
        <w:t xml:space="preserve">    </w:t>
      </w:r>
      <w:r>
        <w:rPr>
          <w:rStyle w:val="BuiltInTok"/>
        </w:rPr>
        <w:t>file</w:t>
      </w:r>
      <w:r>
        <w:rPr>
          <w:rStyle w:val="OperatorTok"/>
        </w:rPr>
        <w:t>=</w:t>
      </w:r>
      <w:r>
        <w:rPr>
          <w:rStyle w:val="StringTok"/>
        </w:rPr>
        <w:t>'alt_nfp_index_3.csv'</w:t>
      </w:r>
      <w:r>
        <w:rPr>
          <w:rStyle w:val="NormalTok"/>
        </w:rPr>
        <w:t>,</w:t>
      </w:r>
      <w:r>
        <w:br/>
      </w:r>
      <w:r>
        <w:rPr>
          <w:rStyle w:val="NormalTok"/>
        </w:rPr>
        <w:t xml:space="preserve">    index_col</w:t>
      </w:r>
      <w:r>
        <w:rPr>
          <w:rStyle w:val="OperatorTok"/>
        </w:rPr>
        <w:t>=</w:t>
      </w:r>
      <w:r>
        <w:rPr>
          <w:rStyle w:val="StringTok"/>
        </w:rPr>
        <w:t>'pp_index_3'</w:t>
      </w:r>
      <w:r>
        <w:rPr>
          <w:rStyle w:val="NormalTok"/>
        </w:rPr>
        <w:t>,</w:t>
      </w:r>
      <w:r>
        <w:br/>
      </w:r>
      <w:r>
        <w:rPr>
          <w:rStyle w:val="NormalTok"/>
        </w:rPr>
        <w:t xml:space="preserve">    error_model</w:t>
      </w:r>
      <w:r>
        <w:rPr>
          <w:rStyle w:val="OperatorTok"/>
        </w:rPr>
        <w:t>=</w:t>
      </w:r>
      <w:r>
        <w:rPr>
          <w:rStyle w:val="StringTok"/>
        </w:rPr>
        <w:t>'ar1'</w:t>
      </w:r>
      <w:r>
        <w:rPr>
          <w:rStyle w:val="NormalTok"/>
        </w:rPr>
        <w:t xml:space="preserve">,  </w:t>
      </w:r>
      <w:r>
        <w:rPr>
          <w:rStyle w:val="CommentTok"/>
        </w:rPr>
        <w:t># or 'iid'</w:t>
      </w:r>
      <w:r>
        <w:br/>
      </w:r>
      <w:r>
        <w:rPr>
          <w:rStyle w:val="NormalTok"/>
        </w:rPr>
        <w:t xml:space="preserve">    births_file</w:t>
      </w:r>
      <w:r>
        <w:rPr>
          <w:rStyle w:val="OperatorTok"/>
        </w:rPr>
        <w:t>=</w:t>
      </w:r>
      <w:r>
        <w:rPr>
          <w:rStyle w:val="StringTok"/>
        </w:rPr>
        <w:t>'alt_nfp_births_3.csv'</w:t>
      </w:r>
      <w:r>
        <w:rPr>
          <w:rStyle w:val="NormalTok"/>
        </w:rPr>
        <w:t xml:space="preserve">,  </w:t>
      </w:r>
      <w:r>
        <w:rPr>
          <w:rStyle w:val="CommentTok"/>
        </w:rPr>
        <w:t># optional</w:t>
      </w:r>
      <w:r>
        <w:br/>
      </w:r>
      <w:r>
        <w:rPr>
          <w:rStyle w:val="NormalTok"/>
        </w:rPr>
        <w:t xml:space="preserve">    births_col</w:t>
      </w:r>
      <w:r>
        <w:rPr>
          <w:rStyle w:val="OperatorTok"/>
        </w:rPr>
        <w:t>=</w:t>
      </w:r>
      <w:r>
        <w:rPr>
          <w:rStyle w:val="StringTok"/>
        </w:rPr>
        <w:t>'pp3_births'</w:t>
      </w:r>
      <w:r>
        <w:rPr>
          <w:rStyle w:val="NormalTok"/>
        </w:rPr>
        <w:t xml:space="preserve">,             </w:t>
      </w:r>
      <w:r>
        <w:rPr>
          <w:rStyle w:val="CommentTok"/>
        </w:rPr>
        <w:t># optional</w:t>
      </w:r>
      <w:r>
        <w:br/>
      </w:r>
      <w:r>
        <w:rPr>
          <w:rStyle w:val="NormalTok"/>
        </w:rPr>
        <w:t>)</w:t>
      </w:r>
    </w:p>
    <w:p w14:paraId="681EDDFB" w14:textId="77777777" w:rsidR="00D86D63" w:rsidRDefault="00223568">
      <w:pPr>
        <w:pStyle w:val="FirstParagraph"/>
      </w:pPr>
      <w:r>
        <w:t>The model, diagnostics, sensitivity analysis, and plots adapt automatically.</w:t>
      </w:r>
      <w:bookmarkEnd w:id="73"/>
      <w:bookmarkEnd w:id="77"/>
    </w:p>
    <w:sectPr w:rsidR="00D86D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4C9B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D6AB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6B22A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8316286">
    <w:abstractNumId w:val="0"/>
  </w:num>
  <w:num w:numId="2" w16cid:durableId="1274357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9151030">
    <w:abstractNumId w:val="1"/>
  </w:num>
  <w:num w:numId="4" w16cid:durableId="1564217673">
    <w:abstractNumId w:val="1"/>
  </w:num>
  <w:num w:numId="5" w16cid:durableId="1129199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3719871">
    <w:abstractNumId w:val="1"/>
  </w:num>
  <w:num w:numId="7" w16cid:durableId="493496343">
    <w:abstractNumId w:val="1"/>
  </w:num>
  <w:num w:numId="8" w16cid:durableId="1506357470">
    <w:abstractNumId w:val="1"/>
  </w:num>
  <w:num w:numId="9" w16cid:durableId="1840122117">
    <w:abstractNumId w:val="1"/>
  </w:num>
  <w:num w:numId="10" w16cid:durableId="1350377588">
    <w:abstractNumId w:val="1"/>
  </w:num>
  <w:num w:numId="11" w16cid:durableId="862859181">
    <w:abstractNumId w:val="1"/>
  </w:num>
  <w:num w:numId="12" w16cid:durableId="125970657">
    <w:abstractNumId w:val="1"/>
  </w:num>
  <w:num w:numId="13" w16cid:durableId="1365639711">
    <w:abstractNumId w:val="1"/>
  </w:num>
  <w:num w:numId="14" w16cid:durableId="181624564">
    <w:abstractNumId w:val="1"/>
  </w:num>
  <w:num w:numId="15" w16cid:durableId="803736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4113665">
    <w:abstractNumId w:val="1"/>
  </w:num>
  <w:num w:numId="17" w16cid:durableId="81490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63"/>
    <w:rsid w:val="00223568"/>
    <w:rsid w:val="00317D97"/>
    <w:rsid w:val="006E0147"/>
    <w:rsid w:val="00C47922"/>
    <w:rsid w:val="00D35022"/>
    <w:rsid w:val="00D86D63"/>
    <w:rsid w:val="00FC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0FA3"/>
  <w15:docId w15:val="{938523B5-1773-2B41-8484-14957905A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4728</Words>
  <Characters>32199</Characters>
  <Application>Microsoft Office Word</Application>
  <DocSecurity>0</DocSecurity>
  <Lines>919</Lines>
  <Paragraphs>696</Paragraphs>
  <ScaleCrop>false</ScaleCrop>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State Space NFP Nowcasting System</dc:title>
  <dc:creator>Lowell Mason</dc:creator>
  <cp:keywords/>
  <cp:lastModifiedBy>Lowell Mason</cp:lastModifiedBy>
  <cp:revision>3</cp:revision>
  <dcterms:created xsi:type="dcterms:W3CDTF">2026-02-15T19:57:00Z</dcterms:created>
  <dcterms:modified xsi:type="dcterms:W3CDTF">2026-02-15T19:57:00Z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Staged Implementation Plan: Verions 7</vt:lpwstr>
  </property>
  <property fmtid="{D5CDD505-2E9C-101B-9397-08002B2CF9AE}" pid="8" name="toc-title">
    <vt:lpwstr>Table of contents</vt:lpwstr>
  </property>
</Properties>
</file>