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E6C8" w14:textId="77777777" w:rsidR="00C8271E" w:rsidRDefault="00000000">
      <w:pPr>
        <w:pStyle w:val="Heading1"/>
      </w:pPr>
      <w:bookmarkStart w:id="0" w:name="alt-nfp-model-methods-reference"/>
      <w:r>
        <w:t>Alt-NFP Model: Methods Reference</w:t>
      </w:r>
    </w:p>
    <w:p w14:paraId="6A417386" w14:textId="77777777" w:rsidR="00C8271E" w:rsidRDefault="00000000">
      <w:pPr>
        <w:pStyle w:val="Heading2"/>
      </w:pPr>
      <w:bookmarkStart w:id="1" w:name="overview"/>
      <w:r>
        <w:t>1. Overview</w:t>
      </w:r>
    </w:p>
    <w:p w14:paraId="6BF9D908" w14:textId="77777777" w:rsidR="00C8271E" w:rsidRDefault="00000000">
      <w:pPr>
        <w:pStyle w:val="FirstParagraph"/>
      </w:pPr>
      <w:r>
        <w:t>Alt-NFP is a Bayesian state space model for nowcasting U.S. total nonfarm employment growth. The model fuses three classes of data sources — the Quarterly Census of Employment and Wages (QCEW), the Current Employment Statistics survey (CES), and private payroll provider indices — into a unified latent growth process. Inference is performed via Hamiltonian Monte Carlo (NUTS) in PyMC.</w:t>
      </w:r>
    </w:p>
    <w:p w14:paraId="6B0803AF" w14:textId="77777777" w:rsidR="00C8271E" w:rsidRDefault="00000000">
      <w:pPr>
        <w:pStyle w:val="BodyText"/>
      </w:pPr>
      <w:r>
        <w:t>All quantities are expressed as log-differences of employment levels (approximately month-over-month percent changes). The sample begins in January 2012.</w:t>
      </w:r>
    </w:p>
    <w:p w14:paraId="2D82537A" w14:textId="1B4ECD33" w:rsidR="00C8271E" w:rsidRDefault="00C8271E"/>
    <w:p w14:paraId="7BC92F61" w14:textId="77777777" w:rsidR="00C8271E" w:rsidRDefault="00000000">
      <w:pPr>
        <w:pStyle w:val="Heading2"/>
      </w:pPr>
      <w:bookmarkStart w:id="2" w:name="data-sources"/>
      <w:bookmarkEnd w:id="1"/>
      <w:r>
        <w:t>2. Data Sources</w:t>
      </w:r>
    </w:p>
    <w:p w14:paraId="702BA80D" w14:textId="5592635A" w:rsidR="00C8271E" w:rsidRDefault="00000000">
      <w:pPr>
        <w:pStyle w:val="Heading3"/>
      </w:pPr>
      <w:bookmarkStart w:id="3" w:name="qcew-truth-anchor"/>
      <w:r>
        <w:t>2.1 QCEW (truth anchor)</w:t>
      </w:r>
    </w:p>
    <w:p w14:paraId="55DAF8AD" w14:textId="77777777" w:rsidR="00C8271E" w:rsidRDefault="00000000">
      <w:pPr>
        <w:pStyle w:val="FirstParagraph"/>
      </w:pPr>
      <w:r>
        <w:t>The Quarterly Census of Employment and Wages is a near-census of U.S. employers derived from unemployment insurance tax records. It covers approximately 95% of nonfarm employment. QCEW data are not seasonally adjusted (NSA only) and are published quarterly with a 5–8 month lag.</w:t>
      </w:r>
    </w:p>
    <w:p w14:paraId="4C82EBB9" w14:textId="77777777" w:rsidR="00C8271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Frequency</w:t>
      </w:r>
      <w:r>
        <w:t>: Monthly observations published in quarterly batches.</w:t>
      </w:r>
    </w:p>
    <w:p w14:paraId="559A011B" w14:textId="77777777" w:rsidR="00C8271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Revisions</w:t>
      </w:r>
      <w:r>
        <w:t>: Quarter-dependent revision structure. Q1 data are revised up to 4 times; Q4 data are revised once. Each revision has an empirically calibrated noise multiplier (see Section 3.5).</w:t>
      </w:r>
    </w:p>
    <w:p w14:paraId="10294E0A" w14:textId="77777777" w:rsidR="00C8271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Role in model</w:t>
      </w:r>
      <w:r>
        <w:t>: Serves as the primary truth anchor with the tightest observation noise among all sources.</w:t>
      </w:r>
    </w:p>
    <w:p w14:paraId="313EE176" w14:textId="77777777" w:rsidR="00F23301" w:rsidRDefault="00F23301">
      <w:pPr>
        <w:pStyle w:val="Heading3"/>
      </w:pPr>
      <w:bookmarkStart w:id="4" w:name="ces-monthly-survey"/>
      <w:bookmarkEnd w:id="3"/>
    </w:p>
    <w:p w14:paraId="1BA39852" w14:textId="4A516FE8" w:rsidR="00C8271E" w:rsidRDefault="00000000">
      <w:pPr>
        <w:pStyle w:val="Heading3"/>
      </w:pPr>
      <w:r>
        <w:t>2.2 CES (monthly survey)</w:t>
      </w:r>
    </w:p>
    <w:p w14:paraId="6E174E97" w14:textId="77777777" w:rsidR="00C8271E" w:rsidRDefault="00000000">
      <w:pPr>
        <w:pStyle w:val="FirstParagraph"/>
      </w:pPr>
      <w:r>
        <w:t>The Current Employment Statistics survey is a monthly establishment survey covering roughly 145,000 businesses and government agencies representing approximately 700,000 individual worksites. Published by BLS one month after the reference period. The triangular revision archive (</w:t>
      </w:r>
      <w:r>
        <w:rPr>
          <w:rStyle w:val="VerbatimChar"/>
        </w:rPr>
        <w:t>cesvinall.zip</w:t>
      </w:r>
      <w:r>
        <w:t>) provides data back to 2003; the model estimation window begins in January 2012.</w:t>
      </w:r>
    </w:p>
    <w:p w14:paraId="0F2ED7AB" w14:textId="77777777" w:rsidR="00C8271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Frequency</w:t>
      </w:r>
      <w:r>
        <w:t>: Monthly, both seasonally adjusted (SA) and not seasonally adjusted (NSA).</w:t>
      </w:r>
    </w:p>
    <w:p w14:paraId="13146250" w14:textId="77777777" w:rsidR="00C8271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Revisions</w:t>
      </w:r>
      <w:r>
        <w:t xml:space="preserve">: Three sample-based vintages — first print (rev 0, +1 month lag), second estimate (rev 1, +2 months), third estimate (rev 2, +3 months). Benchmark-revised </w:t>
      </w:r>
      <w:r>
        <w:lastRenderedPageBreak/>
        <w:t xml:space="preserve">data (rev −1, incorporating QCEW universe counts) are never used as CES observations. Benchmark-quality information enters the model exclusively through QCEW. The </w:t>
      </w:r>
      <w:r>
        <w:rPr>
          <w:rStyle w:val="VerbatimChar"/>
        </w:rPr>
        <w:t>benchmark_revisions.py</w:t>
      </w:r>
      <w:r>
        <w:t xml:space="preserve"> lookup and </w:t>
      </w:r>
      <w:r>
        <w:rPr>
          <w:rStyle w:val="VerbatimChar"/>
        </w:rPr>
        <w:t>benchmark.py</w:t>
      </w:r>
      <w:r>
        <w:t>/</w:t>
      </w:r>
      <w:r>
        <w:rPr>
          <w:rStyle w:val="VerbatimChar"/>
        </w:rPr>
        <w:t>benchmark_backtest.py</w:t>
      </w:r>
      <w:r>
        <w:t xml:space="preserve"> modules are post-hoc diagnostics only — they compare posterior inferences to actual BLS benchmarks but do not feed into the model.</w:t>
      </w:r>
    </w:p>
    <w:p w14:paraId="100C4A77" w14:textId="77777777" w:rsidR="00C8271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Best-available selection</w:t>
      </w:r>
      <w:r>
        <w:t>: One observation per month per SA/NSA series, using the highest available revision number in {0, 1, 2}.</w:t>
      </w:r>
    </w:p>
    <w:p w14:paraId="1DBF2DEC" w14:textId="77777777" w:rsidR="00F23301" w:rsidRDefault="00F23301">
      <w:pPr>
        <w:pStyle w:val="Heading3"/>
      </w:pPr>
      <w:bookmarkStart w:id="5" w:name="private-payroll-providers"/>
      <w:bookmarkEnd w:id="4"/>
    </w:p>
    <w:p w14:paraId="429181EF" w14:textId="5222D7D7" w:rsidR="00C8271E" w:rsidRDefault="00000000">
      <w:pPr>
        <w:pStyle w:val="Heading3"/>
      </w:pPr>
      <w:r>
        <w:t>2.3 Private payroll providers</w:t>
      </w:r>
    </w:p>
    <w:p w14:paraId="63328B55" w14:textId="532E469B" w:rsidR="00C8271E" w:rsidRDefault="00000000">
      <w:pPr>
        <w:pStyle w:val="FirstParagraph"/>
      </w:pPr>
      <w:r>
        <w:t xml:space="preserve">Payroll processor data provide high-frequency employment indices from administrative records. Currently one active provider (G), supplying </w:t>
      </w:r>
      <w:r w:rsidR="00F23301">
        <w:t>national</w:t>
      </w:r>
      <w:r>
        <w:t>-level employment.</w:t>
      </w:r>
    </w:p>
    <w:p w14:paraId="25183018" w14:textId="77777777" w:rsidR="00C8271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Compositing</w:t>
      </w:r>
      <w:r>
        <w:t>: Cell-level data are aggregated to a national growth series via QCEW-weighted compositing. QCEW employment shares by cell serve as population weights; cells with fewer than 5 pseudo-establishments are excluded and their weight is redistributed (same supersector first, then same region, then uniform).</w:t>
      </w:r>
    </w:p>
    <w:p w14:paraId="2BF9D7FF" w14:textId="77777777" w:rsidR="00C8271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Birth rates</w:t>
      </w:r>
      <w:r>
        <w:t>: Provider-specific business birth rates are supplied in a separate national-level file and enter the structural birth/death component.</w:t>
      </w:r>
    </w:p>
    <w:p w14:paraId="2AE00BDC" w14:textId="77777777" w:rsidR="00C8271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Publication lag</w:t>
      </w:r>
      <w:r>
        <w:t>: ~3 weeks after reference period.</w:t>
      </w:r>
    </w:p>
    <w:p w14:paraId="344EE7E4" w14:textId="77777777" w:rsidR="00F23301" w:rsidRDefault="00F23301">
      <w:pPr>
        <w:pStyle w:val="Heading3"/>
      </w:pPr>
      <w:bookmarkStart w:id="6" w:name="cyclical-indicators"/>
      <w:bookmarkEnd w:id="5"/>
    </w:p>
    <w:p w14:paraId="7033AF91" w14:textId="0D87F857" w:rsidR="00C8271E" w:rsidRDefault="00000000">
      <w:pPr>
        <w:pStyle w:val="Heading3"/>
      </w:pPr>
      <w:r>
        <w:t>2.4 Cyclical indicators</w:t>
      </w:r>
    </w:p>
    <w:p w14:paraId="09E333CF" w14:textId="77777777" w:rsidR="00C8271E" w:rsidRDefault="00000000">
      <w:pPr>
        <w:pStyle w:val="FirstParagraph"/>
      </w:pPr>
      <w:r>
        <w:t>Two demand-side indicators from FRED are used as covariates in the birth/death component: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09"/>
        <w:gridCol w:w="2109"/>
        <w:gridCol w:w="2109"/>
        <w:gridCol w:w="3033"/>
      </w:tblGrid>
      <w:tr w:rsidR="00C8271E" w14:paraId="1D88453D" w14:textId="77777777" w:rsidTr="00C82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4" w:type="dxa"/>
          </w:tcPr>
          <w:p w14:paraId="6C472F7D" w14:textId="77777777" w:rsidR="00C8271E" w:rsidRDefault="00000000">
            <w:pPr>
              <w:pStyle w:val="Compact"/>
            </w:pPr>
            <w:r>
              <w:t>Indicator</w:t>
            </w:r>
          </w:p>
        </w:tc>
        <w:tc>
          <w:tcPr>
            <w:tcW w:w="1784" w:type="dxa"/>
          </w:tcPr>
          <w:p w14:paraId="01F5BD75" w14:textId="77777777" w:rsidR="00C8271E" w:rsidRDefault="00000000">
            <w:pPr>
              <w:pStyle w:val="Compact"/>
            </w:pPr>
            <w:r>
              <w:t>FRED ID</w:t>
            </w:r>
          </w:p>
        </w:tc>
        <w:tc>
          <w:tcPr>
            <w:tcW w:w="1784" w:type="dxa"/>
          </w:tcPr>
          <w:p w14:paraId="4B71EC52" w14:textId="77777777" w:rsidR="00C8271E" w:rsidRDefault="00000000">
            <w:pPr>
              <w:pStyle w:val="Compact"/>
            </w:pPr>
            <w:r>
              <w:t>Frequency</w:t>
            </w:r>
          </w:p>
        </w:tc>
        <w:tc>
          <w:tcPr>
            <w:tcW w:w="2565" w:type="dxa"/>
          </w:tcPr>
          <w:p w14:paraId="6C83F62E" w14:textId="77777777" w:rsidR="00C8271E" w:rsidRDefault="00000000">
            <w:pPr>
              <w:pStyle w:val="Compact"/>
            </w:pPr>
            <w:r>
              <w:t>Publication lag</w:t>
            </w:r>
          </w:p>
        </w:tc>
      </w:tr>
      <w:tr w:rsidR="00C8271E" w14:paraId="6F16B99B" w14:textId="77777777">
        <w:tc>
          <w:tcPr>
            <w:tcW w:w="1784" w:type="dxa"/>
          </w:tcPr>
          <w:p w14:paraId="0FD4F8AC" w14:textId="77777777" w:rsidR="00C8271E" w:rsidRDefault="00000000">
            <w:pPr>
              <w:pStyle w:val="Compact"/>
            </w:pPr>
            <w:r>
              <w:t>Initial jobless claims (NSA)</w:t>
            </w:r>
          </w:p>
        </w:tc>
        <w:tc>
          <w:tcPr>
            <w:tcW w:w="1784" w:type="dxa"/>
          </w:tcPr>
          <w:p w14:paraId="7854AB35" w14:textId="77777777" w:rsidR="00C8271E" w:rsidRDefault="00000000">
            <w:pPr>
              <w:pStyle w:val="Compact"/>
            </w:pPr>
            <w:r>
              <w:t>ICNSA</w:t>
            </w:r>
          </w:p>
        </w:tc>
        <w:tc>
          <w:tcPr>
            <w:tcW w:w="1784" w:type="dxa"/>
          </w:tcPr>
          <w:p w14:paraId="63391074" w14:textId="77777777" w:rsidR="00C8271E" w:rsidRDefault="00000000">
            <w:pPr>
              <w:pStyle w:val="Compact"/>
            </w:pPr>
            <w:r>
              <w:t>Weekly → monthly mean</w:t>
            </w:r>
          </w:p>
        </w:tc>
        <w:tc>
          <w:tcPr>
            <w:tcW w:w="2565" w:type="dxa"/>
          </w:tcPr>
          <w:p w14:paraId="1F392A41" w14:textId="77777777" w:rsidR="00C8271E" w:rsidRDefault="00000000">
            <w:pPr>
              <w:pStyle w:val="Compact"/>
            </w:pPr>
            <w:r>
              <w:t>~1 month</w:t>
            </w:r>
          </w:p>
        </w:tc>
      </w:tr>
      <w:tr w:rsidR="00C8271E" w14:paraId="0F93B25D" w14:textId="77777777">
        <w:tc>
          <w:tcPr>
            <w:tcW w:w="1784" w:type="dxa"/>
          </w:tcPr>
          <w:p w14:paraId="55DB5FC6" w14:textId="77777777" w:rsidR="00C8271E" w:rsidRDefault="00000000">
            <w:pPr>
              <w:pStyle w:val="Compact"/>
            </w:pPr>
            <w:r>
              <w:t>JOLTS job openings</w:t>
            </w:r>
          </w:p>
        </w:tc>
        <w:tc>
          <w:tcPr>
            <w:tcW w:w="1784" w:type="dxa"/>
          </w:tcPr>
          <w:p w14:paraId="5BF6217E" w14:textId="77777777" w:rsidR="00C8271E" w:rsidRDefault="00000000">
            <w:pPr>
              <w:pStyle w:val="Compact"/>
            </w:pPr>
            <w:r>
              <w:t>JTSJOL</w:t>
            </w:r>
          </w:p>
        </w:tc>
        <w:tc>
          <w:tcPr>
            <w:tcW w:w="1784" w:type="dxa"/>
          </w:tcPr>
          <w:p w14:paraId="0C6FD490" w14:textId="77777777" w:rsidR="00C8271E" w:rsidRDefault="00000000">
            <w:pPr>
              <w:pStyle w:val="Compact"/>
            </w:pPr>
            <w:r>
              <w:t>Monthly</w:t>
            </w:r>
          </w:p>
        </w:tc>
        <w:tc>
          <w:tcPr>
            <w:tcW w:w="2565" w:type="dxa"/>
          </w:tcPr>
          <w:p w14:paraId="393A6078" w14:textId="77777777" w:rsidR="00C8271E" w:rsidRDefault="00000000">
            <w:pPr>
              <w:pStyle w:val="Compact"/>
            </w:pPr>
            <w:r>
              <w:t>~2 months</w:t>
            </w:r>
          </w:p>
        </w:tc>
      </w:tr>
    </w:tbl>
    <w:p w14:paraId="302E5A4D" w14:textId="77777777" w:rsidR="00C8271E" w:rsidRDefault="00000000">
      <w:pPr>
        <w:pStyle w:val="BodyText"/>
      </w:pPr>
      <w:r>
        <w:t>Indicators are standardized (centered and scaled by standard deviation) before entering the model. Under as-of censoring (backtests), indicators are masked according to their publication lags.</w:t>
      </w:r>
    </w:p>
    <w:p w14:paraId="7D4AFE81" w14:textId="3922DCC4" w:rsidR="00C8271E" w:rsidRDefault="00C8271E"/>
    <w:p w14:paraId="46C1A29B" w14:textId="77777777" w:rsidR="00F23301" w:rsidRDefault="00F2330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7" w:name="model-specification"/>
      <w:bookmarkEnd w:id="2"/>
      <w:bookmarkEnd w:id="6"/>
      <w:r>
        <w:br w:type="page"/>
      </w:r>
    </w:p>
    <w:p w14:paraId="4112A674" w14:textId="0CBCEC4B" w:rsidR="00C8271E" w:rsidRDefault="00000000">
      <w:pPr>
        <w:pStyle w:val="Heading2"/>
      </w:pPr>
      <w:r>
        <w:lastRenderedPageBreak/>
        <w:t>3. Model Specification</w:t>
      </w:r>
    </w:p>
    <w:p w14:paraId="71E84E10" w14:textId="77777777" w:rsidR="00F23301" w:rsidRDefault="00F23301">
      <w:pPr>
        <w:pStyle w:val="Heading3"/>
      </w:pPr>
      <w:bookmarkStart w:id="8" w:name="X83b6ff32e349c0bc9a96f9a898b4e2149d3ce67"/>
    </w:p>
    <w:p w14:paraId="03889945" w14:textId="545C3EF6" w:rsidR="00C8271E" w:rsidRDefault="00000000">
      <w:pPr>
        <w:pStyle w:val="Heading3"/>
      </w:pPr>
      <w:r>
        <w:t xml:space="preserve">3.1 Latent continuing-units growth: </w:t>
      </w:r>
      <w:proofErr w:type="gramStart"/>
      <w:r>
        <w:t>AR(</w:t>
      </w:r>
      <w:proofErr w:type="gramEnd"/>
      <w:r>
        <w:t>1) with era-specific means</w:t>
      </w:r>
    </w:p>
    <w:p w14:paraId="2A6C9979" w14:textId="77777777" w:rsidR="00C8271E" w:rsidRDefault="00000000">
      <w:pPr>
        <w:pStyle w:val="FirstParagraph"/>
      </w:pPr>
      <w:r>
        <w:t>The latent month-over-month continuing-establishment employment growth rate follows a stationary AR(1) process with era-indexed unconditional means:</w:t>
      </w:r>
    </w:p>
    <w:p w14:paraId="234893A5" w14:textId="77777777" w:rsidR="00C8271E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cont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cont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cr m:val="script"/>
              <m:sty m:val="p"/>
            </m:rPr>
            <w:rPr>
              <w:rFonts w:ascii="Cambria Math" w:hAnsi="Cambria Math"/>
            </w:rPr>
            <m:t>∼N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3254EEDE" w14:textId="77777777" w:rsidR="00C8271E" w:rsidRDefault="00000000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indexes two eras (Pre-COVID: 2012–2019, Post-COVID: 2020–present), with break at January 2020.</w:t>
      </w:r>
    </w:p>
    <w:p w14:paraId="7F5C90E3" w14:textId="77777777" w:rsidR="00C8271E" w:rsidRDefault="00000000">
      <w:pPr>
        <w:pStyle w:val="BodyText"/>
      </w:pPr>
      <w:r>
        <w:rPr>
          <w:b/>
          <w:bCs/>
        </w:rPr>
        <w:t>Reparameterization</w:t>
      </w:r>
      <w:r>
        <w:t xml:space="preserve">: The innovation standard deviation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 xml:space="preserve"> is derived from the marginal (stationary) standard deviation </w:t>
      </w:r>
      <m:oMath>
        <m:r>
          <w:rPr>
            <w:rFonts w:ascii="Cambria Math" w:hAnsi="Cambria Math"/>
          </w:rPr>
          <m:t>τ</m:t>
        </m:r>
      </m:oMath>
      <w:r>
        <w:t xml:space="preserve"> via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τ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ϕ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. This breaks the </w:t>
      </w:r>
      <m:oMath>
        <m:r>
          <w:rPr>
            <w:rFonts w:ascii="Cambria Math" w:hAnsi="Cambria Math"/>
          </w:rPr>
          <m:t>ϕ</m:t>
        </m:r>
      </m:oMath>
      <w:r>
        <w:t>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 xml:space="preserve"> ridge that otherwise causes poor effective sample size.</w:t>
      </w:r>
    </w:p>
    <w:p w14:paraId="1D2F574B" w14:textId="77777777" w:rsidR="00C8271E" w:rsidRDefault="00000000">
      <w:pPr>
        <w:pStyle w:val="BodyText"/>
      </w:pPr>
      <w:r>
        <w:rPr>
          <w:b/>
          <w:bCs/>
        </w:rPr>
        <w:t>Priors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74"/>
        <w:gridCol w:w="2693"/>
        <w:gridCol w:w="2693"/>
      </w:tblGrid>
      <w:tr w:rsidR="00C8271E" w14:paraId="59E6AD38" w14:textId="77777777" w:rsidTr="00C82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3" w:type="dxa"/>
          </w:tcPr>
          <w:p w14:paraId="3C349144" w14:textId="77777777" w:rsidR="00C8271E" w:rsidRDefault="00000000">
            <w:pPr>
              <w:pStyle w:val="Compact"/>
            </w:pPr>
            <w:r>
              <w:t>Parameter</w:t>
            </w:r>
          </w:p>
        </w:tc>
        <w:tc>
          <w:tcPr>
            <w:tcW w:w="2278" w:type="dxa"/>
          </w:tcPr>
          <w:p w14:paraId="47B5C04F" w14:textId="77777777" w:rsidR="00C8271E" w:rsidRDefault="00000000">
            <w:pPr>
              <w:pStyle w:val="Compact"/>
            </w:pPr>
            <w:r>
              <w:t>Prior</w:t>
            </w:r>
          </w:p>
        </w:tc>
        <w:tc>
          <w:tcPr>
            <w:tcW w:w="2278" w:type="dxa"/>
          </w:tcPr>
          <w:p w14:paraId="229F720A" w14:textId="77777777" w:rsidR="00C8271E" w:rsidRDefault="00000000">
            <w:pPr>
              <w:pStyle w:val="Compact"/>
            </w:pPr>
            <w:r>
              <w:t>Notes</w:t>
            </w:r>
          </w:p>
        </w:tc>
      </w:tr>
      <w:tr w:rsidR="00C8271E" w14:paraId="3165C265" w14:textId="77777777">
        <w:tc>
          <w:tcPr>
            <w:tcW w:w="3363" w:type="dxa"/>
          </w:tcPr>
          <w:p w14:paraId="0190110B" w14:textId="77777777" w:rsidR="00C8271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2278" w:type="dxa"/>
          </w:tcPr>
          <w:p w14:paraId="0EEA825B" w14:textId="77777777" w:rsidR="00C8271E" w:rsidRDefault="00000000">
            <w:pPr>
              <w:pStyle w:val="Compact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0.001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0.005</m:t>
                    </m:r>
                  </m:e>
                </m:d>
              </m:oMath>
            </m:oMathPara>
          </w:p>
        </w:tc>
        <w:tc>
          <w:tcPr>
            <w:tcW w:w="2278" w:type="dxa"/>
          </w:tcPr>
          <w:p w14:paraId="559788BE" w14:textId="77777777" w:rsidR="00C8271E" w:rsidRDefault="00000000">
            <w:pPr>
              <w:pStyle w:val="Compact"/>
            </w:pPr>
            <w:r>
              <w:t xml:space="preserve">Per-era, shape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eras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</m:d>
            </m:oMath>
          </w:p>
        </w:tc>
      </w:tr>
      <w:tr w:rsidR="00C8271E" w14:paraId="407B7CCF" w14:textId="77777777">
        <w:tc>
          <w:tcPr>
            <w:tcW w:w="3363" w:type="dxa"/>
          </w:tcPr>
          <w:p w14:paraId="27DF6500" w14:textId="77777777" w:rsidR="00C8271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raw</m:t>
                    </m:r>
                  </m:sub>
                </m:sSub>
              </m:oMath>
            </m:oMathPara>
          </w:p>
        </w:tc>
        <w:tc>
          <w:tcPr>
            <w:tcW w:w="2278" w:type="dxa"/>
          </w:tcPr>
          <w:p w14:paraId="40326F57" w14:textId="77777777" w:rsidR="00C8271E" w:rsidRDefault="00000000">
            <w:pPr>
              <w:pStyle w:val="Compact"/>
            </w:pPr>
            <m:oMathPara>
              <m:oMath>
                <m:r>
                  <m:rPr>
                    <m:nor/>
                  </m:rPr>
                  <m:t>Beta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</w:tc>
        <w:tc>
          <w:tcPr>
            <w:tcW w:w="2278" w:type="dxa"/>
          </w:tcPr>
          <w:p w14:paraId="69E63B3D" w14:textId="77777777" w:rsidR="00C8271E" w:rsidRDefault="00000000">
            <w:pPr>
              <w:pStyle w:val="Compact"/>
            </w:pPr>
            <w:r>
              <w:t xml:space="preserve">Mode ≈ 0.89; </w:t>
            </w:r>
            <m:oMath>
              <m:r>
                <w:rPr>
                  <w:rFonts w:ascii="Cambria Math" w:hAnsi="Cambria Math"/>
                </w:rPr>
                <m:t>ϕ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=min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raw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0.99</m:t>
                  </m:r>
                </m:e>
              </m:d>
            </m:oMath>
          </w:p>
        </w:tc>
      </w:tr>
      <w:tr w:rsidR="00C8271E" w14:paraId="0484CE8F" w14:textId="77777777">
        <w:tc>
          <w:tcPr>
            <w:tcW w:w="3363" w:type="dxa"/>
          </w:tcPr>
          <w:p w14:paraId="5C6FEF62" w14:textId="77777777" w:rsidR="00C8271E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  <w:tc>
          <w:tcPr>
            <w:tcW w:w="2278" w:type="dxa"/>
          </w:tcPr>
          <w:p w14:paraId="4D3F68CE" w14:textId="77777777" w:rsidR="00C8271E" w:rsidRDefault="00000000">
            <w:pPr>
              <w:pStyle w:val="Compact"/>
            </w:pPr>
            <m:oMathPara>
              <m:oMath>
                <m:r>
                  <m:rPr>
                    <m:nor/>
                  </m:rPr>
                  <m:t>LogNormal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>0.013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0.5</m:t>
                    </m:r>
                  </m:e>
                </m:d>
              </m:oMath>
            </m:oMathPara>
          </w:p>
        </w:tc>
        <w:tc>
          <w:tcPr>
            <w:tcW w:w="2278" w:type="dxa"/>
          </w:tcPr>
          <w:p w14:paraId="14A47763" w14:textId="77777777" w:rsidR="00C8271E" w:rsidRDefault="00000000">
            <w:pPr>
              <w:pStyle w:val="Compact"/>
            </w:pPr>
            <w:r>
              <w:t>Marginal SD; median ≈ 0.013</w:t>
            </w:r>
          </w:p>
        </w:tc>
      </w:tr>
    </w:tbl>
    <w:p w14:paraId="59CACDF6" w14:textId="77777777" w:rsidR="00F23301" w:rsidRDefault="00F23301">
      <w:pPr>
        <w:pStyle w:val="Heading3"/>
      </w:pPr>
      <w:bookmarkStart w:id="9" w:name="fourier-seasonal-component"/>
      <w:bookmarkEnd w:id="8"/>
    </w:p>
    <w:p w14:paraId="75F50343" w14:textId="7807AED3" w:rsidR="00C8271E" w:rsidRDefault="00000000">
      <w:pPr>
        <w:pStyle w:val="Heading3"/>
      </w:pPr>
      <w:r>
        <w:t>3.2 Fourier seasonal component</w:t>
      </w:r>
    </w:p>
    <w:p w14:paraId="538B0DD6" w14:textId="77777777" w:rsidR="00C8271E" w:rsidRDefault="00000000">
      <w:pPr>
        <w:pStyle w:val="FirstParagraph"/>
      </w:pPr>
      <w:r>
        <w:t>Seasonality is captured by a truncated Fourier expansion with time-varying (annually-evolving) coefficients:</w:t>
      </w:r>
    </w:p>
    <w:p w14:paraId="189EA52F" w14:textId="77777777" w:rsidR="00C8271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​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2πk 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​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2πk 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</m:e>
                  </m:d>
                </m:e>
              </m:d>
            </m:e>
          </m:nary>
        </m:oMath>
      </m:oMathPara>
    </w:p>
    <w:p w14:paraId="1933B8C5" w14:textId="77777777" w:rsidR="00C8271E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is the zero-indexed month of observation </w:t>
      </w:r>
      <m:oMath>
        <m:r>
          <w:rPr>
            <w:rFonts w:ascii="Cambria Math" w:hAnsi="Cambria Math"/>
          </w:rPr>
          <m:t>t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is the year index,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harmonics, and the Fourier coefficients evolve as independent Gaussian random walks across years:</w:t>
      </w:r>
    </w:p>
    <w:p w14:paraId="704415FC" w14:textId="77777777" w:rsidR="00C8271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0A552DC2" w14:textId="77777777" w:rsidR="00F23301" w:rsidRDefault="00F23301">
      <w:pPr>
        <w:rPr>
          <w:b/>
          <w:bCs/>
        </w:rPr>
      </w:pPr>
      <w:r>
        <w:rPr>
          <w:b/>
          <w:bCs/>
        </w:rPr>
        <w:br w:type="page"/>
      </w:r>
    </w:p>
    <w:p w14:paraId="7F0C5C21" w14:textId="544C3334" w:rsidR="00C8271E" w:rsidRDefault="00000000">
      <w:pPr>
        <w:pStyle w:val="FirstParagraph"/>
      </w:pPr>
      <w:r>
        <w:rPr>
          <w:b/>
          <w:bCs/>
        </w:rPr>
        <w:lastRenderedPageBreak/>
        <w:t>Priors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720"/>
        <w:gridCol w:w="3640"/>
      </w:tblGrid>
      <w:tr w:rsidR="00C8271E" w14:paraId="0F1C0BE8" w14:textId="77777777" w:rsidTr="00C82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0" w:type="dxa"/>
          </w:tcPr>
          <w:p w14:paraId="18375A4C" w14:textId="77777777" w:rsidR="00C8271E" w:rsidRDefault="00000000">
            <w:pPr>
              <w:pStyle w:val="Compact"/>
            </w:pPr>
            <w:r>
              <w:t>Parameter</w:t>
            </w:r>
          </w:p>
        </w:tc>
        <w:tc>
          <w:tcPr>
            <w:tcW w:w="3080" w:type="dxa"/>
          </w:tcPr>
          <w:p w14:paraId="1E8FD646" w14:textId="77777777" w:rsidR="00C8271E" w:rsidRDefault="00000000">
            <w:pPr>
              <w:pStyle w:val="Compact"/>
            </w:pPr>
            <w:r>
              <w:t>Prior</w:t>
            </w:r>
          </w:p>
        </w:tc>
      </w:tr>
      <w:tr w:rsidR="00C8271E" w14:paraId="39F3649A" w14:textId="77777777">
        <w:tc>
          <w:tcPr>
            <w:tcW w:w="4840" w:type="dxa"/>
          </w:tcPr>
          <w:p w14:paraId="420179E7" w14:textId="77777777" w:rsidR="00C8271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3080" w:type="dxa"/>
          </w:tcPr>
          <w:p w14:paraId="4DAE7CB7" w14:textId="77777777" w:rsidR="00C8271E" w:rsidRDefault="00000000">
            <w:pPr>
              <w:pStyle w:val="Compact"/>
            </w:pPr>
            <m:oMath>
              <m:r>
                <m:rPr>
                  <m:nor/>
                </m:rPr>
                <m:t>LogNormal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>0.0003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-ln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 0.5</m:t>
                  </m:r>
                </m:e>
              </m:d>
            </m:oMath>
            <w:r>
              <w:t xml:space="preserve"> for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r>
                <w:rPr>
                  <w:rFonts w:ascii="Cambria Math" w:hAnsi="Cambria Math"/>
                </w:rPr>
                <m:t>4</m:t>
              </m:r>
            </m:oMath>
          </w:p>
        </w:tc>
      </w:tr>
      <w:tr w:rsidR="00C8271E" w14:paraId="669058AD" w14:textId="77777777">
        <w:tc>
          <w:tcPr>
            <w:tcW w:w="4840" w:type="dxa"/>
          </w:tcPr>
          <w:p w14:paraId="496745E8" w14:textId="77777777" w:rsidR="00C8271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  <w:tc>
          <w:tcPr>
            <w:tcW w:w="3080" w:type="dxa"/>
          </w:tcPr>
          <w:p w14:paraId="19F1A695" w14:textId="77777777" w:rsidR="00C8271E" w:rsidRDefault="00000000">
            <w:pPr>
              <w:pStyle w:val="Compact"/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0.015</m:t>
                  </m:r>
                </m:e>
              </m:d>
            </m:oMath>
            <w:r>
              <w:t xml:space="preserve"> (GRW init)</w:t>
            </w:r>
          </w:p>
        </w:tc>
      </w:tr>
    </w:tbl>
    <w:p w14:paraId="4AA6C7AE" w14:textId="77777777" w:rsidR="00C8271E" w:rsidRDefault="00000000">
      <w:pPr>
        <w:pStyle w:val="BodyText"/>
      </w:pPr>
      <w:r>
        <w:t xml:space="preserve">The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k</m:t>
        </m:r>
      </m:oMath>
      <w:r>
        <w:t xml:space="preserve"> scaling in log-space shrinks innovation variance for higher harmonics.</w:t>
      </w:r>
    </w:p>
    <w:p w14:paraId="3CEF1CBF" w14:textId="77777777" w:rsidR="00F23301" w:rsidRDefault="00F23301">
      <w:pPr>
        <w:pStyle w:val="Heading3"/>
      </w:pPr>
      <w:bookmarkStart w:id="10" w:name="structural-birthdeath-component"/>
      <w:bookmarkEnd w:id="9"/>
    </w:p>
    <w:p w14:paraId="7B472816" w14:textId="00C9131E" w:rsidR="00C8271E" w:rsidRDefault="00000000">
      <w:pPr>
        <w:pStyle w:val="Heading3"/>
      </w:pPr>
      <w:r>
        <w:t>3.3 Structural birth/death component</w:t>
      </w:r>
    </w:p>
    <w:p w14:paraId="73D9D7F0" w14:textId="77777777" w:rsidR="00C8271E" w:rsidRDefault="00000000">
      <w:pPr>
        <w:pStyle w:val="FirstParagraph"/>
      </w:pPr>
      <w:r>
        <w:t>The net birth/death contribution captures establishment entry and exit not reflected in continuing-units data:</w:t>
      </w:r>
    </w:p>
    <w:p w14:paraId="073E0D73" w14:textId="77777777" w:rsidR="00C8271E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cycle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bd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cr m:val="script"/>
              <m:sty m:val="p"/>
            </m:rPr>
            <w:rPr>
              <w:rFonts w:ascii="Cambria Math" w:hAnsi="Cambria Math"/>
            </w:rPr>
            <m:t>∼N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7296A09C" w14:textId="77777777" w:rsidR="00C8271E" w:rsidRDefault="00000000">
      <w:pPr>
        <w:pStyle w:val="FirstParagraph"/>
      </w:pPr>
      <w:r>
        <w:t xml:space="preserve">where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cycle</m:t>
            </m:r>
          </m:sup>
        </m:sSubSup>
      </m:oMath>
      <w:r>
        <w:t xml:space="preserve"> is a vector of centered cyclical indicators (claims, JOLTS). When an indicator is unavailable (e.g., during real-time censoring), its centered value is set to zero and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collapses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bd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.</w:t>
      </w:r>
    </w:p>
    <w:p w14:paraId="179C647B" w14:textId="77777777" w:rsidR="00C8271E" w:rsidRDefault="00000000">
      <w:pPr>
        <w:pStyle w:val="BodyText"/>
      </w:pPr>
      <w:r>
        <w:rPr>
          <w:b/>
          <w:bCs/>
        </w:rPr>
        <w:t>Priors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6"/>
        <w:gridCol w:w="3067"/>
      </w:tblGrid>
      <w:tr w:rsidR="00C8271E" w14:paraId="67900320" w14:textId="77777777" w:rsidTr="00C82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C7740F" w14:textId="77777777" w:rsidR="00C8271E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2FBC5830" w14:textId="77777777" w:rsidR="00C8271E" w:rsidRDefault="00000000">
            <w:pPr>
              <w:pStyle w:val="Compact"/>
            </w:pPr>
            <w:r>
              <w:t>Prior</w:t>
            </w:r>
          </w:p>
        </w:tc>
      </w:tr>
      <w:tr w:rsidR="00C8271E" w14:paraId="5F792394" w14:textId="77777777">
        <w:tc>
          <w:tcPr>
            <w:tcW w:w="0" w:type="auto"/>
          </w:tcPr>
          <w:p w14:paraId="1AD4CCBA" w14:textId="77777777" w:rsidR="00C8271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0BEB6D6" w14:textId="77777777" w:rsidR="00C8271E" w:rsidRDefault="00000000">
            <w:pPr>
              <w:pStyle w:val="Compact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0.001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0.002</m:t>
                    </m:r>
                  </m:e>
                </m:d>
              </m:oMath>
            </m:oMathPara>
          </w:p>
        </w:tc>
      </w:tr>
      <w:tr w:rsidR="00C8271E" w14:paraId="1D4689DF" w14:textId="77777777">
        <w:tc>
          <w:tcPr>
            <w:tcW w:w="0" w:type="auto"/>
          </w:tcPr>
          <w:p w14:paraId="4556DDED" w14:textId="77777777" w:rsidR="00C8271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08C9BEC" w14:textId="77777777" w:rsidR="00C8271E" w:rsidRDefault="00000000">
            <w:pPr>
              <w:pStyle w:val="Compact"/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0.3</m:t>
                  </m:r>
                </m:e>
              </m:d>
            </m:oMath>
            <w:r>
              <w:t xml:space="preserve">, shape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cyclical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</m:d>
            </m:oMath>
          </w:p>
        </w:tc>
      </w:tr>
      <w:tr w:rsidR="00C8271E" w14:paraId="61F77D64" w14:textId="77777777">
        <w:tc>
          <w:tcPr>
            <w:tcW w:w="0" w:type="auto"/>
          </w:tcPr>
          <w:p w14:paraId="36240163" w14:textId="77777777" w:rsidR="00C8271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bd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E55F07C" w14:textId="77777777" w:rsidR="00C8271E" w:rsidRDefault="00000000">
            <w:pPr>
              <w:pStyle w:val="Compact"/>
            </w:pPr>
            <m:oMathPara>
              <m:oMath>
                <m:r>
                  <m:rPr>
                    <m:nor/>
                  </m:rPr>
                  <m:t>LogNormal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>0.003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0.5</m:t>
                    </m:r>
                  </m:e>
                </m:d>
              </m:oMath>
            </m:oMathPara>
          </w:p>
        </w:tc>
      </w:tr>
    </w:tbl>
    <w:p w14:paraId="644C01CA" w14:textId="77777777" w:rsidR="00F23301" w:rsidRDefault="00F23301">
      <w:pPr>
        <w:pStyle w:val="Heading3"/>
      </w:pPr>
      <w:bookmarkStart w:id="11" w:name="composite-growth-signals"/>
      <w:bookmarkEnd w:id="10"/>
    </w:p>
    <w:p w14:paraId="6E9255F1" w14:textId="3C2EA3BB" w:rsidR="00C8271E" w:rsidRDefault="00000000">
      <w:pPr>
        <w:pStyle w:val="Heading3"/>
      </w:pPr>
      <w:r>
        <w:t>3.4 Composite growth signals</w:t>
      </w:r>
    </w:p>
    <w:p w14:paraId="7EF7FEF9" w14:textId="77777777" w:rsidR="00C8271E" w:rsidRDefault="00000000">
      <w:pPr>
        <w:pStyle w:val="FirstParagraph"/>
      </w:pPr>
      <w:r>
        <w:t>The model constructs three composite growth signals from the latent components: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00"/>
        <w:gridCol w:w="2770"/>
        <w:gridCol w:w="2990"/>
      </w:tblGrid>
      <w:tr w:rsidR="00C8271E" w14:paraId="6313E143" w14:textId="77777777" w:rsidTr="00F23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AFDA367" w14:textId="77777777" w:rsidR="00C8271E" w:rsidRDefault="00000000">
            <w:pPr>
              <w:pStyle w:val="Compact"/>
            </w:pPr>
            <w:r>
              <w:t>Signal</w:t>
            </w:r>
          </w:p>
        </w:tc>
        <w:tc>
          <w:tcPr>
            <w:tcW w:w="2770" w:type="dxa"/>
          </w:tcPr>
          <w:p w14:paraId="3F724D28" w14:textId="77777777" w:rsidR="00C8271E" w:rsidRDefault="00000000">
            <w:pPr>
              <w:pStyle w:val="Compact"/>
            </w:pPr>
            <w:r>
              <w:t>Definition</w:t>
            </w:r>
          </w:p>
        </w:tc>
        <w:tc>
          <w:tcPr>
            <w:tcW w:w="2990" w:type="dxa"/>
          </w:tcPr>
          <w:p w14:paraId="1F06CDDA" w14:textId="77777777" w:rsidR="00C8271E" w:rsidRDefault="00000000">
            <w:pPr>
              <w:pStyle w:val="Compact"/>
            </w:pPr>
            <w:r>
              <w:t>Used by</w:t>
            </w:r>
          </w:p>
        </w:tc>
      </w:tr>
      <w:tr w:rsidR="00C8271E" w14:paraId="3B39455A" w14:textId="77777777" w:rsidTr="00F23301">
        <w:tc>
          <w:tcPr>
            <w:tcW w:w="3600" w:type="dxa"/>
          </w:tcPr>
          <w:p w14:paraId="0CB5A29B" w14:textId="77777777" w:rsidR="00C8271E" w:rsidRDefault="00000000">
            <w:pPr>
              <w:pStyle w:val="Compac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cont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NSA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cont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770" w:type="dxa"/>
          </w:tcPr>
          <w:p w14:paraId="2F2BD0ED" w14:textId="77777777" w:rsidR="00C8271E" w:rsidRDefault="00000000">
            <w:pPr>
              <w:pStyle w:val="Compact"/>
            </w:pPr>
            <w:r>
              <w:t>Continuing-units growth, NSA</w:t>
            </w:r>
          </w:p>
        </w:tc>
        <w:tc>
          <w:tcPr>
            <w:tcW w:w="2990" w:type="dxa"/>
          </w:tcPr>
          <w:p w14:paraId="3EFAEBEA" w14:textId="77777777" w:rsidR="00C8271E" w:rsidRDefault="00000000">
            <w:pPr>
              <w:pStyle w:val="Compact"/>
            </w:pPr>
            <w:r>
              <w:t>Provider likelihoods</w:t>
            </w:r>
          </w:p>
        </w:tc>
      </w:tr>
      <w:tr w:rsidR="00C8271E" w14:paraId="78BD6DB7" w14:textId="77777777" w:rsidTr="00F23301">
        <w:tc>
          <w:tcPr>
            <w:tcW w:w="3600" w:type="dxa"/>
          </w:tcPr>
          <w:p w14:paraId="1F266344" w14:textId="77777777" w:rsidR="00C8271E" w:rsidRDefault="00000000">
            <w:pPr>
              <w:pStyle w:val="Compac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total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SA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cont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770" w:type="dxa"/>
          </w:tcPr>
          <w:p w14:paraId="1EBAEBD1" w14:textId="77777777" w:rsidR="00C8271E" w:rsidRDefault="00000000">
            <w:pPr>
              <w:pStyle w:val="Compact"/>
            </w:pPr>
            <w:r>
              <w:t>Total growth, SA</w:t>
            </w:r>
          </w:p>
        </w:tc>
        <w:tc>
          <w:tcPr>
            <w:tcW w:w="2990" w:type="dxa"/>
          </w:tcPr>
          <w:p w14:paraId="03F568AD" w14:textId="77777777" w:rsidR="00C8271E" w:rsidRDefault="00000000">
            <w:pPr>
              <w:pStyle w:val="Compact"/>
            </w:pPr>
            <w:r>
              <w:t>CES SA likelihood</w:t>
            </w:r>
          </w:p>
        </w:tc>
      </w:tr>
      <w:tr w:rsidR="00C8271E" w14:paraId="410C7207" w14:textId="77777777" w:rsidTr="00F23301">
        <w:tc>
          <w:tcPr>
            <w:tcW w:w="3600" w:type="dxa"/>
          </w:tcPr>
          <w:p w14:paraId="16270084" w14:textId="77777777" w:rsidR="00C8271E" w:rsidRDefault="00000000">
            <w:pPr>
              <w:pStyle w:val="Compac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total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NSA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cont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770" w:type="dxa"/>
          </w:tcPr>
          <w:p w14:paraId="714B852B" w14:textId="77777777" w:rsidR="00C8271E" w:rsidRDefault="00000000">
            <w:pPr>
              <w:pStyle w:val="Compact"/>
            </w:pPr>
            <w:r>
              <w:t>Total growth, NSA</w:t>
            </w:r>
          </w:p>
        </w:tc>
        <w:tc>
          <w:tcPr>
            <w:tcW w:w="2990" w:type="dxa"/>
          </w:tcPr>
          <w:p w14:paraId="7940ABD1" w14:textId="77777777" w:rsidR="00C8271E" w:rsidRDefault="00000000">
            <w:pPr>
              <w:pStyle w:val="Compact"/>
            </w:pPr>
            <w:r>
              <w:t>QCEW &amp; CES NSA likelihoods</w:t>
            </w:r>
          </w:p>
        </w:tc>
      </w:tr>
    </w:tbl>
    <w:p w14:paraId="0118CAF4" w14:textId="77777777" w:rsidR="00F23301" w:rsidRDefault="00F23301">
      <w:pPr>
        <w:pStyle w:val="Heading3"/>
      </w:pPr>
      <w:bookmarkStart w:id="12" w:name="qcew-likelihood"/>
      <w:bookmarkEnd w:id="11"/>
    </w:p>
    <w:p w14:paraId="2B710108" w14:textId="77777777" w:rsidR="00F23301" w:rsidRDefault="00F2330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57F4F30" w14:textId="2F2EA4B2" w:rsidR="00C8271E" w:rsidRDefault="00000000">
      <w:pPr>
        <w:pStyle w:val="Heading3"/>
      </w:pPr>
      <w:r>
        <w:lastRenderedPageBreak/>
        <w:t>3.5 QCEW likelihood</w:t>
      </w:r>
    </w:p>
    <w:p w14:paraId="500D9358" w14:textId="77777777" w:rsidR="00C8271E" w:rsidRDefault="00000000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QCEW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∼</m:t>
          </m:r>
          <m:r>
            <m:rPr>
              <m:nor/>
            </m:rPr>
            <m:t>Student-</m:t>
          </m:r>
          <m:r>
            <w:rPr>
              <w:rFonts w:ascii="Cambria Math" w:hAnsi="Cambria Math"/>
            </w:rPr>
            <m:t>t​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ν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total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NSA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QCEW</m:t>
                  </m:r>
                </m:sup>
              </m:sSubSup>
            </m:e>
          </m:d>
        </m:oMath>
      </m:oMathPara>
    </w:p>
    <w:p w14:paraId="33DA6592" w14:textId="77777777" w:rsidR="00C8271E" w:rsidRDefault="00000000">
      <w:pPr>
        <w:pStyle w:val="FirstParagraph"/>
      </w:pPr>
      <w:r>
        <w:t xml:space="preserve">with fixed degrees of freedom </w:t>
      </w:r>
      <m:oMath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, providing robustness to non-Gaussian error from NAICS reclassification and payroll-timing mismatches. The Student-t reduces per-observation precision by a factor of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ν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ν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0.75</m:t>
        </m:r>
      </m:oMath>
      <w:r>
        <w:t xml:space="preserve"> relative to a Normal.</w:t>
      </w:r>
    </w:p>
    <w:p w14:paraId="5C775A45" w14:textId="77777777" w:rsidR="00C8271E" w:rsidRDefault="00000000">
      <w:pPr>
        <w:pStyle w:val="BodyText"/>
      </w:pPr>
      <w:r>
        <w:rPr>
          <w:b/>
          <w:bCs/>
        </w:rPr>
        <w:t>Per-observation noise</w:t>
      </w:r>
      <w:r>
        <w:t>:</w:t>
      </w:r>
    </w:p>
    <w:p w14:paraId="69CEE6CD" w14:textId="77777777" w:rsidR="00C8271E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QCEW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tier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  <m:sup>
              <m:r>
                <w:rPr>
                  <w:rFonts w:ascii="Cambria Math" w:hAnsi="Cambria Math"/>
                </w:rPr>
                <m:t>base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rev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era</m:t>
              </m:r>
            </m:sup>
          </m:sSubSup>
        </m:oMath>
      </m:oMathPara>
    </w:p>
    <w:p w14:paraId="4179293A" w14:textId="77777777" w:rsidR="00C8271E" w:rsidRDefault="00000000">
      <w:pPr>
        <w:pStyle w:val="FirstParagraph"/>
      </w:pPr>
      <w:r>
        <w:t>where:</w:t>
      </w:r>
    </w:p>
    <w:p w14:paraId="602F7F58" w14:textId="77777777" w:rsidR="00C8271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Base sigma by tier</w:t>
      </w:r>
      <w:r>
        <w:t xml:space="preserve">: Two estimated parameters —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mid</m:t>
            </m:r>
          </m:sup>
        </m:sSup>
      </m:oMath>
      <w:r>
        <w:t xml:space="preserve"> for M2 months (Feb, May, Aug, Nov)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boundary</m:t>
            </m:r>
          </m:sup>
        </m:sSup>
      </m:oMath>
      <w:r>
        <w:t xml:space="preserve"> for M3+M1 months.</w:t>
      </w:r>
    </w:p>
    <w:p w14:paraId="193534AE" w14:textId="77777777" w:rsidR="00C8271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Revision multiplier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rev</m:t>
            </m:r>
          </m:sup>
        </m:sSubSup>
      </m:oMath>
      <w:r>
        <w:t>: Empirically calibrated per quarter × revision number (range 1.0–25.0; see revision schedule below).</w:t>
      </w:r>
    </w:p>
    <w:p w14:paraId="2932A54B" w14:textId="77777777" w:rsidR="00C8271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Era multiplier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era</m:t>
            </m:r>
          </m:sup>
        </m:sSubSup>
      </m:oMath>
      <w:r>
        <w:t>: Inflates boundary-month noise post-COVID (rev 0: ×5.0, rev 1: ×3.5, rev 2: ×2.0; M2 months are era-invariant).</w:t>
      </w:r>
    </w:p>
    <w:p w14:paraId="16FBFCEC" w14:textId="77777777" w:rsidR="00C8271E" w:rsidRDefault="00000000">
      <w:pPr>
        <w:pStyle w:val="FirstParagraph"/>
      </w:pPr>
      <w:r>
        <w:rPr>
          <w:b/>
          <w:bCs/>
        </w:rPr>
        <w:t>Priors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6"/>
        <w:gridCol w:w="2971"/>
      </w:tblGrid>
      <w:tr w:rsidR="00C8271E" w14:paraId="7621E5D1" w14:textId="77777777" w:rsidTr="00C82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22B8EF" w14:textId="77777777" w:rsidR="00C8271E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3B1D8270" w14:textId="77777777" w:rsidR="00C8271E" w:rsidRDefault="00000000">
            <w:pPr>
              <w:pStyle w:val="Compact"/>
            </w:pPr>
            <w:r>
              <w:t>Prior</w:t>
            </w:r>
          </w:p>
        </w:tc>
      </w:tr>
      <w:tr w:rsidR="00C8271E" w14:paraId="495BDB61" w14:textId="77777777">
        <w:tc>
          <w:tcPr>
            <w:tcW w:w="0" w:type="auto"/>
          </w:tcPr>
          <w:p w14:paraId="0D7A68AF" w14:textId="77777777" w:rsidR="00C8271E" w:rsidRDefault="00000000">
            <w:pPr>
              <w:pStyle w:val="Compac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mid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2C0EA850" w14:textId="77777777" w:rsidR="00C8271E" w:rsidRDefault="00000000">
            <w:pPr>
              <w:pStyle w:val="Compact"/>
            </w:pPr>
            <m:oMathPara>
              <m:oMath>
                <m:r>
                  <m:rPr>
                    <m:nor/>
                  </m:rPr>
                  <m:t>LogNormal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>0.0005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0.15</m:t>
                    </m:r>
                  </m:e>
                </m:d>
              </m:oMath>
            </m:oMathPara>
          </w:p>
        </w:tc>
      </w:tr>
      <w:tr w:rsidR="00C8271E" w14:paraId="7C7F5494" w14:textId="77777777">
        <w:tc>
          <w:tcPr>
            <w:tcW w:w="0" w:type="auto"/>
          </w:tcPr>
          <w:p w14:paraId="63FBFBAB" w14:textId="77777777" w:rsidR="00C8271E" w:rsidRDefault="00000000">
            <w:pPr>
              <w:pStyle w:val="Compac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boundary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54F2AA62" w14:textId="77777777" w:rsidR="00C8271E" w:rsidRDefault="00000000">
            <w:pPr>
              <w:pStyle w:val="Compact"/>
            </w:pPr>
            <m:oMathPara>
              <m:oMath>
                <m:r>
                  <m:rPr>
                    <m:nor/>
                  </m:rPr>
                  <m:t>LogNormal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>0.002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0.5</m:t>
                    </m:r>
                  </m:e>
                </m:d>
              </m:oMath>
            </m:oMathPara>
          </w:p>
        </w:tc>
      </w:tr>
    </w:tbl>
    <w:p w14:paraId="3BDCAFF2" w14:textId="77777777" w:rsidR="00C8271E" w:rsidRDefault="00000000">
      <w:pPr>
        <w:pStyle w:val="BodyText"/>
      </w:pPr>
      <w:r>
        <w:t>The tightened M2 prior (</w:t>
      </w:r>
      <m:oMath>
        <m:r>
          <m:rPr>
            <m:nor/>
          </m:rPr>
          <m:t>SD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0.15</m:t>
        </m:r>
      </m:oMath>
      <w:r>
        <w:t>) keeps the posterior near the 0.05%/month center and prevents QCEW precision from dominating all other sources.</w:t>
      </w:r>
    </w:p>
    <w:p w14:paraId="49A7327B" w14:textId="77777777" w:rsidR="00F23301" w:rsidRDefault="00F23301">
      <w:pPr>
        <w:pStyle w:val="Heading3"/>
      </w:pPr>
      <w:bookmarkStart w:id="13" w:name="ces-likelihood"/>
      <w:bookmarkEnd w:id="12"/>
    </w:p>
    <w:p w14:paraId="1C56AC43" w14:textId="29415002" w:rsidR="00C8271E" w:rsidRDefault="00000000">
      <w:pPr>
        <w:pStyle w:val="Heading3"/>
      </w:pPr>
      <w:r>
        <w:t>3.6 CES likelihood</w:t>
      </w:r>
    </w:p>
    <w:p w14:paraId="441B358B" w14:textId="77777777" w:rsidR="00C8271E" w:rsidRDefault="00000000">
      <w:pPr>
        <w:pStyle w:val="FirstParagraph"/>
      </w:pPr>
      <w:r>
        <w:t>One observation per month per SA/NSA series (best-available print). The two series share bias and loading but have separate, vintage-indexed observation noise:</w:t>
      </w:r>
    </w:p>
    <w:p w14:paraId="62E1FFF8" w14:textId="77777777" w:rsidR="00C8271E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CES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SA</m:t>
              </m:r>
            </m:sup>
          </m:sSubSup>
          <m:r>
            <m:rPr>
              <m:scr m:val="script"/>
              <m:sty m:val="p"/>
            </m:rPr>
            <w:rPr>
              <w:rFonts w:ascii="Cambria Math" w:hAnsi="Cambria Math"/>
            </w:rPr>
            <m:t>∼N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CES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CES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total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SA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CES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</w:rPr>
                    <m:t>SA</m:t>
                  </m:r>
                </m:sup>
              </m:sSubSup>
            </m:e>
          </m:d>
        </m:oMath>
      </m:oMathPara>
    </w:p>
    <w:p w14:paraId="1325AB35" w14:textId="77777777" w:rsidR="00C8271E" w:rsidRDefault="00000000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CES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NSA</m:t>
              </m:r>
            </m:sup>
          </m:sSubSup>
          <m:r>
            <m:rPr>
              <m:scr m:val="script"/>
              <m:sty m:val="p"/>
            </m:rPr>
            <w:rPr>
              <w:rFonts w:ascii="Cambria Math" w:hAnsi="Cambria Math"/>
            </w:rPr>
            <m:t>∼N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CES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CES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total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NSA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CES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</w:rPr>
                    <m:t>NSA</m:t>
                  </m:r>
                </m:sup>
              </m:sSubSup>
            </m:e>
          </m:d>
        </m:oMath>
      </m:oMathPara>
    </w:p>
    <w:p w14:paraId="2725C920" w14:textId="77777777" w:rsidR="00C8271E" w:rsidRDefault="00000000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is the revision number of the best-available print for month </w:t>
      </w:r>
      <m:oMath>
        <m:r>
          <w:rPr>
            <w:rFonts w:ascii="Cambria Math" w:hAnsi="Cambria Math"/>
          </w:rPr>
          <m:t>t</m:t>
        </m:r>
      </m:oMath>
      <w:r>
        <w:t xml:space="preserve"> (first print, second estimate, or third estimate). Each SA/NSA series has its own sigma vector of shape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vintages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</m:e>
        </m:d>
      </m:oMath>
      <w:r>
        <w:t>, allowing the model to assign higher noise to earlier prints. In the full (non-backtest) panel, most months have rev 2 available; only the most recent 1–2 months use rev 0 or rev 1.</w:t>
      </w:r>
    </w:p>
    <w:p w14:paraId="6FA1A54B" w14:textId="77777777" w:rsidR="00C8271E" w:rsidRDefault="00000000">
      <w:pPr>
        <w:pStyle w:val="BodyText"/>
      </w:pPr>
      <w:r>
        <w:rPr>
          <w:b/>
          <w:bCs/>
        </w:rPr>
        <w:lastRenderedPageBreak/>
        <w:t>Priors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720"/>
        <w:gridCol w:w="3640"/>
      </w:tblGrid>
      <w:tr w:rsidR="00C8271E" w14:paraId="0208C9CF" w14:textId="77777777" w:rsidTr="00C82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0" w:type="dxa"/>
          </w:tcPr>
          <w:p w14:paraId="274F11D4" w14:textId="77777777" w:rsidR="00C8271E" w:rsidRDefault="00000000">
            <w:pPr>
              <w:pStyle w:val="Compact"/>
            </w:pPr>
            <w:r>
              <w:t>Parameter</w:t>
            </w:r>
          </w:p>
        </w:tc>
        <w:tc>
          <w:tcPr>
            <w:tcW w:w="3080" w:type="dxa"/>
          </w:tcPr>
          <w:p w14:paraId="1F6BB4EE" w14:textId="77777777" w:rsidR="00C8271E" w:rsidRDefault="00000000">
            <w:pPr>
              <w:pStyle w:val="Compact"/>
            </w:pPr>
            <w:r>
              <w:t>Prior</w:t>
            </w:r>
          </w:p>
        </w:tc>
      </w:tr>
      <w:tr w:rsidR="00C8271E" w14:paraId="2AF98195" w14:textId="77777777">
        <w:tc>
          <w:tcPr>
            <w:tcW w:w="4840" w:type="dxa"/>
          </w:tcPr>
          <w:p w14:paraId="2632B848" w14:textId="77777777" w:rsidR="00C8271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CES</m:t>
                    </m:r>
                  </m:sub>
                </m:sSub>
              </m:oMath>
            </m:oMathPara>
          </w:p>
        </w:tc>
        <w:tc>
          <w:tcPr>
            <w:tcW w:w="3080" w:type="dxa"/>
          </w:tcPr>
          <w:p w14:paraId="02D470D6" w14:textId="77777777" w:rsidR="00C8271E" w:rsidRDefault="00000000">
            <w:pPr>
              <w:pStyle w:val="Compact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0.005</m:t>
                    </m:r>
                  </m:e>
                </m:d>
              </m:oMath>
            </m:oMathPara>
          </w:p>
        </w:tc>
      </w:tr>
      <w:tr w:rsidR="00C8271E" w14:paraId="716A6F72" w14:textId="77777777">
        <w:tc>
          <w:tcPr>
            <w:tcW w:w="4840" w:type="dxa"/>
          </w:tcPr>
          <w:p w14:paraId="40ED01AE" w14:textId="77777777" w:rsidR="00C8271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CES</m:t>
                    </m:r>
                  </m:sub>
                </m:sSub>
              </m:oMath>
            </m:oMathPara>
          </w:p>
        </w:tc>
        <w:tc>
          <w:tcPr>
            <w:tcW w:w="3080" w:type="dxa"/>
          </w:tcPr>
          <w:p w14:paraId="5F6644CE" w14:textId="77777777" w:rsidR="00C8271E" w:rsidRDefault="00000000">
            <w:pPr>
              <w:pStyle w:val="Compact"/>
            </w:pPr>
            <m:oMathPara>
              <m:oMath>
                <m:r>
                  <m:rPr>
                    <m:nor/>
                  </m:rPr>
                  <m:t>TruncatedNormal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1.0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0.1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nor/>
                      </m:rPr>
                      <m:t>lower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0.5</m:t>
                    </m:r>
                  </m:e>
                </m:d>
              </m:oMath>
            </m:oMathPara>
          </w:p>
        </w:tc>
      </w:tr>
      <w:tr w:rsidR="00C8271E" w14:paraId="5AC9FA5A" w14:textId="77777777">
        <w:tc>
          <w:tcPr>
            <w:tcW w:w="4840" w:type="dxa"/>
          </w:tcPr>
          <w:p w14:paraId="1B4255BD" w14:textId="77777777" w:rsidR="00C8271E" w:rsidRDefault="00000000">
            <w:pPr>
              <w:pStyle w:val="Compac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CES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SA</m:t>
                    </m:r>
                  </m:sup>
                </m:sSubSup>
              </m:oMath>
            </m:oMathPara>
          </w:p>
        </w:tc>
        <w:tc>
          <w:tcPr>
            <w:tcW w:w="3080" w:type="dxa"/>
          </w:tcPr>
          <w:p w14:paraId="5ADFE7BC" w14:textId="77777777" w:rsidR="00C8271E" w:rsidRDefault="00000000">
            <w:pPr>
              <w:pStyle w:val="Compact"/>
            </w:pPr>
            <m:oMath>
              <m:r>
                <m:rPr>
                  <m:nor/>
                </m:rPr>
                <m:t>LogNormal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>0.002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0.5</m:t>
                  </m:r>
                </m:e>
              </m:d>
            </m:oMath>
            <w:r>
              <w:t xml:space="preserve">, shape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vintages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</m:d>
            </m:oMath>
          </w:p>
        </w:tc>
      </w:tr>
      <w:tr w:rsidR="00C8271E" w14:paraId="5A05D239" w14:textId="77777777">
        <w:tc>
          <w:tcPr>
            <w:tcW w:w="4840" w:type="dxa"/>
          </w:tcPr>
          <w:p w14:paraId="11962D7C" w14:textId="77777777" w:rsidR="00C8271E" w:rsidRDefault="00000000">
            <w:pPr>
              <w:pStyle w:val="Compac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CES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NSA</m:t>
                    </m:r>
                  </m:sup>
                </m:sSubSup>
              </m:oMath>
            </m:oMathPara>
          </w:p>
        </w:tc>
        <w:tc>
          <w:tcPr>
            <w:tcW w:w="3080" w:type="dxa"/>
          </w:tcPr>
          <w:p w14:paraId="495B98E8" w14:textId="77777777" w:rsidR="00C8271E" w:rsidRDefault="00000000">
            <w:pPr>
              <w:pStyle w:val="Compact"/>
            </w:pPr>
            <m:oMath>
              <m:r>
                <m:rPr>
                  <m:nor/>
                </m:rPr>
                <m:t>LogNormal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>0.002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0.5</m:t>
                  </m:r>
                </m:e>
              </m:d>
            </m:oMath>
            <w:r>
              <w:t xml:space="preserve">, shape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vintages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</m:d>
            </m:oMath>
          </w:p>
        </w:tc>
      </w:tr>
    </w:tbl>
    <w:p w14:paraId="2E98E6B8" w14:textId="77777777" w:rsidR="00F23301" w:rsidRDefault="00F23301">
      <w:pPr>
        <w:pStyle w:val="Heading3"/>
      </w:pPr>
      <w:bookmarkStart w:id="14" w:name="provider-likelihoods"/>
      <w:bookmarkEnd w:id="13"/>
    </w:p>
    <w:p w14:paraId="2C5EBBA9" w14:textId="2E488166" w:rsidR="00C8271E" w:rsidRDefault="00000000">
      <w:pPr>
        <w:pStyle w:val="Heading3"/>
      </w:pPr>
      <w:r>
        <w:t>3.7 Provider likelihoods</w:t>
      </w:r>
    </w:p>
    <w:p w14:paraId="49520BE6" w14:textId="77777777" w:rsidR="00C8271E" w:rsidRDefault="00000000">
      <w:pPr>
        <w:pStyle w:val="FirstParagraph"/>
      </w:pPr>
      <w:r>
        <w:t xml:space="preserve">For each provider </w:t>
      </w:r>
      <m:oMath>
        <m:r>
          <w:rPr>
            <w:rFonts w:ascii="Cambria Math" w:hAnsi="Cambria Math"/>
          </w:rPr>
          <m:t>p</m:t>
        </m:r>
      </m:oMath>
      <w:r>
        <w:t xml:space="preserve"> with observations:</w:t>
      </w:r>
    </w:p>
    <w:p w14:paraId="6B9F57A9" w14:textId="77777777" w:rsidR="00C8271E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cr m:val="script"/>
              <m:sty m:val="p"/>
            </m:rPr>
            <w:rPr>
              <w:rFonts w:ascii="Cambria Math" w:hAnsi="Cambria Math"/>
            </w:rPr>
            <m:t>∼N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</m:e>
          </m:d>
        </m:oMath>
      </m:oMathPara>
    </w:p>
    <w:p w14:paraId="5AF2D7D1" w14:textId="77777777" w:rsidR="00C8271E" w:rsidRDefault="00000000">
      <w:pPr>
        <w:pStyle w:val="FirstParagraph"/>
      </w:pPr>
      <w:r>
        <w:t>The signal mean depends on the error model:</w:t>
      </w:r>
    </w:p>
    <w:p w14:paraId="314E5CA5" w14:textId="77777777" w:rsidR="00C8271E" w:rsidRDefault="00000000">
      <w:pPr>
        <w:pStyle w:val="BodyText"/>
      </w:pPr>
      <w:r>
        <w:rPr>
          <w:b/>
          <w:bCs/>
        </w:rPr>
        <w:t>IID error model</w:t>
      </w:r>
      <w:r>
        <w:t>:</w:t>
      </w:r>
    </w:p>
    <w:p w14:paraId="2644F91D" w14:textId="77777777" w:rsidR="00C8271E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cont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NSA</m:t>
              </m:r>
            </m:sup>
          </m:sSubSup>
        </m:oMath>
      </m:oMathPara>
    </w:p>
    <w:p w14:paraId="3F1598D7" w14:textId="77777777" w:rsidR="00C8271E" w:rsidRDefault="00000000">
      <w:pPr>
        <w:pStyle w:val="FirstParagraph"/>
      </w:pPr>
      <w:r>
        <w:rPr>
          <w:b/>
          <w:bCs/>
        </w:rPr>
        <w:t>AR(1) error model</w:t>
      </w:r>
      <w:r>
        <w:t>:</w:t>
      </w:r>
    </w:p>
    <w:p w14:paraId="3A9538A3" w14:textId="77777777" w:rsidR="00C8271E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cont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NSA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</m:e>
          </m:d>
        </m:oMath>
      </m:oMathPara>
    </w:p>
    <w:p w14:paraId="09AA9877" w14:textId="77777777" w:rsidR="00C8271E" w:rsidRDefault="00000000">
      <w:pPr>
        <w:pStyle w:val="FirstParagraph"/>
      </w:pPr>
      <w:r>
        <w:t xml:space="preserve">with conditional variance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>
        <w:t xml:space="preserve">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thereafter.</w:t>
      </w:r>
    </w:p>
    <w:p w14:paraId="70A7B923" w14:textId="77777777" w:rsidR="00C8271E" w:rsidRDefault="00000000">
      <w:pPr>
        <w:pStyle w:val="BodyText"/>
      </w:pPr>
      <w:r>
        <w:t xml:space="preserve">Provider likelihoods load on continuing-units growth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cont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NSA</m:t>
            </m:r>
          </m:sup>
        </m:sSubSup>
      </m:oMath>
      <w:r>
        <w:t xml:space="preserve"> (not total growth), since providers do not observe net business birth/death.</w:t>
      </w:r>
    </w:p>
    <w:p w14:paraId="6D765E7C" w14:textId="77777777" w:rsidR="00C8271E" w:rsidRDefault="00000000">
      <w:pPr>
        <w:pStyle w:val="BodyText"/>
      </w:pPr>
      <w:r>
        <w:rPr>
          <w:b/>
          <w:bCs/>
        </w:rPr>
        <w:t>Priors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1"/>
        <w:gridCol w:w="2948"/>
      </w:tblGrid>
      <w:tr w:rsidR="00C8271E" w14:paraId="51C5C709" w14:textId="77777777" w:rsidTr="00C82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13B51A" w14:textId="77777777" w:rsidR="00C8271E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1C17A29B" w14:textId="77777777" w:rsidR="00C8271E" w:rsidRDefault="00000000">
            <w:pPr>
              <w:pStyle w:val="Compact"/>
            </w:pPr>
            <w:r>
              <w:t>Prior</w:t>
            </w:r>
          </w:p>
        </w:tc>
      </w:tr>
      <w:tr w:rsidR="00C8271E" w14:paraId="68CF087F" w14:textId="77777777">
        <w:tc>
          <w:tcPr>
            <w:tcW w:w="0" w:type="auto"/>
          </w:tcPr>
          <w:p w14:paraId="2B717CFC" w14:textId="77777777" w:rsidR="00C8271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BD4ABC9" w14:textId="77777777" w:rsidR="00C8271E" w:rsidRDefault="00000000">
            <w:pPr>
              <w:pStyle w:val="Compact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0.005</m:t>
                    </m:r>
                  </m:e>
                </m:d>
              </m:oMath>
            </m:oMathPara>
          </w:p>
        </w:tc>
      </w:tr>
      <w:tr w:rsidR="00C8271E" w14:paraId="03145955" w14:textId="77777777">
        <w:tc>
          <w:tcPr>
            <w:tcW w:w="0" w:type="auto"/>
          </w:tcPr>
          <w:p w14:paraId="6985DF1A" w14:textId="77777777" w:rsidR="00C8271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FCCE906" w14:textId="77777777" w:rsidR="00C8271E" w:rsidRDefault="00000000">
            <w:pPr>
              <w:pStyle w:val="Compact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1.0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0.15</m:t>
                    </m:r>
                  </m:e>
                </m:d>
              </m:oMath>
            </m:oMathPara>
          </w:p>
        </w:tc>
      </w:tr>
      <w:tr w:rsidR="00C8271E" w14:paraId="511D5412" w14:textId="77777777">
        <w:tc>
          <w:tcPr>
            <w:tcW w:w="0" w:type="auto"/>
          </w:tcPr>
          <w:p w14:paraId="3EB3D6AA" w14:textId="77777777" w:rsidR="00C8271E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43F07DD" w14:textId="77777777" w:rsidR="00C8271E" w:rsidRDefault="00000000">
            <w:pPr>
              <w:pStyle w:val="Compact"/>
            </w:pPr>
            <m:oMathPara>
              <m:oMath>
                <m:r>
                  <m:rPr>
                    <m:nor/>
                  </m:rPr>
                  <m:t>InverseGamma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3.0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0.004</m:t>
                    </m:r>
                  </m:e>
                </m:d>
              </m:oMath>
            </m:oMathPara>
          </w:p>
        </w:tc>
      </w:tr>
      <w:tr w:rsidR="00C8271E" w14:paraId="765D0BF6" w14:textId="77777777">
        <w:tc>
          <w:tcPr>
            <w:tcW w:w="0" w:type="auto"/>
          </w:tcPr>
          <w:p w14:paraId="6D2F0583" w14:textId="77777777" w:rsidR="00C8271E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>
              <w:t xml:space="preserve"> (AR1 only)</w:t>
            </w:r>
          </w:p>
        </w:tc>
        <w:tc>
          <w:tcPr>
            <w:tcW w:w="0" w:type="auto"/>
          </w:tcPr>
          <w:p w14:paraId="3FF35DAA" w14:textId="77777777" w:rsidR="00C8271E" w:rsidRDefault="00000000">
            <w:pPr>
              <w:pStyle w:val="Compact"/>
            </w:pPr>
            <m:oMathPara>
              <m:oMath>
                <m:r>
                  <m:rPr>
                    <m:nor/>
                  </m:rPr>
                  <m:t>Beta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d>
              </m:oMath>
            </m:oMathPara>
          </w:p>
        </w:tc>
      </w:tr>
    </w:tbl>
    <w:p w14:paraId="6AA0C7F6" w14:textId="097C30BC" w:rsidR="00C8271E" w:rsidRDefault="00C8271E"/>
    <w:p w14:paraId="35242247" w14:textId="77777777" w:rsidR="00C8271E" w:rsidRDefault="00000000">
      <w:pPr>
        <w:pStyle w:val="Heading2"/>
      </w:pPr>
      <w:bookmarkStart w:id="15" w:name="qcew-revision-noise-schedule"/>
      <w:bookmarkEnd w:id="7"/>
      <w:bookmarkEnd w:id="14"/>
      <w:r>
        <w:lastRenderedPageBreak/>
        <w:t>4. QCEW Revision Noise Schedule</w:t>
      </w:r>
    </w:p>
    <w:p w14:paraId="4643C593" w14:textId="77777777" w:rsidR="00C8271E" w:rsidRDefault="00000000">
      <w:pPr>
        <w:pStyle w:val="FirstParagraph"/>
      </w:pPr>
      <w:r>
        <w:t>Empirically calibrated from 2017+ data (excluding 2020–2021). Multipliers are applied to the base sigma for each observation.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8"/>
        <w:gridCol w:w="774"/>
        <w:gridCol w:w="774"/>
        <w:gridCol w:w="774"/>
        <w:gridCol w:w="774"/>
        <w:gridCol w:w="774"/>
      </w:tblGrid>
      <w:tr w:rsidR="00C8271E" w14:paraId="264A1CB1" w14:textId="77777777" w:rsidTr="00C82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FF72B1" w14:textId="77777777" w:rsidR="00C8271E" w:rsidRDefault="00000000">
            <w:pPr>
              <w:pStyle w:val="Compact"/>
            </w:pPr>
            <w:r>
              <w:t>Quarter</w:t>
            </w:r>
          </w:p>
        </w:tc>
        <w:tc>
          <w:tcPr>
            <w:tcW w:w="0" w:type="auto"/>
          </w:tcPr>
          <w:p w14:paraId="52DFC56B" w14:textId="77777777" w:rsidR="00C8271E" w:rsidRDefault="00000000">
            <w:pPr>
              <w:pStyle w:val="Compact"/>
            </w:pPr>
            <w:r>
              <w:t>Rev 0</w:t>
            </w:r>
          </w:p>
        </w:tc>
        <w:tc>
          <w:tcPr>
            <w:tcW w:w="0" w:type="auto"/>
          </w:tcPr>
          <w:p w14:paraId="6DA580E5" w14:textId="77777777" w:rsidR="00C8271E" w:rsidRDefault="00000000">
            <w:pPr>
              <w:pStyle w:val="Compact"/>
            </w:pPr>
            <w:r>
              <w:t>Rev 1</w:t>
            </w:r>
          </w:p>
        </w:tc>
        <w:tc>
          <w:tcPr>
            <w:tcW w:w="0" w:type="auto"/>
          </w:tcPr>
          <w:p w14:paraId="014EC808" w14:textId="77777777" w:rsidR="00C8271E" w:rsidRDefault="00000000">
            <w:pPr>
              <w:pStyle w:val="Compact"/>
            </w:pPr>
            <w:r>
              <w:t>Rev 2</w:t>
            </w:r>
          </w:p>
        </w:tc>
        <w:tc>
          <w:tcPr>
            <w:tcW w:w="0" w:type="auto"/>
          </w:tcPr>
          <w:p w14:paraId="465C9187" w14:textId="77777777" w:rsidR="00C8271E" w:rsidRDefault="00000000">
            <w:pPr>
              <w:pStyle w:val="Compact"/>
            </w:pPr>
            <w:r>
              <w:t>Rev 3</w:t>
            </w:r>
          </w:p>
        </w:tc>
        <w:tc>
          <w:tcPr>
            <w:tcW w:w="0" w:type="auto"/>
          </w:tcPr>
          <w:p w14:paraId="6847D1D7" w14:textId="77777777" w:rsidR="00C8271E" w:rsidRDefault="00000000">
            <w:pPr>
              <w:pStyle w:val="Compact"/>
            </w:pPr>
            <w:r>
              <w:t>Rev 4</w:t>
            </w:r>
          </w:p>
        </w:tc>
      </w:tr>
      <w:tr w:rsidR="00C8271E" w14:paraId="679389B1" w14:textId="77777777">
        <w:tc>
          <w:tcPr>
            <w:tcW w:w="0" w:type="auto"/>
          </w:tcPr>
          <w:p w14:paraId="043B883F" w14:textId="77777777" w:rsidR="00C8271E" w:rsidRDefault="00000000">
            <w:pPr>
              <w:pStyle w:val="Compact"/>
            </w:pPr>
            <w:r>
              <w:t>Q1</w:t>
            </w:r>
          </w:p>
        </w:tc>
        <w:tc>
          <w:tcPr>
            <w:tcW w:w="0" w:type="auto"/>
          </w:tcPr>
          <w:p w14:paraId="7AE69979" w14:textId="77777777" w:rsidR="00C8271E" w:rsidRDefault="00000000">
            <w:pPr>
              <w:pStyle w:val="Compact"/>
            </w:pPr>
            <w:r>
              <w:t>25.0</w:t>
            </w:r>
          </w:p>
        </w:tc>
        <w:tc>
          <w:tcPr>
            <w:tcW w:w="0" w:type="auto"/>
          </w:tcPr>
          <w:p w14:paraId="7B9AA6D2" w14:textId="77777777" w:rsidR="00C8271E" w:rsidRDefault="00000000">
            <w:pPr>
              <w:pStyle w:val="Compact"/>
            </w:pPr>
            <w:r>
              <w:t>20.0</w:t>
            </w:r>
          </w:p>
        </w:tc>
        <w:tc>
          <w:tcPr>
            <w:tcW w:w="0" w:type="auto"/>
          </w:tcPr>
          <w:p w14:paraId="76FECDD5" w14:textId="77777777" w:rsidR="00C8271E" w:rsidRDefault="00000000">
            <w:pPr>
              <w:pStyle w:val="Compact"/>
            </w:pPr>
            <w:r>
              <w:t>15.0</w:t>
            </w:r>
          </w:p>
        </w:tc>
        <w:tc>
          <w:tcPr>
            <w:tcW w:w="0" w:type="auto"/>
          </w:tcPr>
          <w:p w14:paraId="282B54D9" w14:textId="77777777" w:rsidR="00C8271E" w:rsidRDefault="00000000">
            <w:pPr>
              <w:pStyle w:val="Compact"/>
            </w:pPr>
            <w:r>
              <w:t>5.0</w:t>
            </w:r>
          </w:p>
        </w:tc>
        <w:tc>
          <w:tcPr>
            <w:tcW w:w="0" w:type="auto"/>
          </w:tcPr>
          <w:p w14:paraId="2162D509" w14:textId="77777777" w:rsidR="00C8271E" w:rsidRDefault="00000000">
            <w:pPr>
              <w:pStyle w:val="Compact"/>
            </w:pPr>
            <w:r>
              <w:t>1.0</w:t>
            </w:r>
          </w:p>
        </w:tc>
      </w:tr>
      <w:tr w:rsidR="00C8271E" w14:paraId="2C3D1365" w14:textId="77777777">
        <w:tc>
          <w:tcPr>
            <w:tcW w:w="0" w:type="auto"/>
          </w:tcPr>
          <w:p w14:paraId="221639D2" w14:textId="77777777" w:rsidR="00C8271E" w:rsidRDefault="00000000">
            <w:pPr>
              <w:pStyle w:val="Compact"/>
            </w:pPr>
            <w:r>
              <w:t>Q2</w:t>
            </w:r>
          </w:p>
        </w:tc>
        <w:tc>
          <w:tcPr>
            <w:tcW w:w="0" w:type="auto"/>
          </w:tcPr>
          <w:p w14:paraId="49B5040E" w14:textId="77777777" w:rsidR="00C8271E" w:rsidRDefault="00000000">
            <w:pPr>
              <w:pStyle w:val="Compact"/>
            </w:pPr>
            <w:r>
              <w:t>17.0</w:t>
            </w:r>
          </w:p>
        </w:tc>
        <w:tc>
          <w:tcPr>
            <w:tcW w:w="0" w:type="auto"/>
          </w:tcPr>
          <w:p w14:paraId="406973F6" w14:textId="77777777" w:rsidR="00C8271E" w:rsidRDefault="00000000">
            <w:pPr>
              <w:pStyle w:val="Compact"/>
            </w:pPr>
            <w:r>
              <w:t>4.0</w:t>
            </w:r>
          </w:p>
        </w:tc>
        <w:tc>
          <w:tcPr>
            <w:tcW w:w="0" w:type="auto"/>
          </w:tcPr>
          <w:p w14:paraId="28928D45" w14:textId="77777777" w:rsidR="00C8271E" w:rsidRDefault="00000000">
            <w:pPr>
              <w:pStyle w:val="Compact"/>
            </w:pPr>
            <w:r>
              <w:t>1.2</w:t>
            </w:r>
          </w:p>
        </w:tc>
        <w:tc>
          <w:tcPr>
            <w:tcW w:w="0" w:type="auto"/>
          </w:tcPr>
          <w:p w14:paraId="19424EEF" w14:textId="77777777" w:rsidR="00C8271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1FDAE983" w14:textId="77777777" w:rsidR="00C8271E" w:rsidRDefault="00000000">
            <w:pPr>
              <w:pStyle w:val="Compact"/>
            </w:pPr>
            <w:r>
              <w:t>—</w:t>
            </w:r>
          </w:p>
        </w:tc>
      </w:tr>
      <w:tr w:rsidR="00C8271E" w14:paraId="284E3FE3" w14:textId="77777777">
        <w:tc>
          <w:tcPr>
            <w:tcW w:w="0" w:type="auto"/>
          </w:tcPr>
          <w:p w14:paraId="3E1DC423" w14:textId="77777777" w:rsidR="00C8271E" w:rsidRDefault="00000000">
            <w:pPr>
              <w:pStyle w:val="Compact"/>
            </w:pPr>
            <w:r>
              <w:t>Q3</w:t>
            </w:r>
          </w:p>
        </w:tc>
        <w:tc>
          <w:tcPr>
            <w:tcW w:w="0" w:type="auto"/>
          </w:tcPr>
          <w:p w14:paraId="16FA4045" w14:textId="77777777" w:rsidR="00C8271E" w:rsidRDefault="00000000">
            <w:pPr>
              <w:pStyle w:val="Compact"/>
            </w:pPr>
            <w:r>
              <w:t>17.0</w:t>
            </w:r>
          </w:p>
        </w:tc>
        <w:tc>
          <w:tcPr>
            <w:tcW w:w="0" w:type="auto"/>
          </w:tcPr>
          <w:p w14:paraId="19804A78" w14:textId="77777777" w:rsidR="00C8271E" w:rsidRDefault="00000000">
            <w:pPr>
              <w:pStyle w:val="Compact"/>
            </w:pPr>
            <w:r>
              <w:t>4.0</w:t>
            </w:r>
          </w:p>
        </w:tc>
        <w:tc>
          <w:tcPr>
            <w:tcW w:w="0" w:type="auto"/>
          </w:tcPr>
          <w:p w14:paraId="69B5A84C" w14:textId="77777777" w:rsidR="00C8271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7906491E" w14:textId="77777777" w:rsidR="00C8271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12FF81E" w14:textId="77777777" w:rsidR="00C8271E" w:rsidRDefault="00000000">
            <w:pPr>
              <w:pStyle w:val="Compact"/>
            </w:pPr>
            <w:r>
              <w:t>—</w:t>
            </w:r>
          </w:p>
        </w:tc>
      </w:tr>
      <w:tr w:rsidR="00C8271E" w14:paraId="415EDFF2" w14:textId="77777777">
        <w:tc>
          <w:tcPr>
            <w:tcW w:w="0" w:type="auto"/>
          </w:tcPr>
          <w:p w14:paraId="5CF5A8A7" w14:textId="77777777" w:rsidR="00C8271E" w:rsidRDefault="00000000">
            <w:pPr>
              <w:pStyle w:val="Compact"/>
            </w:pPr>
            <w:r>
              <w:t>Q4</w:t>
            </w:r>
          </w:p>
        </w:tc>
        <w:tc>
          <w:tcPr>
            <w:tcW w:w="0" w:type="auto"/>
          </w:tcPr>
          <w:p w14:paraId="5753F50E" w14:textId="77777777" w:rsidR="00C8271E" w:rsidRDefault="00000000">
            <w:pPr>
              <w:pStyle w:val="Compact"/>
            </w:pPr>
            <w:r>
              <w:t>17.0</w:t>
            </w:r>
          </w:p>
        </w:tc>
        <w:tc>
          <w:tcPr>
            <w:tcW w:w="0" w:type="auto"/>
          </w:tcPr>
          <w:p w14:paraId="4AED0F46" w14:textId="77777777" w:rsidR="00C8271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036FCD92" w14:textId="77777777" w:rsidR="00C8271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32E050C" w14:textId="77777777" w:rsidR="00C8271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784813D" w14:textId="77777777" w:rsidR="00C8271E" w:rsidRDefault="00000000">
            <w:pPr>
              <w:pStyle w:val="Compact"/>
            </w:pPr>
            <w:r>
              <w:t>—</w:t>
            </w:r>
          </w:p>
        </w:tc>
      </w:tr>
    </w:tbl>
    <w:p w14:paraId="6FC21822" w14:textId="77777777" w:rsidR="00C8271E" w:rsidRDefault="00000000">
      <w:pPr>
        <w:pStyle w:val="BodyText"/>
      </w:pPr>
      <w:r>
        <w:t>Q1 shows larger revision RMSE through rev 3 due to January reporting patterns. The asymmetric revision count arises from the annual QCEW file structure.</w:t>
      </w:r>
    </w:p>
    <w:p w14:paraId="0424CCA9" w14:textId="7C66547D" w:rsidR="00C8271E" w:rsidRDefault="00C8271E"/>
    <w:p w14:paraId="12CC3010" w14:textId="77777777" w:rsidR="00C8271E" w:rsidRDefault="00000000">
      <w:pPr>
        <w:pStyle w:val="Heading2"/>
      </w:pPr>
      <w:bookmarkStart w:id="16" w:name="inference"/>
      <w:bookmarkEnd w:id="15"/>
      <w:r>
        <w:t>5. Inference</w:t>
      </w:r>
    </w:p>
    <w:p w14:paraId="09518D6A" w14:textId="77777777" w:rsidR="00F23301" w:rsidRDefault="00F23301">
      <w:pPr>
        <w:pStyle w:val="Heading3"/>
      </w:pPr>
      <w:bookmarkStart w:id="17" w:name="sampler"/>
    </w:p>
    <w:p w14:paraId="3E5C7FEC" w14:textId="3AD7F151" w:rsidR="00C8271E" w:rsidRDefault="00000000">
      <w:pPr>
        <w:pStyle w:val="Heading3"/>
      </w:pPr>
      <w:r>
        <w:t>5.1 Sampler</w:t>
      </w:r>
    </w:p>
    <w:p w14:paraId="7DA45DB8" w14:textId="77777777" w:rsidR="00C8271E" w:rsidRDefault="00000000">
      <w:pPr>
        <w:pStyle w:val="FirstParagraph"/>
      </w:pPr>
      <w:r>
        <w:t xml:space="preserve">The preferred sampler is </w:t>
      </w:r>
      <w:r>
        <w:rPr>
          <w:b/>
          <w:bCs/>
        </w:rPr>
        <w:t>nutpie</w:t>
      </w:r>
      <w:r>
        <w:t xml:space="preserve"> (Rust/C++ NUTS implementation, performant on Apple Silicon). Falls back to PyMC’s built-in NUTS when nutpie is unavailable.</w:t>
      </w:r>
    </w:p>
    <w:p w14:paraId="6E37AFAB" w14:textId="77777777" w:rsidR="00F23301" w:rsidRDefault="00F23301">
      <w:pPr>
        <w:pStyle w:val="Heading3"/>
      </w:pPr>
      <w:bookmarkStart w:id="18" w:name="sampling-configuration"/>
      <w:bookmarkEnd w:id="17"/>
    </w:p>
    <w:p w14:paraId="25AC45A5" w14:textId="18AADEF2" w:rsidR="00C8271E" w:rsidRDefault="00000000">
      <w:pPr>
        <w:pStyle w:val="Heading3"/>
      </w:pPr>
      <w:r>
        <w:t>5.2 Sampling configuration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6"/>
        <w:gridCol w:w="1362"/>
        <w:gridCol w:w="1130"/>
      </w:tblGrid>
      <w:tr w:rsidR="00C8271E" w14:paraId="24B8BD2B" w14:textId="77777777" w:rsidTr="00C82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F890B3" w14:textId="77777777" w:rsidR="00C8271E" w:rsidRDefault="00000000">
            <w:pPr>
              <w:pStyle w:val="Compact"/>
            </w:pPr>
            <w:r>
              <w:t>Setting</w:t>
            </w:r>
          </w:p>
        </w:tc>
        <w:tc>
          <w:tcPr>
            <w:tcW w:w="0" w:type="auto"/>
          </w:tcPr>
          <w:p w14:paraId="46D400FD" w14:textId="77777777" w:rsidR="00C8271E" w:rsidRDefault="00000000">
            <w:pPr>
              <w:pStyle w:val="Compact"/>
            </w:pPr>
            <w:r>
              <w:t>Production</w:t>
            </w:r>
          </w:p>
        </w:tc>
        <w:tc>
          <w:tcPr>
            <w:tcW w:w="0" w:type="auto"/>
          </w:tcPr>
          <w:p w14:paraId="4E36BB35" w14:textId="77777777" w:rsidR="00C8271E" w:rsidRDefault="00000000">
            <w:pPr>
              <w:pStyle w:val="Compact"/>
            </w:pPr>
            <w:r>
              <w:t>Backtest</w:t>
            </w:r>
          </w:p>
        </w:tc>
      </w:tr>
      <w:tr w:rsidR="00C8271E" w14:paraId="0CC6626D" w14:textId="77777777">
        <w:tc>
          <w:tcPr>
            <w:tcW w:w="0" w:type="auto"/>
          </w:tcPr>
          <w:p w14:paraId="5E3DD716" w14:textId="77777777" w:rsidR="00C8271E" w:rsidRDefault="00000000">
            <w:pPr>
              <w:pStyle w:val="Compact"/>
            </w:pPr>
            <w:r>
              <w:t>Draws</w:t>
            </w:r>
          </w:p>
        </w:tc>
        <w:tc>
          <w:tcPr>
            <w:tcW w:w="0" w:type="auto"/>
          </w:tcPr>
          <w:p w14:paraId="0571573D" w14:textId="77777777" w:rsidR="00C8271E" w:rsidRDefault="00000000">
            <w:pPr>
              <w:pStyle w:val="Compact"/>
            </w:pPr>
            <w:r>
              <w:t>4,000</w:t>
            </w:r>
          </w:p>
        </w:tc>
        <w:tc>
          <w:tcPr>
            <w:tcW w:w="0" w:type="auto"/>
          </w:tcPr>
          <w:p w14:paraId="682C7661" w14:textId="77777777" w:rsidR="00C8271E" w:rsidRDefault="00000000">
            <w:pPr>
              <w:pStyle w:val="Compact"/>
            </w:pPr>
            <w:r>
              <w:t>2,000</w:t>
            </w:r>
          </w:p>
        </w:tc>
      </w:tr>
      <w:tr w:rsidR="00C8271E" w14:paraId="6474DB3A" w14:textId="77777777">
        <w:tc>
          <w:tcPr>
            <w:tcW w:w="0" w:type="auto"/>
          </w:tcPr>
          <w:p w14:paraId="31BA9463" w14:textId="77777777" w:rsidR="00C8271E" w:rsidRDefault="00000000">
            <w:pPr>
              <w:pStyle w:val="Compact"/>
            </w:pPr>
            <w:r>
              <w:t>Tune</w:t>
            </w:r>
          </w:p>
        </w:tc>
        <w:tc>
          <w:tcPr>
            <w:tcW w:w="0" w:type="auto"/>
          </w:tcPr>
          <w:p w14:paraId="5DDB7AEC" w14:textId="77777777" w:rsidR="00C8271E" w:rsidRDefault="00000000">
            <w:pPr>
              <w:pStyle w:val="Compact"/>
            </w:pPr>
            <w:r>
              <w:t>3,000</w:t>
            </w:r>
          </w:p>
        </w:tc>
        <w:tc>
          <w:tcPr>
            <w:tcW w:w="0" w:type="auto"/>
          </w:tcPr>
          <w:p w14:paraId="48078B39" w14:textId="77777777" w:rsidR="00C8271E" w:rsidRDefault="00000000">
            <w:pPr>
              <w:pStyle w:val="Compact"/>
            </w:pPr>
            <w:r>
              <w:t>2,000</w:t>
            </w:r>
          </w:p>
        </w:tc>
      </w:tr>
      <w:tr w:rsidR="00C8271E" w14:paraId="2312060A" w14:textId="77777777">
        <w:tc>
          <w:tcPr>
            <w:tcW w:w="0" w:type="auto"/>
          </w:tcPr>
          <w:p w14:paraId="720B31E2" w14:textId="77777777" w:rsidR="00C8271E" w:rsidRDefault="00000000">
            <w:pPr>
              <w:pStyle w:val="Compact"/>
            </w:pPr>
            <w:r>
              <w:t>Chains</w:t>
            </w:r>
          </w:p>
        </w:tc>
        <w:tc>
          <w:tcPr>
            <w:tcW w:w="0" w:type="auto"/>
          </w:tcPr>
          <w:p w14:paraId="3285A7EF" w14:textId="77777777" w:rsidR="00C8271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C8846D4" w14:textId="77777777" w:rsidR="00C8271E" w:rsidRDefault="00000000">
            <w:pPr>
              <w:pStyle w:val="Compact"/>
            </w:pPr>
            <w:r>
              <w:t>2</w:t>
            </w:r>
          </w:p>
        </w:tc>
      </w:tr>
      <w:tr w:rsidR="00C8271E" w14:paraId="3AF05BEA" w14:textId="77777777">
        <w:tc>
          <w:tcPr>
            <w:tcW w:w="0" w:type="auto"/>
          </w:tcPr>
          <w:p w14:paraId="057E6B01" w14:textId="77777777" w:rsidR="00C8271E" w:rsidRDefault="00000000">
            <w:pPr>
              <w:pStyle w:val="Compact"/>
            </w:pPr>
            <w:r>
              <w:t>Target accept</w:t>
            </w:r>
          </w:p>
        </w:tc>
        <w:tc>
          <w:tcPr>
            <w:tcW w:w="0" w:type="auto"/>
          </w:tcPr>
          <w:p w14:paraId="5DDBAFC5" w14:textId="77777777" w:rsidR="00C8271E" w:rsidRDefault="00000000">
            <w:pPr>
              <w:pStyle w:val="Compact"/>
            </w:pPr>
            <w:r>
              <w:t>0.95</w:t>
            </w:r>
          </w:p>
        </w:tc>
        <w:tc>
          <w:tcPr>
            <w:tcW w:w="0" w:type="auto"/>
          </w:tcPr>
          <w:p w14:paraId="4FF3116D" w14:textId="77777777" w:rsidR="00C8271E" w:rsidRDefault="00000000">
            <w:pPr>
              <w:pStyle w:val="Compact"/>
            </w:pPr>
            <w:r>
              <w:t>0.95</w:t>
            </w:r>
          </w:p>
        </w:tc>
      </w:tr>
    </w:tbl>
    <w:p w14:paraId="6B6AE1B5" w14:textId="77777777" w:rsidR="00F23301" w:rsidRDefault="00F23301">
      <w:pPr>
        <w:pStyle w:val="Heading3"/>
      </w:pPr>
      <w:bookmarkStart w:id="19" w:name="computational-diagnostics"/>
      <w:bookmarkEnd w:id="18"/>
    </w:p>
    <w:p w14:paraId="3202E744" w14:textId="695B3771" w:rsidR="00C8271E" w:rsidRDefault="00000000">
      <w:pPr>
        <w:pStyle w:val="Heading3"/>
      </w:pPr>
      <w:r>
        <w:t>5.3 Computational diagnostics</w:t>
      </w:r>
    </w:p>
    <w:p w14:paraId="346EEB94" w14:textId="77777777" w:rsidR="00C8271E" w:rsidRDefault="00000000">
      <w:pPr>
        <w:pStyle w:val="FirstParagraph"/>
      </w:pPr>
      <w:r>
        <w:t xml:space="preserve">Standard HMC diagnostics are applied: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1.01</m:t>
        </m:r>
      </m:oMath>
      <w:r>
        <w:t>, effective sample size, and divergent transition checks.</w:t>
      </w:r>
    </w:p>
    <w:p w14:paraId="1E50585F" w14:textId="7CC44873" w:rsidR="00C8271E" w:rsidRDefault="00C8271E"/>
    <w:p w14:paraId="0B5AF28E" w14:textId="77777777" w:rsidR="00C8271E" w:rsidRDefault="00000000">
      <w:pPr>
        <w:pStyle w:val="Heading2"/>
      </w:pPr>
      <w:bookmarkStart w:id="20" w:name="forecast"/>
      <w:bookmarkEnd w:id="16"/>
      <w:bookmarkEnd w:id="19"/>
      <w:r>
        <w:lastRenderedPageBreak/>
        <w:t>6. Forecast</w:t>
      </w:r>
    </w:p>
    <w:p w14:paraId="3B17F459" w14:textId="77777777" w:rsidR="00C8271E" w:rsidRDefault="00000000">
      <w:pPr>
        <w:pStyle w:val="FirstParagraph"/>
      </w:pPr>
      <w:r>
        <w:t>Forward simulation propagates the AR(1) latent growth, structural BD offset, and the most recent year’s Fourier seasonal coefficients:</w:t>
      </w:r>
    </w:p>
    <w:p w14:paraId="2105CE1B" w14:textId="77777777" w:rsidR="00C8271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AR(1) growth</w:t>
      </w:r>
      <w:r>
        <w:t xml:space="preserve">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</w:rPr>
              <m:t>cont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cont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E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, using the Post-COVID era mean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E</m:t>
            </m:r>
          </m:sub>
        </m:sSub>
      </m:oMath>
      <w:r>
        <w:t>.</w:t>
      </w:r>
    </w:p>
    <w:p w14:paraId="76C09821" w14:textId="77777777" w:rsidR="00C8271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Birth/death</w:t>
      </w:r>
      <w:r>
        <w:t xml:space="preserve">: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bd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(cyclical indicators not projected forward).</w:t>
      </w:r>
    </w:p>
    <w:p w14:paraId="55991E47" w14:textId="77777777" w:rsidR="00C8271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Seasonal</w:t>
      </w:r>
      <w:r>
        <w:t>: Evaluated at forecast months using the last estimated year’s Fourier coefficients.</w:t>
      </w:r>
    </w:p>
    <w:p w14:paraId="6E2B6008" w14:textId="77777777" w:rsidR="00C8271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Composite</w:t>
      </w:r>
      <w:r>
        <w:t xml:space="preserve">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</w:rPr>
              <m:t>SA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</w:rPr>
              <m:t>cont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;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</w:rPr>
              <m:t>NSA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</w:rPr>
              <m:t>cont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</m:sub>
        </m:sSub>
      </m:oMath>
      <w:r>
        <w:t>.</w:t>
      </w:r>
    </w:p>
    <w:p w14:paraId="111015BC" w14:textId="77777777" w:rsidR="00C8271E" w:rsidRDefault="00000000">
      <w:pPr>
        <w:pStyle w:val="FirstParagraph"/>
      </w:pPr>
      <w:r>
        <w:t>Index levels are reconstructed by exponentiating cumulated log-differences. Jobs-added estimates are obtained by scaling the index by the CES employment level at the base period.</w:t>
      </w:r>
    </w:p>
    <w:p w14:paraId="311E8652" w14:textId="111C6C86" w:rsidR="00C8271E" w:rsidRDefault="00C8271E"/>
    <w:p w14:paraId="7B13B407" w14:textId="77777777" w:rsidR="00C8271E" w:rsidRDefault="00000000">
      <w:pPr>
        <w:pStyle w:val="Heading2"/>
      </w:pPr>
      <w:bookmarkStart w:id="21" w:name="backtest"/>
      <w:bookmarkEnd w:id="20"/>
      <w:r>
        <w:t>7. Backtest</w:t>
      </w:r>
    </w:p>
    <w:p w14:paraId="3DEE723F" w14:textId="77777777" w:rsidR="00C8271E" w:rsidRDefault="00000000">
      <w:pPr>
        <w:pStyle w:val="FirstParagraph"/>
      </w:pPr>
      <w:r>
        <w:t xml:space="preserve">The nowcast backtest evaluates real-time predictive performance over a rolling window (default 24 months). For each target month </w:t>
      </w:r>
      <m:oMath>
        <m:r>
          <w:rPr>
            <w:rFonts w:ascii="Cambria Math" w:hAnsi="Cambria Math"/>
          </w:rPr>
          <m:t>T</m:t>
        </m:r>
      </m:oMath>
      <w:r>
        <w:t>:</w:t>
      </w:r>
    </w:p>
    <w:p w14:paraId="7FA19E8B" w14:textId="77777777" w:rsidR="00C8271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Panel construction</w:t>
      </w:r>
      <w:r>
        <w:t xml:space="preserve">: </w:t>
      </w:r>
      <w:r>
        <w:rPr>
          <w:rStyle w:val="VerbatimChar"/>
        </w:rPr>
        <w:t>build_panel(as_of_ref=T)</w:t>
      </w:r>
      <w:r>
        <w:t xml:space="preserve"> applies rank-based horizon censoring:</w:t>
      </w:r>
    </w:p>
    <w:p w14:paraId="764C3B85" w14:textId="77777777" w:rsidR="00C8271E" w:rsidRDefault="00000000">
      <w:pPr>
        <w:pStyle w:val="Compact"/>
        <w:numPr>
          <w:ilvl w:val="1"/>
          <w:numId w:val="8"/>
        </w:numPr>
      </w:pPr>
      <w:r>
        <w:t>CES: rank 1 → rev 0, rank 2 → rev 1, rank 3+ → rev 2 (benchmark-revised rows are never selected).</w:t>
      </w:r>
    </w:p>
    <w:p w14:paraId="65945546" w14:textId="77777777" w:rsidR="00C8271E" w:rsidRDefault="00000000">
      <w:pPr>
        <w:pStyle w:val="Compact"/>
        <w:numPr>
          <w:ilvl w:val="1"/>
          <w:numId w:val="8"/>
        </w:numPr>
      </w:pPr>
      <w:r>
        <w:t>QCEW: quarter-dependent maximum revision (</w:t>
      </w:r>
      <m:oMath>
        <m:r>
          <w:rPr>
            <w:rFonts w:ascii="Cambria Math" w:hAnsi="Cambria Math"/>
          </w:rPr>
          <m:t>Q1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Q2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Q3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Q4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1</m:t>
        </m:r>
      </m:oMath>
      <w:r>
        <w:t>).</w:t>
      </w:r>
    </w:p>
    <w:p w14:paraId="0698574B" w14:textId="77777777" w:rsidR="00C8271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Indicator censoring</w:t>
      </w:r>
      <w:r>
        <w:t xml:space="preserve">: Cyclical indicators are masked beyond their publication lags relative to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1D598B33" w14:textId="77777777" w:rsidR="00C8271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Provider censoring</w:t>
      </w:r>
      <w:r>
        <w:t xml:space="preserve">: Provider data with </w:t>
      </w:r>
      <w:r>
        <w:rPr>
          <w:rStyle w:val="VerbatimChar"/>
        </w:rPr>
        <w:t>ref_date + 3 weeks &gt; T</w:t>
      </w:r>
      <w:r>
        <w:t xml:space="preserve"> are excluded.</w:t>
      </w:r>
    </w:p>
    <w:p w14:paraId="0F3DEACA" w14:textId="77777777" w:rsidR="00C8271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Sampling</w:t>
      </w:r>
      <w:r>
        <w:t>: Light configuration (2 chains, 2,000 draws) for computational tractability.</w:t>
      </w:r>
    </w:p>
    <w:p w14:paraId="5564F0E4" w14:textId="77777777" w:rsidR="00C8271E" w:rsidRDefault="00000000">
      <w:pPr>
        <w:pStyle w:val="FirstParagraph"/>
      </w:pPr>
      <w:r>
        <w:t>Output: per-iteration InferenceData (NetCDF) and summary metrics (Parquet).</w:t>
      </w:r>
    </w:p>
    <w:p w14:paraId="1C7A4CCC" w14:textId="0A7C1731" w:rsidR="00C8271E" w:rsidRDefault="00C8271E"/>
    <w:p w14:paraId="1AE0EC27" w14:textId="77777777" w:rsidR="00C8271E" w:rsidRDefault="00000000">
      <w:pPr>
        <w:pStyle w:val="Heading2"/>
      </w:pPr>
      <w:bookmarkStart w:id="22" w:name="precision-budget"/>
      <w:bookmarkEnd w:id="21"/>
      <w:r>
        <w:t>8. Precision Budget</w:t>
      </w:r>
    </w:p>
    <w:p w14:paraId="41D056EE" w14:textId="77777777" w:rsidR="00C8271E" w:rsidRDefault="00000000">
      <w:pPr>
        <w:pStyle w:val="FirstParagraph"/>
      </w:pPr>
      <w:r>
        <w:t>The diagnostic precision budget quantifies each source’s information contribution:</w:t>
      </w:r>
    </w:p>
    <w:p w14:paraId="70A3BC3A" w14:textId="77777777" w:rsidR="00C8271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share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precision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precision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den>
          </m:f>
        </m:oMath>
      </m:oMathPara>
    </w:p>
    <w:p w14:paraId="5479001E" w14:textId="77777777" w:rsidR="00C8271E" w:rsidRDefault="00000000">
      <w:pPr>
        <w:pStyle w:val="FirstParagraph"/>
      </w:pPr>
      <w:r>
        <w:t>Fisher information formulas used: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90"/>
        <w:gridCol w:w="6370"/>
      </w:tblGrid>
      <w:tr w:rsidR="00C8271E" w14:paraId="76B52F8F" w14:textId="77777777" w:rsidTr="00C82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0" w:type="dxa"/>
          </w:tcPr>
          <w:p w14:paraId="41067343" w14:textId="77777777" w:rsidR="00C8271E" w:rsidRDefault="00000000">
            <w:pPr>
              <w:pStyle w:val="Compact"/>
            </w:pPr>
            <w:r>
              <w:lastRenderedPageBreak/>
              <w:t>Source</w:t>
            </w:r>
          </w:p>
        </w:tc>
        <w:tc>
          <w:tcPr>
            <w:tcW w:w="5390" w:type="dxa"/>
          </w:tcPr>
          <w:p w14:paraId="2F80AE8D" w14:textId="77777777" w:rsidR="00C8271E" w:rsidRDefault="00000000">
            <w:pPr>
              <w:pStyle w:val="Compact"/>
            </w:pPr>
            <w:r>
              <w:t>Precision formula</w:t>
            </w:r>
          </w:p>
        </w:tc>
      </w:tr>
      <w:tr w:rsidR="00C8271E" w14:paraId="24456CDC" w14:textId="77777777">
        <w:tc>
          <w:tcPr>
            <w:tcW w:w="2530" w:type="dxa"/>
          </w:tcPr>
          <w:p w14:paraId="1FEE8713" w14:textId="77777777" w:rsidR="00C8271E" w:rsidRDefault="00000000">
            <w:pPr>
              <w:pStyle w:val="Compact"/>
            </w:pPr>
            <w:r>
              <w:t>CES</w:t>
            </w:r>
          </w:p>
        </w:tc>
        <w:tc>
          <w:tcPr>
            <w:tcW w:w="5390" w:type="dxa"/>
          </w:tcPr>
          <w:p w14:paraId="1CC09CA0" w14:textId="77777777" w:rsidR="00C8271E" w:rsidRDefault="00000000">
            <w:pPr>
              <w:pStyle w:val="Compact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CES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CES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oMath>
            <w:r>
              <w:t xml:space="preserve"> per-obs (Normal)</w:t>
            </w:r>
          </w:p>
        </w:tc>
      </w:tr>
      <w:tr w:rsidR="00C8271E" w14:paraId="1B12CFB9" w14:textId="77777777">
        <w:tc>
          <w:tcPr>
            <w:tcW w:w="2530" w:type="dxa"/>
          </w:tcPr>
          <w:p w14:paraId="166DF962" w14:textId="77777777" w:rsidR="00C8271E" w:rsidRDefault="00000000">
            <w:pPr>
              <w:pStyle w:val="Compact"/>
            </w:pPr>
            <w:r>
              <w:t>QCEW</w:t>
            </w:r>
          </w:p>
        </w:tc>
        <w:tc>
          <w:tcPr>
            <w:tcW w:w="5390" w:type="dxa"/>
          </w:tcPr>
          <w:p w14:paraId="1404E6B1" w14:textId="77777777" w:rsidR="00C8271E" w:rsidRDefault="00000000">
            <w:pPr>
              <w:pStyle w:val="Compact"/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ν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ν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QCEW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>
              <w:t xml:space="preserve"> (Student-t)</w:t>
            </w:r>
          </w:p>
        </w:tc>
      </w:tr>
      <w:tr w:rsidR="00C8271E" w14:paraId="643CCFFA" w14:textId="77777777">
        <w:tc>
          <w:tcPr>
            <w:tcW w:w="2530" w:type="dxa"/>
          </w:tcPr>
          <w:p w14:paraId="3BB7A142" w14:textId="77777777" w:rsidR="00C8271E" w:rsidRDefault="00000000">
            <w:pPr>
              <w:pStyle w:val="Compact"/>
            </w:pPr>
            <w:r>
              <w:t>Provider</w:t>
            </w:r>
          </w:p>
        </w:tc>
        <w:tc>
          <w:tcPr>
            <w:tcW w:w="5390" w:type="dxa"/>
          </w:tcPr>
          <w:p w14:paraId="0EB22B89" w14:textId="77777777" w:rsidR="00C8271E" w:rsidRDefault="00000000">
            <w:pPr>
              <w:pStyle w:val="Compact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oMath>
            <w:r>
              <w:t xml:space="preserve"> (with AR1 adjustment where applicable)</w:t>
            </w:r>
          </w:p>
        </w:tc>
      </w:tr>
    </w:tbl>
    <w:p w14:paraId="0C03A648" w14:textId="77777777" w:rsidR="00C8271E" w:rsidRDefault="00000000">
      <w:pPr>
        <w:pStyle w:val="BodyText"/>
      </w:pPr>
      <w:r>
        <w:t xml:space="preserve">QCEW observations are split into M2 and M3+M1 tiers for reporting. Results are reported by era window using </w:t>
      </w:r>
      <w:r>
        <w:rPr>
          <w:rStyle w:val="VerbatimChar"/>
        </w:rPr>
        <w:t>ERA_BREAKS</w:t>
      </w:r>
      <w:r>
        <w:t>.</w:t>
      </w:r>
      <w:bookmarkEnd w:id="0"/>
      <w:bookmarkEnd w:id="22"/>
    </w:p>
    <w:sectPr w:rsidR="00C8271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28488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D1C1B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7F861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26192526">
    <w:abstractNumId w:val="0"/>
  </w:num>
  <w:num w:numId="2" w16cid:durableId="2248611">
    <w:abstractNumId w:val="1"/>
  </w:num>
  <w:num w:numId="3" w16cid:durableId="15885004">
    <w:abstractNumId w:val="1"/>
  </w:num>
  <w:num w:numId="4" w16cid:durableId="1362172566">
    <w:abstractNumId w:val="1"/>
  </w:num>
  <w:num w:numId="5" w16cid:durableId="1824618704">
    <w:abstractNumId w:val="1"/>
  </w:num>
  <w:num w:numId="6" w16cid:durableId="15542732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012250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47057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71E"/>
    <w:rsid w:val="007D138E"/>
    <w:rsid w:val="00C8271E"/>
    <w:rsid w:val="00F23301"/>
    <w:rsid w:val="00F4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4695"/>
  <w15:docId w15:val="{EF70B13E-2566-5242-AE06-E0AC8CEA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1611</Words>
  <Characters>10409</Characters>
  <Application>Microsoft Office Word</Application>
  <DocSecurity>0</DocSecurity>
  <Lines>358</Lines>
  <Paragraphs>286</Paragraphs>
  <ScaleCrop>false</ScaleCrop>
  <Company/>
  <LinksUpToDate>false</LinksUpToDate>
  <CharactersWithSpaces>11734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Lowell Mason</dc:creator>
  <cp:keywords/>
  <cp:lastModifiedBy>Lowell Mason</cp:lastModifiedBy>
  <cp:revision>3</cp:revision>
  <dcterms:created xsi:type="dcterms:W3CDTF">2026-03-06T12:13:00Z</dcterms:created>
  <dcterms:modified xsi:type="dcterms:W3CDTF">2026-03-06T12:21:00Z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