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FFDC" w14:textId="59674C77" w:rsidR="008965AB" w:rsidRDefault="00FA3AB5">
      <w:pPr>
        <w:pStyle w:val="Heading1"/>
      </w:pPr>
      <w:bookmarkStart w:id="0" w:name="X4ec9a1253d031707776f5afaf299b635a69f3b6"/>
      <w:r>
        <w:t xml:space="preserve">Alt-NFP </w:t>
      </w:r>
      <w:r w:rsidR="005F663F" w:rsidRPr="005F663F">
        <w:t>Bayesian State Space</w:t>
      </w:r>
      <w:r w:rsidR="005F663F">
        <w:t xml:space="preserve"> </w:t>
      </w:r>
      <w:r>
        <w:t>Forecasting Model: Methodology and Results</w:t>
      </w:r>
    </w:p>
    <w:p w14:paraId="45A22CAF" w14:textId="77777777" w:rsidR="00FA3AB5" w:rsidRPr="00FA3AB5" w:rsidRDefault="00FA3AB5" w:rsidP="00FA3AB5">
      <w:pPr>
        <w:pStyle w:val="BodyText"/>
      </w:pPr>
    </w:p>
    <w:p w14:paraId="3FA2FFDD" w14:textId="77777777" w:rsidR="008965AB" w:rsidRDefault="00000000">
      <w:pPr>
        <w:pStyle w:val="Heading2"/>
      </w:pPr>
      <w:bookmarkStart w:id="1" w:name="overview"/>
      <w:r>
        <w:t>1. Overview</w:t>
      </w:r>
    </w:p>
    <w:p w14:paraId="3FA2FFDE" w14:textId="65C929B3" w:rsidR="008965AB" w:rsidRDefault="00000000">
      <w:pPr>
        <w:pStyle w:val="FirstParagraph"/>
      </w:pPr>
      <w:r>
        <w:t xml:space="preserve">This document describes the methodology and empirical results for the QCEW-anchored Bayesian state space model. This is the </w:t>
      </w:r>
      <w:r w:rsidR="003D09FE" w:rsidRPr="003D09FE">
        <w:t>reference</w:t>
      </w:r>
      <w:r>
        <w:t xml:space="preserve"> specification against which all subsequent model variants should be evaluated. The </w:t>
      </w:r>
      <w:r w:rsidR="006F4A07">
        <w:t>specification</w:t>
      </w:r>
      <w:r>
        <w:t xml:space="preserve"> uses a </w:t>
      </w:r>
      <w:r w:rsidRPr="006F4A07">
        <w:t>fixed birth/death offset, Gaussian observation errors, the nutpie sampler (8k draws, 6k tune), and reports 0 divergences.</w:t>
      </w:r>
    </w:p>
    <w:p w14:paraId="3FA2FFDF" w14:textId="77777777" w:rsidR="008965AB" w:rsidRDefault="00000000">
      <w:pPr>
        <w:pStyle w:val="BodyText"/>
      </w:pPr>
      <w:r>
        <w:t>The model extracts a latent national employment growth signal from four data sources—monthly QCEW (truth anchor), CES (SA and NSA, noisy observations), and two payroll provider (PP) continuing-units series from independent providers—operating entirely in monthly log growth rates.</w:t>
      </w:r>
    </w:p>
    <w:p w14:paraId="3FA2FFE0" w14:textId="77777777" w:rsidR="008965AB" w:rsidRDefault="00000000">
      <w:pPr>
        <w:pStyle w:val="BodyText"/>
      </w:pPr>
      <w:r>
        <w:rPr>
          <w:b/>
          <w:bCs/>
        </w:rPr>
        <w:t>Core design principles:</w:t>
      </w:r>
    </w:p>
    <w:p w14:paraId="3FA2FFE1" w14:textId="4B8B3BA1" w:rsidR="008965AB" w:rsidRDefault="00000000">
      <w:pPr>
        <w:numPr>
          <w:ilvl w:val="0"/>
          <w:numId w:val="2"/>
        </w:numPr>
      </w:pPr>
      <w:r>
        <w:rPr>
          <w:b/>
          <w:bCs/>
        </w:rPr>
        <w:t>QCEW is truth.</w:t>
      </w:r>
      <w:r>
        <w:t xml:space="preserve"> The near-census Quarterly Census of Employment and Wages defines the measurement scale (</w:t>
      </w:r>
      <m:oMath>
        <m:r>
          <w:rPr>
            <w:rFonts w:ascii="Cambria Math" w:hAnsi="Cambria Math"/>
          </w:rPr>
          <m:t>α</m:t>
        </m:r>
        <m:r>
          <m:rPr>
            <m:sty m:val="p"/>
          </m:rPr>
          <w:rPr>
            <w:rFonts w:ascii="Cambria Math" w:hAnsi="Cambria Math"/>
          </w:rPr>
          <m:t>=</m:t>
        </m:r>
        <m:r>
          <w:rPr>
            <w:rFonts w:ascii="Cambria Math" w:hAnsi="Cambria Math"/>
          </w:rPr>
          <m:t>0</m:t>
        </m:r>
      </m:oMath>
      <w:r>
        <w:t xml:space="preserve">, </w:t>
      </w:r>
      <m:oMath>
        <m:r>
          <w:rPr>
            <w:rFonts w:ascii="Cambria Math" w:hAnsi="Cambria Math"/>
          </w:rPr>
          <m:t>λ</m:t>
        </m:r>
        <m:r>
          <m:rPr>
            <m:sty m:val="p"/>
          </m:rPr>
          <w:rPr>
            <w:rFonts w:ascii="Cambria Math" w:hAnsi="Cambria Math"/>
          </w:rPr>
          <m:t>=</m:t>
        </m:r>
        <m:r>
          <w:rPr>
            <w:rFonts w:ascii="Cambria Math" w:hAnsi="Cambria Math"/>
          </w:rPr>
          <m:t>1</m:t>
        </m:r>
      </m:oMath>
      <w:r>
        <w:t xml:space="preserve">, fixed </w:t>
      </w:r>
      <m:oMath>
        <m:r>
          <w:rPr>
            <w:rFonts w:ascii="Cambria Math" w:hAnsi="Cambria Math"/>
          </w:rPr>
          <m:t>σ</m:t>
        </m:r>
      </m:oMath>
      <w:r>
        <w:t>). This choice is motivated by planned extension</w:t>
      </w:r>
      <w:r w:rsidR="000E5020">
        <w:t xml:space="preserve">s to more granular </w:t>
      </w:r>
      <w:r>
        <w:t>estimation</w:t>
      </w:r>
      <w:r w:rsidR="00F0617C">
        <w:t xml:space="preserve"> </w:t>
      </w:r>
      <w:r w:rsidR="000E5020">
        <w:t>(state x supersector)</w:t>
      </w:r>
      <w:r>
        <w:t>, where CES precision degrades but QCEW coverage remains scale-invariant.</w:t>
      </w:r>
    </w:p>
    <w:p w14:paraId="3FA2FFE2" w14:textId="77777777" w:rsidR="008965AB" w:rsidRDefault="00000000">
      <w:pPr>
        <w:numPr>
          <w:ilvl w:val="0"/>
          <w:numId w:val="2"/>
        </w:numPr>
      </w:pPr>
      <w:r>
        <w:rPr>
          <w:b/>
          <w:bCs/>
        </w:rPr>
        <w:t>CES is a noisy observer.</w:t>
      </w:r>
      <w:r>
        <w:t xml:space="preserve"> CES measures total employment with estimated bias (</w:t>
      </w:r>
      <m:oMath>
        <m:sSub>
          <m:sSubPr>
            <m:ctrlPr>
              <w:rPr>
                <w:rFonts w:ascii="Cambria Math" w:hAnsi="Cambria Math"/>
              </w:rPr>
            </m:ctrlPr>
          </m:sSubPr>
          <m:e>
            <m:r>
              <w:rPr>
                <w:rFonts w:ascii="Cambria Math" w:hAnsi="Cambria Math"/>
              </w:rPr>
              <m:t>α</m:t>
            </m:r>
          </m:e>
          <m:sub>
            <m:r>
              <m:rPr>
                <m:nor/>
              </m:rPr>
              <m:t>CES</m:t>
            </m:r>
          </m:sub>
        </m:sSub>
      </m:oMath>
      <w:r>
        <w:t>), loading (</w:t>
      </w:r>
      <m:oMath>
        <m:sSub>
          <m:sSubPr>
            <m:ctrlPr>
              <w:rPr>
                <w:rFonts w:ascii="Cambria Math" w:hAnsi="Cambria Math"/>
              </w:rPr>
            </m:ctrlPr>
          </m:sSubPr>
          <m:e>
            <m:r>
              <w:rPr>
                <w:rFonts w:ascii="Cambria Math" w:hAnsi="Cambria Math"/>
              </w:rPr>
              <m:t>λ</m:t>
            </m:r>
          </m:e>
          <m:sub>
            <m:r>
              <m:rPr>
                <m:nor/>
              </m:rPr>
              <m:t>CES</m:t>
            </m:r>
          </m:sub>
        </m:sSub>
      </m:oMath>
      <w:r>
        <w:t>), and noise (</w:t>
      </w:r>
      <m:oMath>
        <m:sSub>
          <m:sSubPr>
            <m:ctrlPr>
              <w:rPr>
                <w:rFonts w:ascii="Cambria Math" w:hAnsi="Cambria Math"/>
              </w:rPr>
            </m:ctrlPr>
          </m:sSubPr>
          <m:e>
            <m:r>
              <w:rPr>
                <w:rFonts w:ascii="Cambria Math" w:hAnsi="Cambria Math"/>
              </w:rPr>
              <m:t>σ</m:t>
            </m:r>
          </m:e>
          <m:sub>
            <m:r>
              <m:rPr>
                <m:nor/>
              </m:rPr>
              <m:t>CES</m:t>
            </m:r>
          </m:sub>
        </m:sSub>
      </m:oMath>
      <w:r>
        <w:t>). The model learns how CES relates to truth rather than assuming it.</w:t>
      </w:r>
    </w:p>
    <w:p w14:paraId="3FA2FFE3" w14:textId="77777777" w:rsidR="008965AB" w:rsidRDefault="00000000">
      <w:pPr>
        <w:numPr>
          <w:ilvl w:val="0"/>
          <w:numId w:val="2"/>
        </w:numPr>
      </w:pPr>
      <w:r>
        <w:rPr>
          <w:b/>
          <w:bCs/>
        </w:rPr>
        <w:t>PP providers are independent.</w:t>
      </w:r>
      <w:r>
        <w:t xml:space="preserve"> PP1 and PP2 come from different payroll companies with independent measurement systems. No common factor is imposed across providers; cross-provider correlation is fully explained by the shared latent signal.</w:t>
      </w:r>
    </w:p>
    <w:p w14:paraId="3FA2FFE4" w14:textId="1B8896E3" w:rsidR="008965AB" w:rsidRDefault="00000000">
      <w:pPr>
        <w:numPr>
          <w:ilvl w:val="0"/>
          <w:numId w:val="2"/>
        </w:numPr>
      </w:pPr>
      <w:r>
        <w:rPr>
          <w:b/>
          <w:bCs/>
        </w:rPr>
        <w:t>PP1 has autocorrelated errors.</w:t>
      </w:r>
      <w:r>
        <w:t xml:space="preserve"> PP1’s clients </w:t>
      </w:r>
      <w:r w:rsidR="00A606C8">
        <w:t xml:space="preserve">are small and </w:t>
      </w:r>
      <w:r w:rsidR="00A86B13">
        <w:t>medium-sized</w:t>
      </w:r>
      <w:r w:rsidR="00A606C8">
        <w:t xml:space="preserve"> </w:t>
      </w:r>
      <w:proofErr w:type="gramStart"/>
      <w:r w:rsidR="00A606C8">
        <w:t>employers</w:t>
      </w:r>
      <w:proofErr w:type="gramEnd"/>
      <w:r w:rsidR="00A606C8">
        <w:t xml:space="preserve">. Importantly, in this </w:t>
      </w:r>
      <w:r w:rsidR="00EA4B87">
        <w:t>preliminary iteration, no efforts to harmonize the provider’s clients</w:t>
      </w:r>
      <w:r w:rsidR="00BB19EA">
        <w:t xml:space="preserve"> were undertaken. As opposed to </w:t>
      </w:r>
      <w:r w:rsidR="00E204B9">
        <w:t xml:space="preserve">PP2, </w:t>
      </w:r>
      <w:r w:rsidR="00EE75C7">
        <w:t xml:space="preserve">PP1’s clients contain instances where the client is </w:t>
      </w:r>
      <w:r w:rsidR="006B0D19">
        <w:t>paying their employees in</w:t>
      </w:r>
      <w:r w:rsidR="00EE75C7">
        <w:t xml:space="preserve"> multiple establishments</w:t>
      </w:r>
      <w:r w:rsidR="006B0D19">
        <w:t xml:space="preserve"> under a single account</w:t>
      </w:r>
      <w:r w:rsidR="00EE75C7">
        <w:t xml:space="preserve">. </w:t>
      </w:r>
      <w:r w:rsidR="006B0D19">
        <w:t xml:space="preserve">This </w:t>
      </w:r>
      <w:r>
        <w:t>create</w:t>
      </w:r>
      <w:r w:rsidR="00A86B13">
        <w:t>s</w:t>
      </w:r>
      <w:r>
        <w:t xml:space="preserve"> persistent measurement artifacts modeled as </w:t>
      </w:r>
      <w:proofErr w:type="gramStart"/>
      <w:r>
        <w:t>AR(</w:t>
      </w:r>
      <w:proofErr w:type="gramEnd"/>
      <w:r>
        <w:t>1) errors.</w:t>
      </w:r>
    </w:p>
    <w:p w14:paraId="3FA2FFE5" w14:textId="77777777" w:rsidR="008965AB" w:rsidRDefault="00000000">
      <w:pPr>
        <w:pStyle w:val="FirstParagraph"/>
      </w:pPr>
      <w:r>
        <w:t>The model is estimated on 119 months of data (February 2016 – December 2025). All indices are rebased to 100 at March 12, 2020.</w:t>
      </w:r>
    </w:p>
    <w:p w14:paraId="3FA2FFE7" w14:textId="17D39F85" w:rsidR="008965AB" w:rsidRDefault="008965AB"/>
    <w:p w14:paraId="3FA2FFE8" w14:textId="77777777" w:rsidR="008965AB" w:rsidRDefault="00000000">
      <w:pPr>
        <w:pStyle w:val="Heading2"/>
      </w:pPr>
      <w:bookmarkStart w:id="2" w:name="data-sources-and-transformation"/>
      <w:bookmarkEnd w:id="1"/>
      <w:r>
        <w:lastRenderedPageBreak/>
        <w:t>2. Data Sources and Transformation</w:t>
      </w:r>
    </w:p>
    <w:p w14:paraId="3FA2FFE9" w14:textId="77777777" w:rsidR="008965AB" w:rsidRDefault="00000000">
      <w:pPr>
        <w:pStyle w:val="Heading3"/>
      </w:pPr>
      <w:bookmarkStart w:id="3" w:name="data-sources"/>
      <w:r>
        <w:t>2.1 Data Sources</w:t>
      </w:r>
    </w:p>
    <w:tbl>
      <w:tblPr>
        <w:tblStyle w:val="Table"/>
        <w:tblW w:w="5000" w:type="pct"/>
        <w:tblLayout w:type="fixed"/>
        <w:tblLook w:val="0020" w:firstRow="1" w:lastRow="0" w:firstColumn="0" w:lastColumn="0" w:noHBand="0" w:noVBand="0"/>
      </w:tblPr>
      <w:tblGrid>
        <w:gridCol w:w="1164"/>
        <w:gridCol w:w="1935"/>
        <w:gridCol w:w="2374"/>
        <w:gridCol w:w="1321"/>
        <w:gridCol w:w="2566"/>
      </w:tblGrid>
      <w:tr w:rsidR="008965AB" w14:paraId="3FA2FFEF" w14:textId="77777777" w:rsidTr="006D1539">
        <w:trPr>
          <w:cnfStyle w:val="100000000000" w:firstRow="1" w:lastRow="0" w:firstColumn="0" w:lastColumn="0" w:oddVBand="0" w:evenVBand="0" w:oddHBand="0" w:evenHBand="0" w:firstRowFirstColumn="0" w:firstRowLastColumn="0" w:lastRowFirstColumn="0" w:lastRowLastColumn="0"/>
          <w:tblHeader/>
        </w:trPr>
        <w:tc>
          <w:tcPr>
            <w:tcW w:w="1188" w:type="dxa"/>
          </w:tcPr>
          <w:p w14:paraId="3FA2FFEA" w14:textId="77777777" w:rsidR="008965AB" w:rsidRDefault="00000000">
            <w:pPr>
              <w:pStyle w:val="Compact"/>
            </w:pPr>
            <w:r>
              <w:t>Source</w:t>
            </w:r>
          </w:p>
        </w:tc>
        <w:tc>
          <w:tcPr>
            <w:tcW w:w="1980" w:type="dxa"/>
          </w:tcPr>
          <w:p w14:paraId="3FA2FFEB" w14:textId="77777777" w:rsidR="008965AB" w:rsidRDefault="00000000">
            <w:pPr>
              <w:pStyle w:val="Compact"/>
            </w:pPr>
            <w:r>
              <w:t>Type</w:t>
            </w:r>
          </w:p>
        </w:tc>
        <w:tc>
          <w:tcPr>
            <w:tcW w:w="2430" w:type="dxa"/>
          </w:tcPr>
          <w:p w14:paraId="3FA2FFEC" w14:textId="77777777" w:rsidR="008965AB" w:rsidRDefault="00000000">
            <w:pPr>
              <w:pStyle w:val="Compact"/>
            </w:pPr>
            <w:r>
              <w:t>Coverage</w:t>
            </w:r>
          </w:p>
        </w:tc>
        <w:tc>
          <w:tcPr>
            <w:tcW w:w="1350" w:type="dxa"/>
          </w:tcPr>
          <w:p w14:paraId="3FA2FFED" w14:textId="77777777" w:rsidR="008965AB" w:rsidRDefault="00000000">
            <w:pPr>
              <w:pStyle w:val="Compact"/>
            </w:pPr>
            <w:r>
              <w:t>Frequency</w:t>
            </w:r>
          </w:p>
        </w:tc>
        <w:tc>
          <w:tcPr>
            <w:tcW w:w="2628" w:type="dxa"/>
          </w:tcPr>
          <w:p w14:paraId="3FA2FFEE" w14:textId="77777777" w:rsidR="008965AB" w:rsidRDefault="00000000">
            <w:pPr>
              <w:pStyle w:val="Compact"/>
            </w:pPr>
            <w:r>
              <w:t>Concept</w:t>
            </w:r>
          </w:p>
        </w:tc>
      </w:tr>
      <w:tr w:rsidR="008B3A6B" w14:paraId="7BC38F13" w14:textId="77777777" w:rsidTr="006D1539">
        <w:tc>
          <w:tcPr>
            <w:tcW w:w="1188" w:type="dxa"/>
          </w:tcPr>
          <w:p w14:paraId="6C3E168E" w14:textId="108A7FA2" w:rsidR="008B3A6B" w:rsidRDefault="008B3A6B" w:rsidP="008B3A6B">
            <w:pPr>
              <w:pStyle w:val="Compact"/>
            </w:pPr>
            <w:r>
              <w:t>QCEW</w:t>
            </w:r>
          </w:p>
        </w:tc>
        <w:tc>
          <w:tcPr>
            <w:tcW w:w="1980" w:type="dxa"/>
          </w:tcPr>
          <w:p w14:paraId="24F42858" w14:textId="2C4F3156" w:rsidR="008B3A6B" w:rsidRDefault="008B3A6B" w:rsidP="008B3A6B">
            <w:pPr>
              <w:pStyle w:val="Compact"/>
            </w:pPr>
            <w:r>
              <w:t>Administrative (UI tax records)</w:t>
            </w:r>
          </w:p>
        </w:tc>
        <w:tc>
          <w:tcPr>
            <w:tcW w:w="2430" w:type="dxa"/>
          </w:tcPr>
          <w:p w14:paraId="45BC7B08" w14:textId="75246EA8" w:rsidR="008B3A6B" w:rsidRDefault="008B3A6B" w:rsidP="008B3A6B">
            <w:pPr>
              <w:pStyle w:val="Compact"/>
            </w:pPr>
            <w:r>
              <w:t>Near-census (~10M establishments)</w:t>
            </w:r>
          </w:p>
        </w:tc>
        <w:tc>
          <w:tcPr>
            <w:tcW w:w="1350" w:type="dxa"/>
          </w:tcPr>
          <w:p w14:paraId="6AC8AB2F" w14:textId="11B608A3" w:rsidR="008B3A6B" w:rsidRDefault="008B3A6B" w:rsidP="008B3A6B">
            <w:pPr>
              <w:pStyle w:val="Compact"/>
            </w:pPr>
            <w:r>
              <w:t>Monthly</w:t>
            </w:r>
          </w:p>
        </w:tc>
        <w:tc>
          <w:tcPr>
            <w:tcW w:w="2628" w:type="dxa"/>
          </w:tcPr>
          <w:p w14:paraId="2F5C1CA4" w14:textId="0F761462" w:rsidR="008B3A6B" w:rsidRDefault="008B3A6B" w:rsidP="008B3A6B">
            <w:pPr>
              <w:pStyle w:val="Compact"/>
            </w:pPr>
            <w:r>
              <w:t>Total private employment (NSA)</w:t>
            </w:r>
          </w:p>
        </w:tc>
      </w:tr>
      <w:tr w:rsidR="008965AB" w14:paraId="3FA2FFF5" w14:textId="77777777" w:rsidTr="006D1539">
        <w:tc>
          <w:tcPr>
            <w:tcW w:w="1188" w:type="dxa"/>
          </w:tcPr>
          <w:p w14:paraId="3FA2FFF0" w14:textId="77777777" w:rsidR="008965AB" w:rsidRDefault="00000000">
            <w:pPr>
              <w:pStyle w:val="Compact"/>
            </w:pPr>
            <w:r>
              <w:t>CES SA</w:t>
            </w:r>
          </w:p>
        </w:tc>
        <w:tc>
          <w:tcPr>
            <w:tcW w:w="1980" w:type="dxa"/>
          </w:tcPr>
          <w:p w14:paraId="3FA2FFF1" w14:textId="77777777" w:rsidR="008965AB" w:rsidRDefault="00000000">
            <w:pPr>
              <w:pStyle w:val="Compact"/>
            </w:pPr>
            <w:r>
              <w:t>Survey</w:t>
            </w:r>
          </w:p>
        </w:tc>
        <w:tc>
          <w:tcPr>
            <w:tcW w:w="2430" w:type="dxa"/>
          </w:tcPr>
          <w:p w14:paraId="3FA2FFF2" w14:textId="77777777" w:rsidR="008965AB" w:rsidRDefault="00000000">
            <w:pPr>
              <w:pStyle w:val="Compact"/>
            </w:pPr>
            <w:r>
              <w:t>~145,000 establishments</w:t>
            </w:r>
          </w:p>
        </w:tc>
        <w:tc>
          <w:tcPr>
            <w:tcW w:w="1350" w:type="dxa"/>
          </w:tcPr>
          <w:p w14:paraId="3FA2FFF3" w14:textId="77777777" w:rsidR="008965AB" w:rsidRDefault="00000000">
            <w:pPr>
              <w:pStyle w:val="Compact"/>
            </w:pPr>
            <w:r>
              <w:t>Monthly</w:t>
            </w:r>
          </w:p>
        </w:tc>
        <w:tc>
          <w:tcPr>
            <w:tcW w:w="2628" w:type="dxa"/>
          </w:tcPr>
          <w:p w14:paraId="3FA2FFF4" w14:textId="77777777" w:rsidR="008965AB" w:rsidRDefault="00000000">
            <w:pPr>
              <w:pStyle w:val="Compact"/>
            </w:pPr>
            <w:r>
              <w:t>Total private employment (seasonally adjusted)</w:t>
            </w:r>
          </w:p>
        </w:tc>
      </w:tr>
      <w:tr w:rsidR="008965AB" w14:paraId="3FA2FFFB" w14:textId="77777777" w:rsidTr="006D1539">
        <w:tc>
          <w:tcPr>
            <w:tcW w:w="1188" w:type="dxa"/>
          </w:tcPr>
          <w:p w14:paraId="3FA2FFF6" w14:textId="77777777" w:rsidR="008965AB" w:rsidRDefault="00000000">
            <w:pPr>
              <w:pStyle w:val="Compact"/>
            </w:pPr>
            <w:r>
              <w:t>CES NSA</w:t>
            </w:r>
          </w:p>
        </w:tc>
        <w:tc>
          <w:tcPr>
            <w:tcW w:w="1980" w:type="dxa"/>
          </w:tcPr>
          <w:p w14:paraId="3FA2FFF7" w14:textId="77777777" w:rsidR="008965AB" w:rsidRDefault="00000000">
            <w:pPr>
              <w:pStyle w:val="Compact"/>
            </w:pPr>
            <w:r>
              <w:t>Survey</w:t>
            </w:r>
          </w:p>
        </w:tc>
        <w:tc>
          <w:tcPr>
            <w:tcW w:w="2430" w:type="dxa"/>
          </w:tcPr>
          <w:p w14:paraId="3FA2FFF8" w14:textId="77777777" w:rsidR="008965AB" w:rsidRDefault="00000000">
            <w:pPr>
              <w:pStyle w:val="Compact"/>
            </w:pPr>
            <w:r>
              <w:t>~145,000 establishments</w:t>
            </w:r>
          </w:p>
        </w:tc>
        <w:tc>
          <w:tcPr>
            <w:tcW w:w="1350" w:type="dxa"/>
          </w:tcPr>
          <w:p w14:paraId="3FA2FFF9" w14:textId="77777777" w:rsidR="008965AB" w:rsidRDefault="00000000">
            <w:pPr>
              <w:pStyle w:val="Compact"/>
            </w:pPr>
            <w:r>
              <w:t>Monthly</w:t>
            </w:r>
          </w:p>
        </w:tc>
        <w:tc>
          <w:tcPr>
            <w:tcW w:w="2628" w:type="dxa"/>
          </w:tcPr>
          <w:p w14:paraId="3FA2FFFA" w14:textId="77777777" w:rsidR="008965AB" w:rsidRDefault="00000000">
            <w:pPr>
              <w:pStyle w:val="Compact"/>
            </w:pPr>
            <w:r>
              <w:t>Total private employment (not seasonally adjusted)</w:t>
            </w:r>
          </w:p>
        </w:tc>
      </w:tr>
      <w:tr w:rsidR="008965AB" w14:paraId="3FA30007" w14:textId="77777777" w:rsidTr="006D1539">
        <w:tc>
          <w:tcPr>
            <w:tcW w:w="1188" w:type="dxa"/>
          </w:tcPr>
          <w:p w14:paraId="3FA30002" w14:textId="77777777" w:rsidR="008965AB" w:rsidRDefault="00000000">
            <w:pPr>
              <w:pStyle w:val="Compact"/>
            </w:pPr>
            <w:r>
              <w:t>PP1</w:t>
            </w:r>
          </w:p>
        </w:tc>
        <w:tc>
          <w:tcPr>
            <w:tcW w:w="1980" w:type="dxa"/>
          </w:tcPr>
          <w:p w14:paraId="3FA30003" w14:textId="2E845857" w:rsidR="008965AB" w:rsidRDefault="00000000">
            <w:pPr>
              <w:pStyle w:val="Compact"/>
            </w:pPr>
            <w:r>
              <w:t>Payroll</w:t>
            </w:r>
            <w:r w:rsidR="00CE7B13">
              <w:t xml:space="preserve"> provider 1</w:t>
            </w:r>
            <w:r>
              <w:t xml:space="preserve"> microdata</w:t>
            </w:r>
          </w:p>
        </w:tc>
        <w:tc>
          <w:tcPr>
            <w:tcW w:w="2430" w:type="dxa"/>
          </w:tcPr>
          <w:p w14:paraId="3FA30004" w14:textId="5815221D" w:rsidR="008965AB" w:rsidRDefault="004D553D">
            <w:pPr>
              <w:pStyle w:val="Compact"/>
            </w:pPr>
            <w:r>
              <w:t xml:space="preserve">Small to medium </w:t>
            </w:r>
            <w:r w:rsidR="006D1539">
              <w:t xml:space="preserve">single and </w:t>
            </w:r>
            <w:r>
              <w:t>multi-establishment firms</w:t>
            </w:r>
          </w:p>
        </w:tc>
        <w:tc>
          <w:tcPr>
            <w:tcW w:w="1350" w:type="dxa"/>
          </w:tcPr>
          <w:p w14:paraId="3FA30005" w14:textId="77777777" w:rsidR="008965AB" w:rsidRDefault="00000000">
            <w:pPr>
              <w:pStyle w:val="Compact"/>
            </w:pPr>
            <w:r>
              <w:t>Monthly</w:t>
            </w:r>
          </w:p>
        </w:tc>
        <w:tc>
          <w:tcPr>
            <w:tcW w:w="2628" w:type="dxa"/>
          </w:tcPr>
          <w:p w14:paraId="3FA30006" w14:textId="77777777" w:rsidR="008965AB" w:rsidRDefault="00000000">
            <w:pPr>
              <w:pStyle w:val="Compact"/>
            </w:pPr>
            <w:r>
              <w:t>Continuing-units employment (NSA)</w:t>
            </w:r>
          </w:p>
        </w:tc>
      </w:tr>
      <w:tr w:rsidR="008965AB" w14:paraId="3FA3000D" w14:textId="77777777" w:rsidTr="006D1539">
        <w:tc>
          <w:tcPr>
            <w:tcW w:w="1188" w:type="dxa"/>
          </w:tcPr>
          <w:p w14:paraId="3FA30008" w14:textId="77777777" w:rsidR="008965AB" w:rsidRDefault="00000000">
            <w:pPr>
              <w:pStyle w:val="Compact"/>
            </w:pPr>
            <w:r>
              <w:t>PP2</w:t>
            </w:r>
          </w:p>
        </w:tc>
        <w:tc>
          <w:tcPr>
            <w:tcW w:w="1980" w:type="dxa"/>
          </w:tcPr>
          <w:p w14:paraId="3FA30009" w14:textId="33BB4105" w:rsidR="008965AB" w:rsidRDefault="00000000">
            <w:pPr>
              <w:pStyle w:val="Compact"/>
            </w:pPr>
            <w:r>
              <w:t xml:space="preserve">Payroll </w:t>
            </w:r>
            <w:r w:rsidR="00CE7B13">
              <w:t>provider</w:t>
            </w:r>
            <w:r w:rsidR="004D553D">
              <w:t xml:space="preserve"> 2 </w:t>
            </w:r>
            <w:r>
              <w:t>microdata</w:t>
            </w:r>
          </w:p>
        </w:tc>
        <w:tc>
          <w:tcPr>
            <w:tcW w:w="2430" w:type="dxa"/>
          </w:tcPr>
          <w:p w14:paraId="3FA3000A" w14:textId="77777777" w:rsidR="008965AB" w:rsidRDefault="00000000">
            <w:pPr>
              <w:pStyle w:val="Compact"/>
            </w:pPr>
            <w:r>
              <w:t>Small single-establishment firms</w:t>
            </w:r>
          </w:p>
        </w:tc>
        <w:tc>
          <w:tcPr>
            <w:tcW w:w="1350" w:type="dxa"/>
          </w:tcPr>
          <w:p w14:paraId="3FA3000B" w14:textId="77777777" w:rsidR="008965AB" w:rsidRDefault="00000000">
            <w:pPr>
              <w:pStyle w:val="Compact"/>
            </w:pPr>
            <w:r>
              <w:t>Monthly</w:t>
            </w:r>
          </w:p>
        </w:tc>
        <w:tc>
          <w:tcPr>
            <w:tcW w:w="2628" w:type="dxa"/>
          </w:tcPr>
          <w:p w14:paraId="3FA3000C" w14:textId="77777777" w:rsidR="008965AB" w:rsidRDefault="00000000">
            <w:pPr>
              <w:pStyle w:val="Compact"/>
            </w:pPr>
            <w:r>
              <w:t>Continuing-units employment (NSA)</w:t>
            </w:r>
          </w:p>
        </w:tc>
      </w:tr>
    </w:tbl>
    <w:p w14:paraId="3FA3000F" w14:textId="3B19E08A" w:rsidR="008965AB" w:rsidRDefault="00000000">
      <w:pPr>
        <w:pStyle w:val="BodyText"/>
      </w:pPr>
      <w:r>
        <w:rPr>
          <w:b/>
          <w:bCs/>
        </w:rPr>
        <w:t>QCEW data quality.</w:t>
      </w:r>
      <w:r>
        <w:t xml:space="preserve"> Employers file UI tax reports quarterly. BLS publishes monthly employment counts, but only the quarter-end month (March, June, September, December) is derived directly from current-period tax filings. Months 1 and 2 within each quarter come from UI tax records that are reported </w:t>
      </w:r>
      <w:proofErr w:type="gramStart"/>
      <w:r>
        <w:t>retrospectively —</w:t>
      </w:r>
      <w:proofErr w:type="gramEnd"/>
      <w:r>
        <w:t xml:space="preserve">they are not </w:t>
      </w:r>
      <w:r w:rsidR="00C441E3">
        <w:t>reported</w:t>
      </w:r>
      <w:r>
        <w:t xml:space="preserve"> in real time for the active reference period. The model reflects this quality gradient through month-dependent fixed </w:t>
      </w:r>
      <w:proofErr w:type="spellStart"/>
      <w:r>
        <w:t>sigmas</w:t>
      </w:r>
      <w:proofErr w:type="spellEnd"/>
      <w:r>
        <w:t xml:space="preserve"> (Section 4.4).</w:t>
      </w:r>
    </w:p>
    <w:p w14:paraId="3FA30010" w14:textId="550E02D8" w:rsidR="008965AB" w:rsidRDefault="00000000">
      <w:pPr>
        <w:pStyle w:val="BodyText"/>
      </w:pPr>
      <w:r>
        <w:rPr>
          <w:b/>
          <w:bCs/>
        </w:rPr>
        <w:t>No common provider factor.</w:t>
      </w:r>
      <w:r>
        <w:t xml:space="preserve"> Cross-provider correlation (empirically ~0.97) is fully explained by the shared latent employment signal through their respective loadings.</w:t>
      </w:r>
    </w:p>
    <w:p w14:paraId="3FA30011" w14:textId="77777777" w:rsidR="008965AB" w:rsidRDefault="00000000">
      <w:pPr>
        <w:pStyle w:val="Heading3"/>
      </w:pPr>
      <w:bookmarkStart w:id="4" w:name="growth-rate-specification"/>
      <w:bookmarkEnd w:id="3"/>
      <w:r>
        <w:t>2.2 Growth-Rate Specification</w:t>
      </w:r>
    </w:p>
    <w:p w14:paraId="3FA30012" w14:textId="77777777" w:rsidR="008965AB" w:rsidRDefault="00000000">
      <w:pPr>
        <w:pStyle w:val="FirstParagraph"/>
      </w:pPr>
      <w:r>
        <w:t>All series enter the model as monthly log growth rates:</w:t>
      </w:r>
    </w:p>
    <w:p w14:paraId="3FA30013" w14:textId="77777777" w:rsidR="008965A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x</m:t>
              </m:r>
            </m:sup>
          </m:sSubSup>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e>
          </m:d>
        </m:oMath>
      </m:oMathPara>
    </w:p>
    <w:p w14:paraId="3FA30014" w14:textId="77777777" w:rsidR="008965AB" w:rsidRDefault="00000000">
      <w:pPr>
        <w:pStyle w:val="FirstParagraph"/>
      </w:pPr>
      <w:r>
        <w:t xml:space="preserve">The first observation is dropped since differencing consumes one period, yielding </w:t>
      </w:r>
      <m:oMath>
        <m:r>
          <w:rPr>
            <w:rFonts w:ascii="Cambria Math" w:hAnsi="Cambria Math"/>
          </w:rPr>
          <m:t>T</m:t>
        </m:r>
        <m:r>
          <m:rPr>
            <m:sty m:val="p"/>
          </m:rPr>
          <w:rPr>
            <w:rFonts w:ascii="Cambria Math" w:hAnsi="Cambria Math"/>
          </w:rPr>
          <m:t>=</m:t>
        </m:r>
        <m:r>
          <w:rPr>
            <w:rFonts w:ascii="Cambria Math" w:hAnsi="Cambria Math"/>
          </w:rPr>
          <m:t>119</m:t>
        </m:r>
      </m:oMath>
      <w:r>
        <w:t xml:space="preserve"> monthly observations.</w:t>
      </w:r>
    </w:p>
    <w:p w14:paraId="3FA30015" w14:textId="77777777" w:rsidR="008965AB" w:rsidRDefault="00000000">
      <w:pPr>
        <w:pStyle w:val="Heading3"/>
      </w:pPr>
      <w:bookmarkStart w:id="5" w:name="sample-summary"/>
      <w:bookmarkEnd w:id="4"/>
      <w:r>
        <w:t>2.3 Sample Summary</w:t>
      </w:r>
    </w:p>
    <w:tbl>
      <w:tblPr>
        <w:tblStyle w:val="Table"/>
        <w:tblW w:w="0" w:type="auto"/>
        <w:tblLook w:val="0020" w:firstRow="1" w:lastRow="0" w:firstColumn="0" w:lastColumn="0" w:noHBand="0" w:noVBand="0"/>
      </w:tblPr>
      <w:tblGrid>
        <w:gridCol w:w="1818"/>
        <w:gridCol w:w="2031"/>
        <w:gridCol w:w="2877"/>
        <w:gridCol w:w="2359"/>
      </w:tblGrid>
      <w:tr w:rsidR="000A6042" w14:paraId="3FA30019" w14:textId="77777777" w:rsidTr="007717E9">
        <w:trPr>
          <w:cnfStyle w:val="100000000000" w:firstRow="1" w:lastRow="0" w:firstColumn="0" w:lastColumn="0" w:oddVBand="0" w:evenVBand="0" w:oddHBand="0" w:evenHBand="0" w:firstRowFirstColumn="0" w:firstRowLastColumn="0" w:lastRowFirstColumn="0" w:lastRowLastColumn="0"/>
          <w:tblHeader/>
        </w:trPr>
        <w:tc>
          <w:tcPr>
            <w:tcW w:w="1818" w:type="dxa"/>
          </w:tcPr>
          <w:p w14:paraId="3FA30016" w14:textId="77777777" w:rsidR="000A6042" w:rsidRDefault="000A6042">
            <w:pPr>
              <w:pStyle w:val="Compact"/>
            </w:pPr>
            <w:r>
              <w:t>Series</w:t>
            </w:r>
          </w:p>
        </w:tc>
        <w:tc>
          <w:tcPr>
            <w:tcW w:w="2031" w:type="dxa"/>
          </w:tcPr>
          <w:p w14:paraId="3FA30017" w14:textId="77777777" w:rsidR="000A6042" w:rsidRDefault="000A6042">
            <w:pPr>
              <w:pStyle w:val="Compact"/>
              <w:jc w:val="center"/>
            </w:pPr>
            <w:r>
              <w:t>Observations</w:t>
            </w:r>
          </w:p>
        </w:tc>
        <w:tc>
          <w:tcPr>
            <w:tcW w:w="0" w:type="auto"/>
          </w:tcPr>
          <w:p w14:paraId="09F73950" w14:textId="12DDC884" w:rsidR="000A6042" w:rsidRDefault="00B12955">
            <w:pPr>
              <w:pStyle w:val="Compact"/>
              <w:jc w:val="right"/>
            </w:pPr>
            <w:r>
              <w:t>Start and e</w:t>
            </w:r>
            <w:r w:rsidR="007717E9">
              <w:t>nd periods</w:t>
            </w:r>
          </w:p>
        </w:tc>
        <w:tc>
          <w:tcPr>
            <w:tcW w:w="0" w:type="auto"/>
          </w:tcPr>
          <w:p w14:paraId="3FA30018" w14:textId="01C8A88F" w:rsidR="000A6042" w:rsidRDefault="000A6042">
            <w:pPr>
              <w:pStyle w:val="Compact"/>
              <w:jc w:val="right"/>
            </w:pPr>
            <w:r>
              <w:t>Mean growth (%/</w:t>
            </w:r>
            <w:proofErr w:type="spellStart"/>
            <w:r>
              <w:t>mo</w:t>
            </w:r>
            <w:proofErr w:type="spellEnd"/>
            <w:r>
              <w:t>)</w:t>
            </w:r>
          </w:p>
        </w:tc>
      </w:tr>
      <w:tr w:rsidR="00B12955" w14:paraId="505AB9F8" w14:textId="77777777" w:rsidTr="007717E9">
        <w:tc>
          <w:tcPr>
            <w:tcW w:w="1818" w:type="dxa"/>
          </w:tcPr>
          <w:p w14:paraId="4048803F" w14:textId="7E4B751F" w:rsidR="00B12955" w:rsidRDefault="00B12955" w:rsidP="000A6042">
            <w:pPr>
              <w:pStyle w:val="Compact"/>
            </w:pPr>
            <w:r>
              <w:t>Total</w:t>
            </w:r>
          </w:p>
        </w:tc>
        <w:tc>
          <w:tcPr>
            <w:tcW w:w="2031" w:type="dxa"/>
          </w:tcPr>
          <w:p w14:paraId="386CD3DE" w14:textId="203C4C04" w:rsidR="00B12955" w:rsidRDefault="00B12955" w:rsidP="000A6042">
            <w:pPr>
              <w:pStyle w:val="Compact"/>
              <w:jc w:val="center"/>
            </w:pPr>
            <w:r>
              <w:t>119</w:t>
            </w:r>
          </w:p>
        </w:tc>
        <w:tc>
          <w:tcPr>
            <w:tcW w:w="0" w:type="auto"/>
          </w:tcPr>
          <w:p w14:paraId="4208C377" w14:textId="289EC580" w:rsidR="00B12955" w:rsidRDefault="001B5315" w:rsidP="000A6042">
            <w:pPr>
              <w:pStyle w:val="Compact"/>
              <w:jc w:val="right"/>
            </w:pPr>
            <w:r>
              <w:t>2016-0</w:t>
            </w:r>
            <w:r w:rsidR="006D7EC1">
              <w:t>2</w:t>
            </w:r>
            <w:r>
              <w:t>-12 – 2025-12-12</w:t>
            </w:r>
          </w:p>
        </w:tc>
        <w:tc>
          <w:tcPr>
            <w:tcW w:w="0" w:type="auto"/>
          </w:tcPr>
          <w:p w14:paraId="653F8192" w14:textId="77777777" w:rsidR="00B12955" w:rsidRDefault="00B12955" w:rsidP="000A6042">
            <w:pPr>
              <w:pStyle w:val="Compact"/>
              <w:jc w:val="right"/>
            </w:pPr>
          </w:p>
        </w:tc>
      </w:tr>
      <w:tr w:rsidR="000A6042" w14:paraId="5BA466A2" w14:textId="77777777" w:rsidTr="007717E9">
        <w:tc>
          <w:tcPr>
            <w:tcW w:w="1818" w:type="dxa"/>
          </w:tcPr>
          <w:p w14:paraId="71EB7D38" w14:textId="0516AB6E" w:rsidR="000A6042" w:rsidRDefault="000A6042" w:rsidP="000A6042">
            <w:pPr>
              <w:pStyle w:val="Compact"/>
            </w:pPr>
            <w:r>
              <w:t xml:space="preserve">QCEW </w:t>
            </w:r>
          </w:p>
        </w:tc>
        <w:tc>
          <w:tcPr>
            <w:tcW w:w="2031" w:type="dxa"/>
          </w:tcPr>
          <w:p w14:paraId="722FCD05" w14:textId="07B14115" w:rsidR="000A6042" w:rsidRDefault="000A6042" w:rsidP="000A6042">
            <w:pPr>
              <w:pStyle w:val="Compact"/>
              <w:jc w:val="center"/>
            </w:pPr>
            <w:r>
              <w:t>113</w:t>
            </w:r>
          </w:p>
        </w:tc>
        <w:tc>
          <w:tcPr>
            <w:tcW w:w="0" w:type="auto"/>
          </w:tcPr>
          <w:p w14:paraId="7EC730F9" w14:textId="4B742DE4" w:rsidR="000A6042" w:rsidRDefault="00A80C8C" w:rsidP="000A6042">
            <w:pPr>
              <w:pStyle w:val="Compact"/>
              <w:jc w:val="right"/>
            </w:pPr>
            <w:r>
              <w:t>2016-0</w:t>
            </w:r>
            <w:r w:rsidR="006D7EC1">
              <w:t>2</w:t>
            </w:r>
            <w:r>
              <w:t>-12 – 2025-06-12</w:t>
            </w:r>
          </w:p>
        </w:tc>
        <w:tc>
          <w:tcPr>
            <w:tcW w:w="0" w:type="auto"/>
          </w:tcPr>
          <w:p w14:paraId="2ED92670" w14:textId="1FD9BA27" w:rsidR="000A6042" w:rsidRDefault="000A6042" w:rsidP="000A6042">
            <w:pPr>
              <w:pStyle w:val="Compact"/>
              <w:jc w:val="right"/>
            </w:pPr>
            <w:r>
              <w:t>+0.116</w:t>
            </w:r>
          </w:p>
        </w:tc>
      </w:tr>
      <w:tr w:rsidR="000A6042" w14:paraId="2C4B7135" w14:textId="77777777" w:rsidTr="007717E9">
        <w:tc>
          <w:tcPr>
            <w:tcW w:w="1818" w:type="dxa"/>
          </w:tcPr>
          <w:p w14:paraId="4D024DC9" w14:textId="566066A1" w:rsidR="000A6042" w:rsidRDefault="000A6042" w:rsidP="000A6042">
            <w:pPr>
              <w:pStyle w:val="Compact"/>
            </w:pPr>
            <w:r>
              <w:t xml:space="preserve">— </w:t>
            </w:r>
            <w:r w:rsidR="001B5315">
              <w:t>Month 3</w:t>
            </w:r>
          </w:p>
        </w:tc>
        <w:tc>
          <w:tcPr>
            <w:tcW w:w="2031" w:type="dxa"/>
          </w:tcPr>
          <w:p w14:paraId="6C6EF84D" w14:textId="5B40D0A4" w:rsidR="000A6042" w:rsidRDefault="000A6042" w:rsidP="000A6042">
            <w:pPr>
              <w:pStyle w:val="Compact"/>
              <w:jc w:val="center"/>
            </w:pPr>
            <w:r>
              <w:t>38</w:t>
            </w:r>
          </w:p>
        </w:tc>
        <w:tc>
          <w:tcPr>
            <w:tcW w:w="0" w:type="auto"/>
          </w:tcPr>
          <w:p w14:paraId="6B09F29A" w14:textId="256A3DBE" w:rsidR="000A6042" w:rsidRDefault="000A6042" w:rsidP="000A6042">
            <w:pPr>
              <w:pStyle w:val="Compact"/>
              <w:jc w:val="right"/>
            </w:pPr>
          </w:p>
        </w:tc>
        <w:tc>
          <w:tcPr>
            <w:tcW w:w="0" w:type="auto"/>
          </w:tcPr>
          <w:p w14:paraId="78388B78" w14:textId="5D218C23" w:rsidR="000A6042" w:rsidRDefault="000A6042" w:rsidP="000A6042">
            <w:pPr>
              <w:pStyle w:val="Compact"/>
              <w:jc w:val="right"/>
            </w:pPr>
            <w:r>
              <w:t>—</w:t>
            </w:r>
          </w:p>
        </w:tc>
      </w:tr>
      <w:tr w:rsidR="000A6042" w14:paraId="3ABC4437" w14:textId="77777777" w:rsidTr="007717E9">
        <w:tc>
          <w:tcPr>
            <w:tcW w:w="1818" w:type="dxa"/>
          </w:tcPr>
          <w:p w14:paraId="6542C668" w14:textId="54474C44" w:rsidR="000A6042" w:rsidRDefault="000A6042" w:rsidP="000A6042">
            <w:pPr>
              <w:pStyle w:val="Compact"/>
            </w:pPr>
            <w:r>
              <w:t>—M</w:t>
            </w:r>
            <w:r w:rsidR="007717E9">
              <w:t xml:space="preserve">onths </w:t>
            </w:r>
            <w:r>
              <w:t>1</w:t>
            </w:r>
            <w:r w:rsidR="007717E9">
              <w:t xml:space="preserve"> &amp; </w:t>
            </w:r>
            <w:r>
              <w:t>2</w:t>
            </w:r>
          </w:p>
        </w:tc>
        <w:tc>
          <w:tcPr>
            <w:tcW w:w="2031" w:type="dxa"/>
          </w:tcPr>
          <w:p w14:paraId="4DC280E9" w14:textId="58AB9FA6" w:rsidR="000A6042" w:rsidRDefault="000A6042" w:rsidP="000A6042">
            <w:pPr>
              <w:pStyle w:val="Compact"/>
              <w:jc w:val="center"/>
            </w:pPr>
            <w:r>
              <w:t>75</w:t>
            </w:r>
          </w:p>
        </w:tc>
        <w:tc>
          <w:tcPr>
            <w:tcW w:w="0" w:type="auto"/>
          </w:tcPr>
          <w:p w14:paraId="014718E9" w14:textId="77CF6BF9" w:rsidR="000A6042" w:rsidRDefault="000A6042" w:rsidP="000A6042">
            <w:pPr>
              <w:pStyle w:val="Compact"/>
              <w:jc w:val="right"/>
            </w:pPr>
          </w:p>
        </w:tc>
        <w:tc>
          <w:tcPr>
            <w:tcW w:w="0" w:type="auto"/>
          </w:tcPr>
          <w:p w14:paraId="39D85186" w14:textId="17B7CD2E" w:rsidR="000A6042" w:rsidRDefault="000A6042" w:rsidP="000A6042">
            <w:pPr>
              <w:pStyle w:val="Compact"/>
              <w:jc w:val="right"/>
            </w:pPr>
            <w:r>
              <w:t>—</w:t>
            </w:r>
          </w:p>
        </w:tc>
      </w:tr>
      <w:tr w:rsidR="000A6042" w14:paraId="3FA3001D" w14:textId="77777777" w:rsidTr="007717E9">
        <w:tc>
          <w:tcPr>
            <w:tcW w:w="1818" w:type="dxa"/>
          </w:tcPr>
          <w:p w14:paraId="3FA3001A" w14:textId="77777777" w:rsidR="000A6042" w:rsidRDefault="000A6042">
            <w:pPr>
              <w:pStyle w:val="Compact"/>
            </w:pPr>
            <w:r>
              <w:lastRenderedPageBreak/>
              <w:t>CES SA</w:t>
            </w:r>
          </w:p>
        </w:tc>
        <w:tc>
          <w:tcPr>
            <w:tcW w:w="2031" w:type="dxa"/>
          </w:tcPr>
          <w:p w14:paraId="3FA3001B" w14:textId="77777777" w:rsidR="000A6042" w:rsidRDefault="000A6042">
            <w:pPr>
              <w:pStyle w:val="Compact"/>
              <w:jc w:val="center"/>
            </w:pPr>
            <w:r>
              <w:t>119</w:t>
            </w:r>
          </w:p>
        </w:tc>
        <w:tc>
          <w:tcPr>
            <w:tcW w:w="0" w:type="auto"/>
          </w:tcPr>
          <w:p w14:paraId="2DB38A27" w14:textId="765B4F68" w:rsidR="000A6042" w:rsidRDefault="006D7EC1">
            <w:pPr>
              <w:pStyle w:val="Compact"/>
              <w:jc w:val="right"/>
            </w:pPr>
            <w:r>
              <w:t>2016-02-12 – 2025-12-12</w:t>
            </w:r>
          </w:p>
        </w:tc>
        <w:tc>
          <w:tcPr>
            <w:tcW w:w="0" w:type="auto"/>
          </w:tcPr>
          <w:p w14:paraId="3FA3001C" w14:textId="204261ED" w:rsidR="000A6042" w:rsidRDefault="000A6042">
            <w:pPr>
              <w:pStyle w:val="Compact"/>
              <w:jc w:val="right"/>
            </w:pPr>
            <w:r>
              <w:t>+0.098</w:t>
            </w:r>
          </w:p>
        </w:tc>
      </w:tr>
      <w:tr w:rsidR="000A6042" w14:paraId="3FA30021" w14:textId="77777777" w:rsidTr="007717E9">
        <w:tc>
          <w:tcPr>
            <w:tcW w:w="1818" w:type="dxa"/>
          </w:tcPr>
          <w:p w14:paraId="3FA3001E" w14:textId="77777777" w:rsidR="000A6042" w:rsidRDefault="000A6042">
            <w:pPr>
              <w:pStyle w:val="Compact"/>
            </w:pPr>
            <w:r>
              <w:t>CES NSA</w:t>
            </w:r>
          </w:p>
        </w:tc>
        <w:tc>
          <w:tcPr>
            <w:tcW w:w="2031" w:type="dxa"/>
          </w:tcPr>
          <w:p w14:paraId="3FA3001F" w14:textId="77777777" w:rsidR="000A6042" w:rsidRDefault="000A6042">
            <w:pPr>
              <w:pStyle w:val="Compact"/>
              <w:jc w:val="center"/>
            </w:pPr>
            <w:r>
              <w:t>119</w:t>
            </w:r>
          </w:p>
        </w:tc>
        <w:tc>
          <w:tcPr>
            <w:tcW w:w="0" w:type="auto"/>
          </w:tcPr>
          <w:p w14:paraId="3C8FE9FB" w14:textId="52A9452D" w:rsidR="000A6042" w:rsidRDefault="006D7EC1">
            <w:pPr>
              <w:pStyle w:val="Compact"/>
              <w:jc w:val="right"/>
            </w:pPr>
            <w:r>
              <w:t>2016-02-12 – 2025-06-12</w:t>
            </w:r>
          </w:p>
        </w:tc>
        <w:tc>
          <w:tcPr>
            <w:tcW w:w="0" w:type="auto"/>
          </w:tcPr>
          <w:p w14:paraId="3FA30020" w14:textId="1CC494DF" w:rsidR="000A6042" w:rsidRDefault="000A6042">
            <w:pPr>
              <w:pStyle w:val="Compact"/>
              <w:jc w:val="right"/>
            </w:pPr>
            <w:r>
              <w:t>+0.116</w:t>
            </w:r>
          </w:p>
        </w:tc>
      </w:tr>
      <w:tr w:rsidR="000A6042" w14:paraId="3FA30031" w14:textId="77777777" w:rsidTr="007717E9">
        <w:tc>
          <w:tcPr>
            <w:tcW w:w="1818" w:type="dxa"/>
          </w:tcPr>
          <w:p w14:paraId="3FA3002E" w14:textId="77777777" w:rsidR="000A6042" w:rsidRDefault="000A6042">
            <w:pPr>
              <w:pStyle w:val="Compact"/>
            </w:pPr>
            <w:r>
              <w:t>PP1</w:t>
            </w:r>
          </w:p>
        </w:tc>
        <w:tc>
          <w:tcPr>
            <w:tcW w:w="2031" w:type="dxa"/>
          </w:tcPr>
          <w:p w14:paraId="3FA3002F" w14:textId="77777777" w:rsidR="000A6042" w:rsidRDefault="000A6042">
            <w:pPr>
              <w:pStyle w:val="Compact"/>
              <w:jc w:val="center"/>
            </w:pPr>
            <w:r>
              <w:t>113</w:t>
            </w:r>
          </w:p>
        </w:tc>
        <w:tc>
          <w:tcPr>
            <w:tcW w:w="0" w:type="auto"/>
          </w:tcPr>
          <w:p w14:paraId="52E38285" w14:textId="0EA6890E" w:rsidR="000A6042" w:rsidRDefault="006D7EC1">
            <w:pPr>
              <w:pStyle w:val="Compact"/>
              <w:jc w:val="right"/>
            </w:pPr>
            <w:r>
              <w:t>2016-01-12 – 2025-06-12</w:t>
            </w:r>
            <w:r w:rsidR="00E77054">
              <w:rPr>
                <w:rStyle w:val="FootnoteReference"/>
              </w:rPr>
              <w:footnoteReference w:id="1"/>
            </w:r>
          </w:p>
        </w:tc>
        <w:tc>
          <w:tcPr>
            <w:tcW w:w="0" w:type="auto"/>
          </w:tcPr>
          <w:p w14:paraId="3FA30030" w14:textId="40C4A465" w:rsidR="000A6042" w:rsidRDefault="000A6042">
            <w:pPr>
              <w:pStyle w:val="Compact"/>
              <w:jc w:val="right"/>
            </w:pPr>
            <w:r>
              <w:t>+0.184</w:t>
            </w:r>
          </w:p>
        </w:tc>
      </w:tr>
      <w:tr w:rsidR="000A6042" w14:paraId="3FA30035" w14:textId="77777777" w:rsidTr="007717E9">
        <w:tc>
          <w:tcPr>
            <w:tcW w:w="1818" w:type="dxa"/>
          </w:tcPr>
          <w:p w14:paraId="3FA30032" w14:textId="77777777" w:rsidR="000A6042" w:rsidRDefault="000A6042">
            <w:pPr>
              <w:pStyle w:val="Compact"/>
            </w:pPr>
            <w:r>
              <w:t>PP2</w:t>
            </w:r>
          </w:p>
        </w:tc>
        <w:tc>
          <w:tcPr>
            <w:tcW w:w="2031" w:type="dxa"/>
          </w:tcPr>
          <w:p w14:paraId="3FA30033" w14:textId="77777777" w:rsidR="000A6042" w:rsidRDefault="000A6042">
            <w:pPr>
              <w:pStyle w:val="Compact"/>
              <w:jc w:val="center"/>
            </w:pPr>
            <w:r>
              <w:t>82</w:t>
            </w:r>
          </w:p>
        </w:tc>
        <w:tc>
          <w:tcPr>
            <w:tcW w:w="0" w:type="auto"/>
          </w:tcPr>
          <w:p w14:paraId="18CC7379" w14:textId="0161AC11" w:rsidR="000A6042" w:rsidRDefault="006D7EC1">
            <w:pPr>
              <w:pStyle w:val="Compact"/>
              <w:jc w:val="right"/>
            </w:pPr>
            <w:r>
              <w:t>2019-02-12 – 2025-</w:t>
            </w:r>
            <w:r w:rsidR="00651DE3">
              <w:t>12</w:t>
            </w:r>
            <w:r>
              <w:t>-12</w:t>
            </w:r>
            <w:r w:rsidR="00E77054">
              <w:rPr>
                <w:rStyle w:val="FootnoteReference"/>
              </w:rPr>
              <w:footnoteReference w:id="2"/>
            </w:r>
          </w:p>
        </w:tc>
        <w:tc>
          <w:tcPr>
            <w:tcW w:w="0" w:type="auto"/>
          </w:tcPr>
          <w:p w14:paraId="3FA30034" w14:textId="54E2B87D" w:rsidR="000A6042" w:rsidRDefault="000A6042">
            <w:pPr>
              <w:pStyle w:val="Compact"/>
              <w:jc w:val="right"/>
            </w:pPr>
            <w:r>
              <w:t>+0.313</w:t>
            </w:r>
          </w:p>
        </w:tc>
      </w:tr>
    </w:tbl>
    <w:p w14:paraId="3FA30036" w14:textId="77777777" w:rsidR="008965AB" w:rsidRDefault="00000000">
      <w:pPr>
        <w:pStyle w:val="BodyText"/>
      </w:pPr>
      <w:r>
        <w:t>CES NSA and QCEW mean growth agree at +0.116%/mo, confirming they measure the same concept. PP1 and PP2 show higher mean growth due to survivorship bias in continuing-units panels.</w:t>
      </w:r>
    </w:p>
    <w:p w14:paraId="3FA30037" w14:textId="3CAC012A" w:rsidR="008965AB" w:rsidRDefault="008965AB"/>
    <w:p w14:paraId="3FA30038" w14:textId="77777777" w:rsidR="008965AB" w:rsidRDefault="00000000">
      <w:pPr>
        <w:pStyle w:val="Heading2"/>
      </w:pPr>
      <w:bookmarkStart w:id="6" w:name="X46f62f954a436d526c3247b67ff93d2f2537861"/>
      <w:bookmarkEnd w:id="2"/>
      <w:bookmarkEnd w:id="5"/>
      <w:r>
        <w:t>3. Latent State: Continuing-Units Employment Growth</w:t>
      </w:r>
    </w:p>
    <w:p w14:paraId="3FA30039" w14:textId="77777777" w:rsidR="008965AB" w:rsidRDefault="00000000">
      <w:pPr>
        <w:pStyle w:val="Heading3"/>
      </w:pPr>
      <w:bookmarkStart w:id="7" w:name="ar1-dynamics"/>
      <w:r>
        <w:t>3.1 AR(1) Dynamics</w:t>
      </w:r>
    </w:p>
    <w:p w14:paraId="3FA3003A" w14:textId="77777777" w:rsidR="008965AB" w:rsidRDefault="00000000">
      <w:pPr>
        <w:pStyle w:val="FirstParagraph"/>
      </w:pPr>
      <w:r>
        <w:t>The latent process is seasonally adjusted continuing-units employment growth:</w:t>
      </w:r>
    </w:p>
    <w:p w14:paraId="3FA3003B" w14:textId="77777777" w:rsidR="008965A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r>
            <w:rPr>
              <w:rFonts w:ascii="Cambria Math" w:hAnsi="Cambria Math"/>
            </w:rPr>
            <m:t>ϕ</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up>
                  <m:r>
                    <m:rPr>
                      <m:nor/>
                    </m: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3FA3003C" w14:textId="77777777" w:rsidR="008965AB" w:rsidRDefault="00000000">
      <w:pPr>
        <w:pStyle w:val="FirstParagraph"/>
      </w:pPr>
      <w:r>
        <w:t xml:space="preserve">Initialized at </w:t>
      </w:r>
      <m:oMath>
        <m:sSubSup>
          <m:sSubSupPr>
            <m:ctrlPr>
              <w:rPr>
                <w:rFonts w:ascii="Cambria Math" w:hAnsi="Cambria Math"/>
              </w:rPr>
            </m:ctrlPr>
          </m:sSubSupPr>
          <m:e>
            <m:r>
              <w:rPr>
                <w:rFonts w:ascii="Cambria Math" w:hAnsi="Cambria Math"/>
              </w:rPr>
              <m:t>g</m:t>
            </m:r>
          </m:e>
          <m:sub>
            <m:r>
              <w:rPr>
                <w:rFonts w:ascii="Cambria Math" w:hAnsi="Cambria Math"/>
              </w:rPr>
              <m:t>0</m:t>
            </m:r>
          </m:sub>
          <m:sup>
            <m:r>
              <m:rPr>
                <m:nor/>
              </m: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0</m:t>
            </m:r>
          </m:sub>
        </m:sSub>
      </m:oMath>
      <w:r>
        <w:t xml:space="preserve"> and evolved via </w:t>
      </w:r>
      <w:r>
        <w:rPr>
          <w:rStyle w:val="VerbatimChar"/>
        </w:rPr>
        <w:t>pytensor.scan</w:t>
      </w:r>
      <w:r>
        <w:t xml:space="preserve">. The non-centered parameterization (sampling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and scaling by </w:t>
      </w:r>
      <m:oMath>
        <m:sSub>
          <m:sSubPr>
            <m:ctrlPr>
              <w:rPr>
                <w:rFonts w:ascii="Cambria Math" w:hAnsi="Cambria Math"/>
              </w:rPr>
            </m:ctrlPr>
          </m:sSubPr>
          <m:e>
            <m:r>
              <w:rPr>
                <w:rFonts w:ascii="Cambria Math" w:hAnsi="Cambria Math"/>
              </w:rPr>
              <m:t>σ</m:t>
            </m:r>
          </m:e>
          <m:sub>
            <m:r>
              <w:rPr>
                <w:rFonts w:ascii="Cambria Math" w:hAnsi="Cambria Math"/>
              </w:rPr>
              <m:t>g</m:t>
            </m:r>
          </m:sub>
        </m:sSub>
      </m:oMath>
      <w:r>
        <w:t>) improves MCMC geometry.</w:t>
      </w:r>
    </w:p>
    <w:p w14:paraId="3FA3003D" w14:textId="77777777" w:rsidR="008965AB" w:rsidRDefault="00000000">
      <w:pPr>
        <w:pStyle w:val="Heading3"/>
      </w:pPr>
      <w:bookmarkStart w:id="8" w:name="priors"/>
      <w:bookmarkEnd w:id="7"/>
      <w:r>
        <w:t>3.2 Priors</w:t>
      </w:r>
    </w:p>
    <w:tbl>
      <w:tblPr>
        <w:tblStyle w:val="Table"/>
        <w:tblW w:w="5000" w:type="pct"/>
        <w:tblLayout w:type="fixed"/>
        <w:tblLook w:val="0020" w:firstRow="1" w:lastRow="0" w:firstColumn="0" w:lastColumn="0" w:noHBand="0" w:noVBand="0"/>
      </w:tblPr>
      <w:tblGrid>
        <w:gridCol w:w="1440"/>
        <w:gridCol w:w="2700"/>
        <w:gridCol w:w="5220"/>
      </w:tblGrid>
      <w:tr w:rsidR="008965AB" w14:paraId="3FA30041" w14:textId="77777777" w:rsidTr="00EB5FA9">
        <w:trPr>
          <w:cnfStyle w:val="100000000000" w:firstRow="1" w:lastRow="0" w:firstColumn="0" w:lastColumn="0" w:oddVBand="0" w:evenVBand="0" w:oddHBand="0" w:evenHBand="0" w:firstRowFirstColumn="0" w:firstRowLastColumn="0" w:lastRowFirstColumn="0" w:lastRowLastColumn="0"/>
          <w:tblHeader/>
        </w:trPr>
        <w:tc>
          <w:tcPr>
            <w:tcW w:w="1440" w:type="dxa"/>
          </w:tcPr>
          <w:p w14:paraId="3FA3003E" w14:textId="77777777" w:rsidR="008965AB" w:rsidRDefault="00000000">
            <w:pPr>
              <w:pStyle w:val="Compact"/>
            </w:pPr>
            <w:r>
              <w:t>Parameter</w:t>
            </w:r>
          </w:p>
        </w:tc>
        <w:tc>
          <w:tcPr>
            <w:tcW w:w="2700" w:type="dxa"/>
          </w:tcPr>
          <w:p w14:paraId="3FA3003F" w14:textId="77777777" w:rsidR="008965AB" w:rsidRDefault="00000000" w:rsidP="00EB5FA9">
            <w:pPr>
              <w:pStyle w:val="Compact"/>
              <w:jc w:val="center"/>
            </w:pPr>
            <w:r>
              <w:t>Prior</w:t>
            </w:r>
          </w:p>
        </w:tc>
        <w:tc>
          <w:tcPr>
            <w:tcW w:w="5220" w:type="dxa"/>
          </w:tcPr>
          <w:p w14:paraId="3FA30040" w14:textId="77777777" w:rsidR="008965AB" w:rsidRDefault="00000000">
            <w:pPr>
              <w:pStyle w:val="Compact"/>
            </w:pPr>
            <w:r>
              <w:t>Rationale</w:t>
            </w:r>
          </w:p>
        </w:tc>
      </w:tr>
      <w:tr w:rsidR="008965AB" w14:paraId="3FA30045" w14:textId="77777777" w:rsidTr="00EB5FA9">
        <w:tc>
          <w:tcPr>
            <w:tcW w:w="1440" w:type="dxa"/>
          </w:tcPr>
          <w:p w14:paraId="3FA30042" w14:textId="77777777" w:rsidR="008965AB" w:rsidRDefault="00000000">
            <w:pPr>
              <w:pStyle w:val="Compact"/>
            </w:pPr>
            <m:oMathPara>
              <m:oMath>
                <m:sSub>
                  <m:sSubPr>
                    <m:ctrlPr>
                      <w:rPr>
                        <w:rFonts w:ascii="Cambria Math" w:hAnsi="Cambria Math"/>
                      </w:rPr>
                    </m:ctrlPr>
                  </m:sSubPr>
                  <m:e>
                    <m:r>
                      <w:rPr>
                        <w:rFonts w:ascii="Cambria Math" w:hAnsi="Cambria Math"/>
                      </w:rPr>
                      <m:t>μ</m:t>
                    </m:r>
                  </m:e>
                  <m:sub>
                    <m:r>
                      <w:rPr>
                        <w:rFonts w:ascii="Cambria Math" w:hAnsi="Cambria Math"/>
                      </w:rPr>
                      <m:t>g</m:t>
                    </m:r>
                  </m:sub>
                </m:sSub>
              </m:oMath>
            </m:oMathPara>
          </w:p>
        </w:tc>
        <w:tc>
          <w:tcPr>
            <w:tcW w:w="2700" w:type="dxa"/>
          </w:tcPr>
          <w:p w14:paraId="3FA30043" w14:textId="77777777" w:rsidR="008965AB" w:rsidRDefault="00000000">
            <w:pPr>
              <w:pStyle w:val="Compact"/>
            </w:pPr>
            <m:oMathPara>
              <m:oMath>
                <m:r>
                  <m:rPr>
                    <m:scr m:val="script"/>
                    <m:sty m:val="p"/>
                  </m:rP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oMath>
            </m:oMathPara>
          </w:p>
        </w:tc>
        <w:tc>
          <w:tcPr>
            <w:tcW w:w="5220" w:type="dxa"/>
          </w:tcPr>
          <w:p w14:paraId="3FA30044" w14:textId="77777777" w:rsidR="008965AB" w:rsidRDefault="00000000">
            <w:pPr>
              <w:pStyle w:val="Compact"/>
            </w:pPr>
            <w:r>
              <w:t>~0.1%/mo (~1.2% annualized); wide for recession/expansion</w:t>
            </w:r>
          </w:p>
        </w:tc>
      </w:tr>
      <w:tr w:rsidR="008965AB" w14:paraId="3FA30049" w14:textId="77777777" w:rsidTr="00EB5FA9">
        <w:tc>
          <w:tcPr>
            <w:tcW w:w="1440" w:type="dxa"/>
          </w:tcPr>
          <w:p w14:paraId="3FA30046" w14:textId="77777777" w:rsidR="008965AB" w:rsidRDefault="00000000">
            <w:pPr>
              <w:pStyle w:val="Compact"/>
            </w:pPr>
            <m:oMathPara>
              <m:oMath>
                <m:r>
                  <w:rPr>
                    <w:rFonts w:ascii="Cambria Math" w:hAnsi="Cambria Math"/>
                  </w:rPr>
                  <m:t>ϕ</m:t>
                </m:r>
              </m:oMath>
            </m:oMathPara>
          </w:p>
        </w:tc>
        <w:tc>
          <w:tcPr>
            <w:tcW w:w="2700" w:type="dxa"/>
          </w:tcPr>
          <w:p w14:paraId="3FA30047" w14:textId="77777777" w:rsidR="008965AB" w:rsidRDefault="00000000">
            <w:pPr>
              <w:pStyle w:val="Compact"/>
            </w:pPr>
            <m:oMathPara>
              <m:oMath>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0.99</m:t>
                    </m:r>
                  </m:e>
                </m:d>
              </m:oMath>
            </m:oMathPara>
          </w:p>
        </w:tc>
        <w:tc>
          <w:tcPr>
            <w:tcW w:w="5220" w:type="dxa"/>
          </w:tcPr>
          <w:p w14:paraId="3FA30048" w14:textId="77777777" w:rsidR="008965AB" w:rsidRDefault="00000000">
            <w:pPr>
              <w:pStyle w:val="Compact"/>
            </w:pPr>
            <w:r>
              <w:t>Uninformative over the stationary region</w:t>
            </w:r>
          </w:p>
        </w:tc>
      </w:tr>
      <w:tr w:rsidR="008965AB" w14:paraId="3FA3004D" w14:textId="77777777" w:rsidTr="00EB5FA9">
        <w:tc>
          <w:tcPr>
            <w:tcW w:w="1440" w:type="dxa"/>
          </w:tcPr>
          <w:p w14:paraId="3FA3004A" w14:textId="77777777" w:rsidR="008965AB"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g</m:t>
                    </m:r>
                  </m:sub>
                </m:sSub>
              </m:oMath>
            </m:oMathPara>
          </w:p>
        </w:tc>
        <w:tc>
          <w:tcPr>
            <w:tcW w:w="2700" w:type="dxa"/>
          </w:tcPr>
          <w:p w14:paraId="3FA3004B" w14:textId="77777777" w:rsidR="008965AB" w:rsidRDefault="00000000">
            <w:pPr>
              <w:pStyle w:val="Compact"/>
            </w:pPr>
            <m:oMathPara>
              <m:oMath>
                <m:r>
                  <m:rPr>
                    <m:nor/>
                  </m:rPr>
                  <m:t>Half-</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0.008</m:t>
                    </m:r>
                  </m:e>
                </m:d>
              </m:oMath>
            </m:oMathPara>
          </w:p>
        </w:tc>
        <w:tc>
          <w:tcPr>
            <w:tcW w:w="5220" w:type="dxa"/>
          </w:tcPr>
          <w:p w14:paraId="3FA3004C" w14:textId="77777777" w:rsidR="008965AB" w:rsidRDefault="00000000">
            <w:pPr>
              <w:pStyle w:val="Compact"/>
            </w:pPr>
            <w:r>
              <w:t>Scaled to observed monthly growth volatility</w:t>
            </w:r>
          </w:p>
        </w:tc>
      </w:tr>
    </w:tbl>
    <w:p w14:paraId="3FA3004E" w14:textId="7798D18D" w:rsidR="008965AB" w:rsidRDefault="008965AB"/>
    <w:p w14:paraId="3FA3004F" w14:textId="77777777" w:rsidR="008965AB" w:rsidRDefault="00000000">
      <w:pPr>
        <w:pStyle w:val="Heading2"/>
      </w:pPr>
      <w:bookmarkStart w:id="9" w:name="measurement-equations"/>
      <w:bookmarkEnd w:id="6"/>
      <w:bookmarkEnd w:id="8"/>
      <w:r>
        <w:lastRenderedPageBreak/>
        <w:t>4. Measurement Equations</w:t>
      </w:r>
    </w:p>
    <w:p w14:paraId="3FA30050" w14:textId="77777777" w:rsidR="008965AB" w:rsidRDefault="00000000">
      <w:pPr>
        <w:pStyle w:val="Heading3"/>
      </w:pPr>
      <w:bookmarkStart w:id="10" w:name="seasonal-component"/>
      <w:r>
        <w:t>4.1 Seasonal Component</w:t>
      </w:r>
    </w:p>
    <w:p w14:paraId="3FA30051" w14:textId="77777777" w:rsidR="008965AB" w:rsidRDefault="00000000">
      <w:pPr>
        <w:pStyle w:val="FirstParagraph"/>
      </w:pPr>
      <w:r>
        <w:t>Deterministic monthly seasonal with 11 free parameters and a sum-to-zero constraint:</w:t>
      </w:r>
    </w:p>
    <w:p w14:paraId="3FA30052" w14:textId="77777777" w:rsidR="008965AB"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m</m:t>
              </m:r>
            </m:sub>
          </m:sSub>
          <m:r>
            <m:rPr>
              <m:nor/>
            </m:rPr>
            <m:t xml:space="preserve"> for </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11</m:t>
              </m:r>
            </m:sup>
            <m:e>
              <m:sSub>
                <m:sSubPr>
                  <m:ctrlPr>
                    <w:rPr>
                      <w:rFonts w:ascii="Cambria Math" w:hAnsi="Cambria Math"/>
                    </w:rPr>
                  </m:ctrlPr>
                </m:sSubPr>
                <m:e>
                  <m:r>
                    <w:rPr>
                      <w:rFonts w:ascii="Cambria Math" w:hAnsi="Cambria Math"/>
                    </w:rPr>
                    <m:t>s</m:t>
                  </m:r>
                </m:e>
                <m:sub>
                  <m:r>
                    <w:rPr>
                      <w:rFonts w:ascii="Cambria Math" w:hAnsi="Cambria Math"/>
                    </w:rPr>
                    <m:t>m</m:t>
                  </m:r>
                </m:sub>
              </m:sSub>
            </m:e>
          </m:nary>
        </m:oMath>
      </m:oMathPara>
    </w:p>
    <w:p w14:paraId="3FA30053" w14:textId="77777777" w:rsidR="008965AB" w:rsidRDefault="00000000">
      <w:pPr>
        <w:pStyle w:val="FirstParagraph"/>
      </w:pPr>
      <w:r>
        <w:t xml:space="preserve">Prior: </w:t>
      </w:r>
      <m:oMath>
        <m:sSub>
          <m:sSubPr>
            <m:ctrlPr>
              <w:rPr>
                <w:rFonts w:ascii="Cambria Math" w:hAnsi="Cambria Math"/>
              </w:rPr>
            </m:ctrlPr>
          </m:sSubPr>
          <m:e>
            <m:r>
              <w:rPr>
                <w:rFonts w:ascii="Cambria Math" w:hAnsi="Cambria Math"/>
              </w:rPr>
              <m:t>s</m:t>
            </m:r>
          </m:e>
          <m:sub>
            <m:r>
              <w:rPr>
                <w:rFonts w:ascii="Cambria Math" w:hAnsi="Cambria Math"/>
              </w:rPr>
              <m:t>m</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0.015</m:t>
                </m:r>
              </m:e>
              <m:sup>
                <m:r>
                  <w:rPr>
                    <w:rFonts w:ascii="Cambria Math" w:hAnsi="Cambria Math"/>
                  </w:rPr>
                  <m:t>2</m:t>
                </m:r>
              </m:sup>
            </m:sSup>
          </m:e>
        </m:d>
      </m:oMath>
      <w:r>
        <w:t>.</w:t>
      </w:r>
    </w:p>
    <w:p w14:paraId="3FA30054" w14:textId="77777777" w:rsidR="008965AB" w:rsidRDefault="00000000">
      <w:pPr>
        <w:pStyle w:val="Heading3"/>
      </w:pPr>
      <w:bookmarkStart w:id="11" w:name="birthdeath-offset"/>
      <w:bookmarkEnd w:id="10"/>
      <w:r>
        <w:t>4.2 Birth/Death Offset</w:t>
      </w:r>
    </w:p>
    <w:p w14:paraId="3FA30055" w14:textId="77777777" w:rsidR="008965AB" w:rsidRDefault="00000000">
      <w:pPr>
        <w:pStyle w:val="FirstParagraph"/>
      </w:pPr>
      <m:oMathPara>
        <m:oMathParaPr>
          <m:jc m:val="center"/>
        </m:oMathParaPr>
        <m:oMath>
          <m:r>
            <m:rPr>
              <m:nor/>
            </m:rPr>
            <m:t>bd</m:t>
          </m:r>
          <m:r>
            <m:rPr>
              <m:scr m:val="script"/>
              <m:sty m:val="p"/>
            </m:rPr>
            <w:rPr>
              <w:rFonts w:ascii="Cambria Math" w:hAnsi="Cambria Math"/>
            </w:rPr>
            <m:t>∼N</m:t>
          </m:r>
          <m:d>
            <m:dPr>
              <m:ctrlPr>
                <w:rPr>
                  <w:rFonts w:ascii="Cambria Math" w:hAnsi="Cambria Math"/>
                </w:rPr>
              </m:ctrlPr>
            </m:dPr>
            <m:e>
              <m:r>
                <w:rPr>
                  <w:rFonts w:ascii="Cambria Math" w:hAnsi="Cambria Math"/>
                </w:rPr>
                <m:t>0.001</m:t>
              </m:r>
              <m:r>
                <m:rPr>
                  <m:sty m:val="p"/>
                </m:rPr>
                <w:rPr>
                  <w:rFonts w:ascii="Cambria Math" w:hAnsi="Cambria Math"/>
                </w:rPr>
                <m:t>,</m:t>
              </m:r>
              <m:sSup>
                <m:sSupPr>
                  <m:ctrlPr>
                    <w:rPr>
                      <w:rFonts w:ascii="Cambria Math" w:hAnsi="Cambria Math"/>
                    </w:rPr>
                  </m:ctrlPr>
                </m:sSupPr>
                <m:e>
                  <m:r>
                    <w:rPr>
                      <w:rFonts w:ascii="Cambria Math" w:hAnsi="Cambria Math"/>
                    </w:rPr>
                    <m:t>0.002</m:t>
                  </m:r>
                </m:e>
                <m:sup>
                  <m:r>
                    <w:rPr>
                      <w:rFonts w:ascii="Cambria Math" w:hAnsi="Cambria Math"/>
                    </w:rPr>
                    <m:t>2</m:t>
                  </m:r>
                </m:sup>
              </m:sSup>
            </m:e>
          </m:d>
        </m:oMath>
      </m:oMathPara>
    </w:p>
    <w:p w14:paraId="3FA30056" w14:textId="77777777" w:rsidR="008965AB" w:rsidRDefault="00000000">
      <w:pPr>
        <w:pStyle w:val="FirstParagraph"/>
      </w:pPr>
      <w:r>
        <w:t>Time-invariant, capturing the systematic difference between continuing-units growth and total employment growth.</w:t>
      </w:r>
    </w:p>
    <w:p w14:paraId="3FA30057" w14:textId="77777777" w:rsidR="008965AB" w:rsidRDefault="00000000">
      <w:pPr>
        <w:pStyle w:val="Heading3"/>
      </w:pPr>
      <w:bookmarkStart w:id="12" w:name="composite-growth-signals"/>
      <w:bookmarkEnd w:id="11"/>
      <w:r>
        <w:t>4.3 Composite Growth Signals</w:t>
      </w:r>
    </w:p>
    <w:tbl>
      <w:tblPr>
        <w:tblStyle w:val="Table"/>
        <w:tblW w:w="5000" w:type="pct"/>
        <w:tblLayout w:type="fixed"/>
        <w:tblLook w:val="0020" w:firstRow="1" w:lastRow="0" w:firstColumn="0" w:lastColumn="0" w:noHBand="0" w:noVBand="0"/>
      </w:tblPr>
      <w:tblGrid>
        <w:gridCol w:w="2600"/>
        <w:gridCol w:w="2860"/>
        <w:gridCol w:w="3900"/>
      </w:tblGrid>
      <w:tr w:rsidR="008965AB" w14:paraId="3FA3005B" w14:textId="77777777" w:rsidTr="008965AB">
        <w:trPr>
          <w:cnfStyle w:val="100000000000" w:firstRow="1" w:lastRow="0" w:firstColumn="0" w:lastColumn="0" w:oddVBand="0" w:evenVBand="0" w:oddHBand="0" w:evenHBand="0" w:firstRowFirstColumn="0" w:firstRowLastColumn="0" w:lastRowFirstColumn="0" w:lastRowLastColumn="0"/>
          <w:tblHeader/>
        </w:trPr>
        <w:tc>
          <w:tcPr>
            <w:tcW w:w="2200" w:type="dxa"/>
          </w:tcPr>
          <w:p w14:paraId="3FA30058" w14:textId="77777777" w:rsidR="008965AB" w:rsidRDefault="00000000">
            <w:pPr>
              <w:pStyle w:val="Compact"/>
            </w:pPr>
            <w:r>
              <w:t>Signal</w:t>
            </w:r>
          </w:p>
        </w:tc>
        <w:tc>
          <w:tcPr>
            <w:tcW w:w="2420" w:type="dxa"/>
          </w:tcPr>
          <w:p w14:paraId="3FA30059" w14:textId="77777777" w:rsidR="008965AB" w:rsidRDefault="00000000">
            <w:pPr>
              <w:pStyle w:val="Compact"/>
            </w:pPr>
            <w:r>
              <w:t>Formula</w:t>
            </w:r>
          </w:p>
        </w:tc>
        <w:tc>
          <w:tcPr>
            <w:tcW w:w="3300" w:type="dxa"/>
          </w:tcPr>
          <w:p w14:paraId="3FA3005A" w14:textId="77777777" w:rsidR="008965AB" w:rsidRDefault="00000000">
            <w:pPr>
              <w:pStyle w:val="Compact"/>
            </w:pPr>
            <w:r>
              <w:t>Observed by</w:t>
            </w:r>
          </w:p>
        </w:tc>
      </w:tr>
      <w:tr w:rsidR="008965AB" w14:paraId="3FA3005F" w14:textId="77777777">
        <w:tc>
          <w:tcPr>
            <w:tcW w:w="2200" w:type="dxa"/>
          </w:tcPr>
          <w:p w14:paraId="3FA3005C" w14:textId="77777777" w:rsidR="008965AB" w:rsidRDefault="00000000">
            <w:pPr>
              <w:pStyle w:val="Compact"/>
            </w:pPr>
            <w:r>
              <w:t>NSA continuing-units</w:t>
            </w:r>
          </w:p>
        </w:tc>
        <w:tc>
          <w:tcPr>
            <w:tcW w:w="2420" w:type="dxa"/>
          </w:tcPr>
          <w:p w14:paraId="3FA3005D" w14:textId="77777777" w:rsidR="008965AB" w:rsidRDefault="00000000">
            <w:pPr>
              <w:pStyle w:val="Compact"/>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cont,nsa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cont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3300" w:type="dxa"/>
          </w:tcPr>
          <w:p w14:paraId="3FA3005E" w14:textId="77777777" w:rsidR="008965AB" w:rsidRDefault="00000000">
            <w:pPr>
              <w:pStyle w:val="Compact"/>
            </w:pPr>
            <w:r>
              <w:t>PP1, PP2</w:t>
            </w:r>
          </w:p>
        </w:tc>
      </w:tr>
      <w:tr w:rsidR="008965AB" w14:paraId="3FA30063" w14:textId="77777777">
        <w:tc>
          <w:tcPr>
            <w:tcW w:w="2200" w:type="dxa"/>
          </w:tcPr>
          <w:p w14:paraId="3FA30060" w14:textId="77777777" w:rsidR="008965AB" w:rsidRDefault="00000000">
            <w:pPr>
              <w:pStyle w:val="Compact"/>
            </w:pPr>
            <w:r>
              <w:t>SA total employment</w:t>
            </w:r>
          </w:p>
        </w:tc>
        <w:tc>
          <w:tcPr>
            <w:tcW w:w="2420" w:type="dxa"/>
          </w:tcPr>
          <w:p w14:paraId="3FA30061" w14:textId="77777777" w:rsidR="008965AB" w:rsidRDefault="00000000">
            <w:pPr>
              <w:pStyle w:val="Compact"/>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cont</m:t>
                    </m:r>
                  </m:sup>
                </m:sSubSup>
                <m:r>
                  <m:rPr>
                    <m:sty m:val="p"/>
                  </m:rPr>
                  <w:rPr>
                    <w:rFonts w:ascii="Cambria Math" w:hAnsi="Cambria Math"/>
                  </w:rPr>
                  <m:t>+</m:t>
                </m:r>
                <m:r>
                  <m:rPr>
                    <m:nor/>
                  </m:rPr>
                  <m:t>bd</m:t>
                </m:r>
              </m:oMath>
            </m:oMathPara>
          </w:p>
        </w:tc>
        <w:tc>
          <w:tcPr>
            <w:tcW w:w="3300" w:type="dxa"/>
          </w:tcPr>
          <w:p w14:paraId="3FA30062" w14:textId="77777777" w:rsidR="008965AB" w:rsidRDefault="00000000">
            <w:pPr>
              <w:pStyle w:val="Compact"/>
            </w:pPr>
            <w:r>
              <w:t>CES SA</w:t>
            </w:r>
          </w:p>
        </w:tc>
      </w:tr>
      <w:tr w:rsidR="008965AB" w14:paraId="3FA30067" w14:textId="77777777">
        <w:tc>
          <w:tcPr>
            <w:tcW w:w="2200" w:type="dxa"/>
          </w:tcPr>
          <w:p w14:paraId="3FA30064" w14:textId="77777777" w:rsidR="008965AB" w:rsidRDefault="00000000">
            <w:pPr>
              <w:pStyle w:val="Compact"/>
            </w:pPr>
            <w:r>
              <w:t>NSA total employment</w:t>
            </w:r>
          </w:p>
        </w:tc>
        <w:tc>
          <w:tcPr>
            <w:tcW w:w="2420" w:type="dxa"/>
          </w:tcPr>
          <w:p w14:paraId="3FA30065" w14:textId="77777777" w:rsidR="008965AB" w:rsidRDefault="00000000">
            <w:pPr>
              <w:pStyle w:val="Compact"/>
            </w:pPr>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total,nsa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cont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m:rPr>
                    <m:nor/>
                  </m:rPr>
                  <m:t>bd</m:t>
                </m:r>
              </m:oMath>
            </m:oMathPara>
          </w:p>
        </w:tc>
        <w:tc>
          <w:tcPr>
            <w:tcW w:w="3300" w:type="dxa"/>
          </w:tcPr>
          <w:p w14:paraId="3FA30066" w14:textId="77777777" w:rsidR="008965AB" w:rsidRDefault="00000000">
            <w:pPr>
              <w:pStyle w:val="Compact"/>
            </w:pPr>
            <w:r>
              <w:t>CES NSA, QCEW</w:t>
            </w:r>
          </w:p>
        </w:tc>
      </w:tr>
    </w:tbl>
    <w:p w14:paraId="3FA30068" w14:textId="77777777" w:rsidR="008965AB" w:rsidRDefault="00000000">
      <w:pPr>
        <w:pStyle w:val="Heading3"/>
      </w:pPr>
      <w:bookmarkStart w:id="13" w:name="qcew-likelihood-truth-anchor"/>
      <w:bookmarkEnd w:id="12"/>
      <w:r>
        <w:t>4.4 QCEW Likelihood — Truth Anchor</w:t>
      </w:r>
    </w:p>
    <w:p w14:paraId="3FA30069" w14:textId="77777777" w:rsidR="008965AB" w:rsidRDefault="00000000">
      <w:pPr>
        <w:pStyle w:val="FirstParagraph"/>
      </w:pPr>
      <w:r>
        <w:t xml:space="preserve">QCEW defines the measurement scale with </w:t>
      </w:r>
      <m:oMath>
        <m:r>
          <w:rPr>
            <w:rFonts w:ascii="Cambria Math" w:hAnsi="Cambria Math"/>
          </w:rPr>
          <m:t>α</m:t>
        </m:r>
        <m:r>
          <m:rPr>
            <m:sty m:val="p"/>
          </m:rPr>
          <w:rPr>
            <w:rFonts w:ascii="Cambria Math" w:hAnsi="Cambria Math"/>
          </w:rPr>
          <m:t>=</m:t>
        </m:r>
        <m:r>
          <w:rPr>
            <w:rFonts w:ascii="Cambria Math" w:hAnsi="Cambria Math"/>
          </w:rPr>
          <m:t>0</m:t>
        </m:r>
      </m:oMath>
      <w:r>
        <w:t xml:space="preserve">, </w:t>
      </w:r>
      <m:oMath>
        <m:r>
          <w:rPr>
            <w:rFonts w:ascii="Cambria Math" w:hAnsi="Cambria Math"/>
          </w:rPr>
          <m:t>λ</m:t>
        </m:r>
        <m:r>
          <m:rPr>
            <m:sty m:val="p"/>
          </m:rPr>
          <w:rPr>
            <w:rFonts w:ascii="Cambria Math" w:hAnsi="Cambria Math"/>
          </w:rPr>
          <m:t>=</m:t>
        </m:r>
        <m:r>
          <w:rPr>
            <w:rFonts w:ascii="Cambria Math" w:hAnsi="Cambria Math"/>
          </w:rPr>
          <m:t>1</m:t>
        </m:r>
      </m:oMath>
      <w:r>
        <w:t>, and fixed noise that varies by month-in-quarter:</w:t>
      </w:r>
    </w:p>
    <w:p w14:paraId="3FA3006A" w14:textId="77777777" w:rsidR="008965A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QCEW</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total,nsa</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QCEW</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QCEW</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QCEW</m:t>
                  </m:r>
                  <m:r>
                    <m:rPr>
                      <m:sty m:val="p"/>
                    </m:rPr>
                    <w:rPr>
                      <w:rFonts w:ascii="Cambria Math" w:hAnsi="Cambria Math"/>
                    </w:rPr>
                    <m:t>,</m:t>
                  </m:r>
                  <m:r>
                    <w:rPr>
                      <w:rFonts w:ascii="Cambria Math" w:hAnsi="Cambria Math"/>
                    </w:rPr>
                    <m:t>t</m:t>
                  </m:r>
                </m:sub>
                <m:sup>
                  <m:r>
                    <w:rPr>
                      <w:rFonts w:ascii="Cambria Math" w:hAnsi="Cambria Math"/>
                    </w:rPr>
                    <m:t>2</m:t>
                  </m:r>
                </m:sup>
              </m:sSubSup>
            </m:e>
          </m:d>
        </m:oMath>
      </m:oMathPara>
    </w:p>
    <w:p w14:paraId="3FA3006B" w14:textId="63993BF6" w:rsidR="008965AB"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m:rPr>
                  <m:nor/>
                </m:rPr>
                <m:t>QCEW</m:t>
              </m:r>
              <m:r>
                <m:rPr>
                  <m:sty m:val="p"/>
                </m:rPr>
                <w:rPr>
                  <w:rFonts w:ascii="Cambria Math" w:hAnsi="Cambria Math"/>
                </w:rPr>
                <m:t>,</m:t>
              </m:r>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0.0005</m:t>
                    </m:r>
                  </m:e>
                  <m:e>
                    <m:r>
                      <m:rPr>
                        <m:nor/>
                      </m:rPr>
                      <m:t>quarter-end month (M3: Mar, Jun, Sep, Dec)</m:t>
                    </m:r>
                  </m:e>
                </m:mr>
                <m:mr>
                  <m:e>
                    <m:r>
                      <w:rPr>
                        <w:rFonts w:ascii="Cambria Math" w:hAnsi="Cambria Math"/>
                      </w:rPr>
                      <m:t>0.0015</m:t>
                    </m:r>
                  </m:e>
                  <m:e>
                    <m:r>
                      <m:rPr>
                        <m:nor/>
                      </m:rPr>
                      <m:t>mid-quarter month (M1–2)</m:t>
                    </m:r>
                  </m:e>
                </m:mr>
              </m:m>
            </m:e>
          </m:d>
        </m:oMath>
      </m:oMathPara>
    </w:p>
    <w:p w14:paraId="2DAB699D" w14:textId="4FCF2F44" w:rsidR="00C002A5" w:rsidRDefault="00C002A5" w:rsidP="00C002A5">
      <w:pPr>
        <w:pStyle w:val="FirstParagraph"/>
      </w:pPr>
      <w:r>
        <w:rPr>
          <w:b/>
          <w:bCs/>
        </w:rPr>
        <w:t>Why fixed sigma.</w:t>
      </w:r>
      <w:r>
        <w:t xml:space="preserve"> Estimating </w:t>
      </w:r>
      <m:oMath>
        <m:sSub>
          <m:sSubPr>
            <m:ctrlPr>
              <w:rPr>
                <w:rFonts w:ascii="Cambria Math" w:hAnsi="Cambria Math"/>
              </w:rPr>
            </m:ctrlPr>
          </m:sSubPr>
          <m:e>
            <m:r>
              <w:rPr>
                <w:rFonts w:ascii="Cambria Math" w:hAnsi="Cambria Math"/>
              </w:rPr>
              <m:t>σ</m:t>
            </m:r>
          </m:e>
          <m:sub>
            <m:r>
              <m:rPr>
                <m:nor/>
              </m:rPr>
              <m:t>QCEW</m:t>
            </m:r>
          </m:sub>
        </m:sSub>
      </m:oMath>
      <w:r>
        <w:t xml:space="preserve"> would allow the model to discount QCEW, undermining its anchor role. The fixed values are calibrated: 0.05%</w:t>
      </w:r>
      <w:r w:rsidR="00BE1A81">
        <w:t>/</w:t>
      </w:r>
      <w:proofErr w:type="spellStart"/>
      <w:r>
        <w:t>mo</w:t>
      </w:r>
      <w:proofErr w:type="spellEnd"/>
      <w:r>
        <w:t xml:space="preserve"> for M3 reflects near-census quality (</w:t>
      </w:r>
      <m:oMath>
        <m:r>
          <m:rPr>
            <m:sty m:val="p"/>
          </m:rPr>
          <w:rPr>
            <w:rFonts w:ascii="Cambria Math" w:hAnsi="Cambria Math"/>
          </w:rPr>
          <m:t>±</m:t>
        </m:r>
      </m:oMath>
      <w:r>
        <w:t>~6,500 jobs at current levels); 0.15%/mo for M1–2 reflects the additional uncertainty from retrospective UI reporting (</w:t>
      </w:r>
      <w:r w:rsidR="009D2462">
        <w:t xml:space="preserve">i.e., </w:t>
      </w:r>
      <w:r>
        <w:t xml:space="preserve">these months are not from the current reference period’s filing). These values were tightened from an earlier calibration (0.1% / 0.3%) after diagnostics revealed the looser values gave QCEW only ~4% of the precision budget—insufficient for the anchor to </w:t>
      </w:r>
      <w:r w:rsidR="00A47301">
        <w:t>constrain</w:t>
      </w:r>
      <w:r>
        <w:t xml:space="preserve"> the latent trajectory, which drifted systematically below QCEW observations as CES (95% precision share) dominated month-to-month filtering.</w:t>
      </w:r>
    </w:p>
    <w:p w14:paraId="3FA3006D" w14:textId="0B303BD3" w:rsidR="008965AB" w:rsidRDefault="00C002A5" w:rsidP="00C002A5">
      <w:pPr>
        <w:pStyle w:val="BodyText"/>
      </w:pPr>
      <w:r>
        <w:rPr>
          <w:b/>
          <w:bCs/>
        </w:rPr>
        <w:lastRenderedPageBreak/>
        <w:t>Why QCEW over CES as anchor.</w:t>
      </w:r>
      <w:r>
        <w:t xml:space="preserve"> At the national level, CES is highly precise, but the architecture must scale to state </w:t>
      </w:r>
      <m:oMath>
        <m:r>
          <m:rPr>
            <m:sty m:val="p"/>
          </m:rPr>
          <w:rPr>
            <w:rFonts w:ascii="Cambria Math" w:hAnsi="Cambria Math"/>
          </w:rPr>
          <m:t>×</m:t>
        </m:r>
      </m:oMath>
      <w:r>
        <w:t xml:space="preserve"> supersector where CES sample sizes shrink by 1–2 orders of magnitude. QCEW’s administrative coverage is scale-invariant.</w:t>
      </w:r>
    </w:p>
    <w:p w14:paraId="3FA3006E" w14:textId="77777777" w:rsidR="008965AB" w:rsidRDefault="00000000">
      <w:pPr>
        <w:pStyle w:val="Heading3"/>
      </w:pPr>
      <w:bookmarkStart w:id="14" w:name="ces-likelihood-noisy-observation"/>
      <w:bookmarkEnd w:id="13"/>
      <w:r>
        <w:t>4.5 CES Likelihood — Noisy Observation</w:t>
      </w:r>
    </w:p>
    <w:p w14:paraId="3FA3006F" w14:textId="77777777" w:rsidR="008965AB"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CES,SA</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CES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CES</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SA</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CES,SA</m:t>
                  </m:r>
                </m:sub>
                <m:sup>
                  <m:r>
                    <w:rPr>
                      <w:rFonts w:ascii="Cambria Math" w:hAnsi="Cambria Math"/>
                    </w:rPr>
                    <m:t>2</m:t>
                  </m:r>
                </m:sup>
              </m:sSubSup>
            </m:e>
          </m:d>
        </m:oMath>
      </m:oMathPara>
    </w:p>
    <w:p w14:paraId="3FA30070" w14:textId="77777777" w:rsidR="008965AB"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CES,NSA</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CES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CES</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total,nsa</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NSA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NSA</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CES,NSA</m:t>
                  </m:r>
                </m:sub>
                <m:sup>
                  <m:r>
                    <w:rPr>
                      <w:rFonts w:ascii="Cambria Math" w:hAnsi="Cambria Math"/>
                    </w:rPr>
                    <m:t>2</m:t>
                  </m:r>
                </m:sup>
              </m:sSubSup>
            </m:e>
          </m:d>
        </m:oMath>
      </m:oMathPara>
    </w:p>
    <w:p w14:paraId="3FA30071" w14:textId="77777777" w:rsidR="008965AB" w:rsidRDefault="00000000">
      <w:pPr>
        <w:pStyle w:val="FirstParagraph"/>
      </w:pPr>
      <w:r>
        <w:t xml:space="preserve">SA and NSA share </w:t>
      </w:r>
      <m:oMath>
        <m:sSub>
          <m:sSubPr>
            <m:ctrlPr>
              <w:rPr>
                <w:rFonts w:ascii="Cambria Math" w:hAnsi="Cambria Math"/>
              </w:rPr>
            </m:ctrlPr>
          </m:sSubPr>
          <m:e>
            <m:r>
              <w:rPr>
                <w:rFonts w:ascii="Cambria Math" w:hAnsi="Cambria Math"/>
              </w:rPr>
              <m:t>α</m:t>
            </m:r>
          </m:e>
          <m:sub>
            <m:r>
              <m:rPr>
                <m:nor/>
              </m:rPr>
              <m:t>CES</m:t>
            </m:r>
          </m:sub>
        </m:sSub>
      </m:oMath>
      <w:r>
        <w:t xml:space="preserve"> and </w:t>
      </w:r>
      <m:oMath>
        <m:sSub>
          <m:sSubPr>
            <m:ctrlPr>
              <w:rPr>
                <w:rFonts w:ascii="Cambria Math" w:hAnsi="Cambria Math"/>
              </w:rPr>
            </m:ctrlPr>
          </m:sSubPr>
          <m:e>
            <m:r>
              <w:rPr>
                <w:rFonts w:ascii="Cambria Math" w:hAnsi="Cambria Math"/>
              </w:rPr>
              <m:t>λ</m:t>
            </m:r>
          </m:e>
          <m:sub>
            <m:r>
              <m:rPr>
                <m:nor/>
              </m:rPr>
              <m:t>CES</m:t>
            </m:r>
          </m:sub>
        </m:sSub>
      </m:oMath>
      <w:r>
        <w:t xml:space="preserve"> but have separate noise parameters.</w:t>
      </w:r>
    </w:p>
    <w:tbl>
      <w:tblPr>
        <w:tblStyle w:val="Table"/>
        <w:tblW w:w="5000" w:type="pct"/>
        <w:tblLayout w:type="fixed"/>
        <w:tblLook w:val="0020" w:firstRow="1" w:lastRow="0" w:firstColumn="0" w:lastColumn="0" w:noHBand="0" w:noVBand="0"/>
      </w:tblPr>
      <w:tblGrid>
        <w:gridCol w:w="1350"/>
        <w:gridCol w:w="3600"/>
        <w:gridCol w:w="4410"/>
      </w:tblGrid>
      <w:tr w:rsidR="008965AB" w14:paraId="3FA30075" w14:textId="77777777" w:rsidTr="00EB5FA9">
        <w:trPr>
          <w:cnfStyle w:val="100000000000" w:firstRow="1" w:lastRow="0" w:firstColumn="0" w:lastColumn="0" w:oddVBand="0" w:evenVBand="0" w:oddHBand="0" w:evenHBand="0" w:firstRowFirstColumn="0" w:firstRowLastColumn="0" w:lastRowFirstColumn="0" w:lastRowLastColumn="0"/>
          <w:tblHeader/>
        </w:trPr>
        <w:tc>
          <w:tcPr>
            <w:tcW w:w="1350" w:type="dxa"/>
          </w:tcPr>
          <w:p w14:paraId="3FA30072" w14:textId="77777777" w:rsidR="008965AB" w:rsidRDefault="00000000">
            <w:pPr>
              <w:pStyle w:val="Compact"/>
            </w:pPr>
            <w:r>
              <w:t>Parameter</w:t>
            </w:r>
          </w:p>
        </w:tc>
        <w:tc>
          <w:tcPr>
            <w:tcW w:w="3600" w:type="dxa"/>
          </w:tcPr>
          <w:p w14:paraId="3FA30073" w14:textId="77777777" w:rsidR="008965AB" w:rsidRDefault="00000000" w:rsidP="00EB5FA9">
            <w:pPr>
              <w:pStyle w:val="Compact"/>
              <w:jc w:val="center"/>
            </w:pPr>
            <w:r>
              <w:t>Prior</w:t>
            </w:r>
          </w:p>
        </w:tc>
        <w:tc>
          <w:tcPr>
            <w:tcW w:w="4410" w:type="dxa"/>
          </w:tcPr>
          <w:p w14:paraId="3FA30074" w14:textId="77777777" w:rsidR="008965AB" w:rsidRDefault="00000000">
            <w:pPr>
              <w:pStyle w:val="Compact"/>
            </w:pPr>
            <w:r>
              <w:t>Rationale</w:t>
            </w:r>
          </w:p>
        </w:tc>
      </w:tr>
      <w:tr w:rsidR="008965AB" w14:paraId="3FA30079" w14:textId="77777777" w:rsidTr="00EB5FA9">
        <w:tc>
          <w:tcPr>
            <w:tcW w:w="1350" w:type="dxa"/>
          </w:tcPr>
          <w:p w14:paraId="3FA30076" w14:textId="77777777" w:rsidR="008965AB" w:rsidRDefault="00000000">
            <w:pPr>
              <w:pStyle w:val="Compact"/>
            </w:pPr>
            <m:oMathPara>
              <m:oMath>
                <m:sSub>
                  <m:sSubPr>
                    <m:ctrlPr>
                      <w:rPr>
                        <w:rFonts w:ascii="Cambria Math" w:hAnsi="Cambria Math"/>
                      </w:rPr>
                    </m:ctrlPr>
                  </m:sSubPr>
                  <m:e>
                    <m:r>
                      <w:rPr>
                        <w:rFonts w:ascii="Cambria Math" w:hAnsi="Cambria Math"/>
                      </w:rPr>
                      <m:t>α</m:t>
                    </m:r>
                  </m:e>
                  <m:sub>
                    <m:r>
                      <m:rPr>
                        <m:nor/>
                      </m:rPr>
                      <m:t>CES</m:t>
                    </m:r>
                  </m:sub>
                </m:sSub>
              </m:oMath>
            </m:oMathPara>
          </w:p>
        </w:tc>
        <w:tc>
          <w:tcPr>
            <w:tcW w:w="3600" w:type="dxa"/>
          </w:tcPr>
          <w:p w14:paraId="3FA30077" w14:textId="77777777" w:rsidR="008965AB" w:rsidRDefault="00000000">
            <w:pPr>
              <w:pStyle w:val="Compact"/>
            </w:pPr>
            <m:oMathPara>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oMath>
            </m:oMathPara>
          </w:p>
        </w:tc>
        <w:tc>
          <w:tcPr>
            <w:tcW w:w="4410" w:type="dxa"/>
          </w:tcPr>
          <w:p w14:paraId="3FA30078" w14:textId="77777777" w:rsidR="008965AB" w:rsidRDefault="00000000">
            <w:pPr>
              <w:pStyle w:val="Compact"/>
            </w:pPr>
            <w:r>
              <w:t>Small bias allowed</w:t>
            </w:r>
          </w:p>
        </w:tc>
      </w:tr>
      <w:tr w:rsidR="008965AB" w14:paraId="3FA3007D" w14:textId="77777777" w:rsidTr="00EB5FA9">
        <w:tc>
          <w:tcPr>
            <w:tcW w:w="1350" w:type="dxa"/>
          </w:tcPr>
          <w:p w14:paraId="3FA3007A" w14:textId="77777777" w:rsidR="008965AB" w:rsidRDefault="00000000">
            <w:pPr>
              <w:pStyle w:val="Compact"/>
            </w:pPr>
            <m:oMathPara>
              <m:oMath>
                <m:sSub>
                  <m:sSubPr>
                    <m:ctrlPr>
                      <w:rPr>
                        <w:rFonts w:ascii="Cambria Math" w:hAnsi="Cambria Math"/>
                      </w:rPr>
                    </m:ctrlPr>
                  </m:sSubPr>
                  <m:e>
                    <m:r>
                      <w:rPr>
                        <w:rFonts w:ascii="Cambria Math" w:hAnsi="Cambria Math"/>
                      </w:rPr>
                      <m:t>λ</m:t>
                    </m:r>
                  </m:e>
                  <m:sub>
                    <m:r>
                      <m:rPr>
                        <m:nor/>
                      </m:rPr>
                      <m:t>CES</m:t>
                    </m:r>
                  </m:sub>
                </m:sSub>
              </m:oMath>
            </m:oMathPara>
          </w:p>
        </w:tc>
        <w:tc>
          <w:tcPr>
            <w:tcW w:w="3600" w:type="dxa"/>
          </w:tcPr>
          <w:p w14:paraId="3FA3007B" w14:textId="77777777" w:rsidR="008965AB" w:rsidRDefault="00000000">
            <w:pPr>
              <w:pStyle w:val="Compact"/>
            </w:pPr>
            <m:oMathPara>
              <m:oMath>
                <m:r>
                  <m:rPr>
                    <m:scr m:val="script"/>
                    <m:sty m:val="p"/>
                  </m:rPr>
                  <w:rPr>
                    <w:rFonts w:ascii="Cambria Math" w:hAnsi="Cambria Math"/>
                  </w:rPr>
                  <m:t>N</m:t>
                </m:r>
                <m:d>
                  <m:dPr>
                    <m:ctrlPr>
                      <w:rPr>
                        <w:rFonts w:ascii="Cambria Math" w:hAnsi="Cambria Math"/>
                      </w:rPr>
                    </m:ctrlPr>
                  </m:dPr>
                  <m:e>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0.25</m:t>
                        </m:r>
                      </m:e>
                      <m:sup>
                        <m:r>
                          <w:rPr>
                            <w:rFonts w:ascii="Cambria Math" w:hAnsi="Cambria Math"/>
                          </w:rPr>
                          <m:t>2</m:t>
                        </m:r>
                      </m:sup>
                    </m:sSup>
                  </m:e>
                </m:d>
              </m:oMath>
            </m:oMathPara>
          </w:p>
        </w:tc>
        <w:tc>
          <w:tcPr>
            <w:tcW w:w="4410" w:type="dxa"/>
          </w:tcPr>
          <w:p w14:paraId="3FA3007C" w14:textId="77777777" w:rsidR="008965AB" w:rsidRDefault="00000000">
            <w:pPr>
              <w:pStyle w:val="Compact"/>
            </w:pPr>
            <w:r>
              <w:t>Centered on unit loading</w:t>
            </w:r>
          </w:p>
        </w:tc>
      </w:tr>
      <w:tr w:rsidR="008965AB" w14:paraId="3FA30081" w14:textId="77777777" w:rsidTr="00EB5FA9">
        <w:tc>
          <w:tcPr>
            <w:tcW w:w="1350" w:type="dxa"/>
          </w:tcPr>
          <w:p w14:paraId="3FA3007E" w14:textId="77777777" w:rsidR="008965AB" w:rsidRDefault="00000000">
            <w:pPr>
              <w:pStyle w:val="Compact"/>
            </w:pPr>
            <m:oMathPara>
              <m:oMath>
                <m:sSub>
                  <m:sSubPr>
                    <m:ctrlPr>
                      <w:rPr>
                        <w:rFonts w:ascii="Cambria Math" w:hAnsi="Cambria Math"/>
                      </w:rPr>
                    </m:ctrlPr>
                  </m:sSubPr>
                  <m:e>
                    <m:r>
                      <w:rPr>
                        <w:rFonts w:ascii="Cambria Math" w:hAnsi="Cambria Math"/>
                      </w:rPr>
                      <m:t>σ</m:t>
                    </m:r>
                  </m:e>
                  <m:sub>
                    <m:r>
                      <m:rPr>
                        <m:nor/>
                      </m:rPr>
                      <m:t>CES,SA</m:t>
                    </m:r>
                  </m:sub>
                </m:sSub>
              </m:oMath>
            </m:oMathPara>
          </w:p>
        </w:tc>
        <w:tc>
          <w:tcPr>
            <w:tcW w:w="3600" w:type="dxa"/>
          </w:tcPr>
          <w:p w14:paraId="3FA3007F" w14:textId="77777777" w:rsidR="008965AB" w:rsidRDefault="00000000">
            <w:pPr>
              <w:pStyle w:val="Compact"/>
            </w:pPr>
            <m:oMathPara>
              <m:oMath>
                <m:r>
                  <m:rPr>
                    <m:nor/>
                  </m:rPr>
                  <m:t>InverseGamma</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0.004</m:t>
                    </m:r>
                  </m:e>
                </m:d>
              </m:oMath>
            </m:oMathPara>
          </w:p>
        </w:tc>
        <w:tc>
          <w:tcPr>
            <w:tcW w:w="4410" w:type="dxa"/>
          </w:tcPr>
          <w:p w14:paraId="3FA30080" w14:textId="77777777" w:rsidR="008965AB" w:rsidRDefault="00000000">
            <w:pPr>
              <w:pStyle w:val="Compact"/>
            </w:pPr>
            <w:r>
              <w:t xml:space="preserve">Mode </w:t>
            </w:r>
            <m:oMath>
              <m:r>
                <m:rPr>
                  <m:sty m:val="p"/>
                </m:rPr>
                <w:rPr>
                  <w:rFonts w:ascii="Cambria Math" w:hAnsi="Cambria Math"/>
                </w:rPr>
                <m:t>≈</m:t>
              </m:r>
              <m:r>
                <w:rPr>
                  <w:rFonts w:ascii="Cambria Math" w:hAnsi="Cambria Math"/>
                </w:rPr>
                <m:t>0.001</m:t>
              </m:r>
            </m:oMath>
            <w:r>
              <w:t>; prevents zero-collapse</w:t>
            </w:r>
          </w:p>
        </w:tc>
      </w:tr>
      <w:tr w:rsidR="008965AB" w14:paraId="3FA30085" w14:textId="77777777" w:rsidTr="00EB5FA9">
        <w:tc>
          <w:tcPr>
            <w:tcW w:w="1350" w:type="dxa"/>
          </w:tcPr>
          <w:p w14:paraId="3FA30082" w14:textId="77777777" w:rsidR="008965AB" w:rsidRDefault="00000000">
            <w:pPr>
              <w:pStyle w:val="Compact"/>
            </w:pPr>
            <m:oMathPara>
              <m:oMath>
                <m:sSub>
                  <m:sSubPr>
                    <m:ctrlPr>
                      <w:rPr>
                        <w:rFonts w:ascii="Cambria Math" w:hAnsi="Cambria Math"/>
                      </w:rPr>
                    </m:ctrlPr>
                  </m:sSubPr>
                  <m:e>
                    <m:r>
                      <w:rPr>
                        <w:rFonts w:ascii="Cambria Math" w:hAnsi="Cambria Math"/>
                      </w:rPr>
                      <m:t>σ</m:t>
                    </m:r>
                  </m:e>
                  <m:sub>
                    <m:r>
                      <m:rPr>
                        <m:nor/>
                      </m:rPr>
                      <m:t>CES,NSA</m:t>
                    </m:r>
                  </m:sub>
                </m:sSub>
              </m:oMath>
            </m:oMathPara>
          </w:p>
        </w:tc>
        <w:tc>
          <w:tcPr>
            <w:tcW w:w="3600" w:type="dxa"/>
          </w:tcPr>
          <w:p w14:paraId="3FA30083" w14:textId="77777777" w:rsidR="008965AB" w:rsidRDefault="00000000">
            <w:pPr>
              <w:pStyle w:val="Compact"/>
            </w:pPr>
            <m:oMathPara>
              <m:oMath>
                <m:r>
                  <m:rPr>
                    <m:nor/>
                  </m:rPr>
                  <m:t>InverseGamma</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0.004</m:t>
                    </m:r>
                  </m:e>
                </m:d>
              </m:oMath>
            </m:oMathPara>
          </w:p>
        </w:tc>
        <w:tc>
          <w:tcPr>
            <w:tcW w:w="4410" w:type="dxa"/>
          </w:tcPr>
          <w:p w14:paraId="3FA30084" w14:textId="77777777" w:rsidR="008965AB" w:rsidRDefault="00000000">
            <w:pPr>
              <w:pStyle w:val="Compact"/>
            </w:pPr>
            <w:r>
              <w:t xml:space="preserve">Mode </w:t>
            </w:r>
            <m:oMath>
              <m:r>
                <m:rPr>
                  <m:sty m:val="p"/>
                </m:rPr>
                <w:rPr>
                  <w:rFonts w:ascii="Cambria Math" w:hAnsi="Cambria Math"/>
                </w:rPr>
                <m:t>≈</m:t>
              </m:r>
              <m:r>
                <w:rPr>
                  <w:rFonts w:ascii="Cambria Math" w:hAnsi="Cambria Math"/>
                </w:rPr>
                <m:t>0.001</m:t>
              </m:r>
            </m:oMath>
            <w:r>
              <w:t>; prevents zero-collapse</w:t>
            </w:r>
          </w:p>
        </w:tc>
      </w:tr>
    </w:tbl>
    <w:p w14:paraId="3FA30086" w14:textId="77777777" w:rsidR="008965AB" w:rsidRDefault="00000000">
      <w:pPr>
        <w:pStyle w:val="Heading3"/>
      </w:pPr>
      <w:bookmarkStart w:id="15" w:name="pp-likelihood-independent-providers"/>
      <w:bookmarkEnd w:id="14"/>
      <w:r>
        <w:t>4.6 PP Likelihood — Independent Providers</w:t>
      </w:r>
    </w:p>
    <w:p w14:paraId="3FA30087" w14:textId="77777777" w:rsidR="008965AB" w:rsidRDefault="00000000">
      <w:pPr>
        <w:pStyle w:val="FirstParagraph"/>
      </w:pPr>
      <w:r>
        <w:t>Each PP series observes NSA continuing-units growth with provider-specific parameters and independent measurement errors:</w:t>
      </w:r>
    </w:p>
    <w:p w14:paraId="3FA30088" w14:textId="77777777" w:rsidR="008965AB" w:rsidRDefault="00000000">
      <w:pPr>
        <w:pStyle w:val="Heading4"/>
      </w:pPr>
      <w:bookmarkStart w:id="16" w:name="pp1-ar1-measurement-error"/>
      <w:r>
        <w:t>4.6.1 PP1: AR(1) Measurement Error</w:t>
      </w:r>
    </w:p>
    <w:p w14:paraId="3FA30089" w14:textId="253BE28D" w:rsidR="008965AB" w:rsidRDefault="00000000">
      <w:pPr>
        <w:pStyle w:val="FirstParagraph"/>
      </w:pPr>
      <w:r>
        <w:t xml:space="preserve">PP1 clients are </w:t>
      </w:r>
      <w:r w:rsidR="00E32694">
        <w:t xml:space="preserve">a mixture of small and </w:t>
      </w:r>
      <w:r w:rsidR="00194E24">
        <w:t>medium-sized</w:t>
      </w:r>
      <w:r w:rsidR="00E32694">
        <w:t xml:space="preserve"> single and </w:t>
      </w:r>
      <w:r>
        <w:t>multi-establishment firms. Within-client restructuring creates autocorrelated residuals:</w:t>
      </w:r>
    </w:p>
    <w:p w14:paraId="3FA3008A" w14:textId="77777777" w:rsidR="008965AB"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ρ </m:t>
          </m:r>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e>
          </m:d>
        </m:oMath>
      </m:oMathPara>
    </w:p>
    <w:p w14:paraId="3FA3008B" w14:textId="77777777" w:rsidR="008965AB" w:rsidRDefault="00000000">
      <w:pPr>
        <w:pStyle w:val="FirstParagraph"/>
      </w:pPr>
      <w:r>
        <w:t>Implemented as a conditional likelihood:</w:t>
      </w:r>
    </w:p>
    <w:p w14:paraId="3FA3008C" w14:textId="77777777" w:rsidR="008965A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1</m:t>
              </m:r>
              <m:r>
                <m:rPr>
                  <m:sty m:val="p"/>
                </m:rPr>
                <w:rPr>
                  <w:rFonts w:ascii="Cambria Math" w:hAnsi="Cambria Math"/>
                </w:rPr>
                <m:t>,</m:t>
              </m:r>
              <m:r>
                <w:rPr>
                  <w:rFonts w:ascii="Cambria Math" w:hAnsi="Cambria Math"/>
                </w:rPr>
                <m:t>t</m:t>
              </m:r>
            </m:sub>
            <m:sup>
              <m:r>
                <m:rPr>
                  <m:nor/>
                </m:rPr>
                <m:t>PP</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m:rPr>
                  <m:nor/>
                </m:rPr>
                <m:t>PP</m:t>
              </m:r>
            </m:sup>
          </m:sSubSup>
          <m:r>
            <m:rPr>
              <m:scr m:val="script"/>
              <m:sty m:val="p"/>
            </m:rPr>
            <w:rPr>
              <w:rFonts w:ascii="Cambria Math" w:hAnsi="Cambria Math"/>
            </w:rPr>
            <m:t>∼N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ρ</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m:rPr>
                          <m:nor/>
                        </m:rPr>
                        <m:t>PP</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e>
          </m:d>
        </m:oMath>
      </m:oMathPara>
    </w:p>
    <w:p w14:paraId="3FA3008D" w14:textId="77777777" w:rsidR="008965AB" w:rsidRDefault="00000000">
      <w:pPr>
        <w:pStyle w:val="FirstParagraph"/>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cont,nsa</m:t>
            </m:r>
          </m:sup>
        </m:sSubSup>
      </m:oMath>
      <w:r>
        <w:t xml:space="preserve">, with marginal variance </w:t>
      </w:r>
      <m:oMath>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d>
      </m:oMath>
      <w:r>
        <w:t xml:space="preserve"> at </w:t>
      </w:r>
      <m:oMath>
        <m:r>
          <w:rPr>
            <w:rFonts w:ascii="Cambria Math" w:hAnsi="Cambria Math"/>
          </w:rPr>
          <m:t>t</m:t>
        </m:r>
        <m:r>
          <m:rPr>
            <m:sty m:val="p"/>
          </m:rPr>
          <w:rPr>
            <w:rFonts w:ascii="Cambria Math" w:hAnsi="Cambria Math"/>
          </w:rPr>
          <m:t>=</m:t>
        </m:r>
        <m:r>
          <w:rPr>
            <w:rFonts w:ascii="Cambria Math" w:hAnsi="Cambria Math"/>
          </w:rPr>
          <m:t>0</m:t>
        </m:r>
      </m:oMath>
      <w:r>
        <w:t>.</w:t>
      </w:r>
    </w:p>
    <w:p w14:paraId="3FA3008E" w14:textId="77777777" w:rsidR="008965AB" w:rsidRDefault="00000000">
      <w:pPr>
        <w:pStyle w:val="Heading4"/>
      </w:pPr>
      <w:bookmarkStart w:id="17" w:name="pp2-iid-measurement-error"/>
      <w:bookmarkEnd w:id="16"/>
      <w:r>
        <w:t>4.6.2 PP2: iid Measurement Error</w:t>
      </w:r>
    </w:p>
    <w:p w14:paraId="3FA3008F" w14:textId="77777777" w:rsidR="008965AB" w:rsidRDefault="00000000">
      <w:pPr>
        <w:pStyle w:val="FirstParagraph"/>
      </w:pPr>
      <w:r>
        <w:t>PP2 clients are predominantly single-establishment firms with clean client-establishment alignment:</w:t>
      </w:r>
    </w:p>
    <w:p w14:paraId="3FA30090" w14:textId="77777777" w:rsidR="008965AB"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2</m:t>
              </m:r>
              <m:r>
                <m:rPr>
                  <m:sty m:val="p"/>
                </m:rPr>
                <w:rPr>
                  <w:rFonts w:ascii="Cambria Math" w:hAnsi="Cambria Math"/>
                </w:rPr>
                <m:t>,</m:t>
              </m:r>
              <m:r>
                <w:rPr>
                  <w:rFonts w:ascii="Cambria Math" w:hAnsi="Cambria Math"/>
                </w:rPr>
                <m:t>t</m:t>
              </m:r>
            </m:sub>
            <m:sup>
              <m:r>
                <m:rPr>
                  <m:nor/>
                </m:rPr>
                <m:t>PP</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cont,nsa</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2</m:t>
              </m:r>
              <m:r>
                <m:rPr>
                  <m:sty m:val="p"/>
                </m:rPr>
                <w:rPr>
                  <w:rFonts w:ascii="Cambria Math" w:hAnsi="Cambria Math"/>
                </w:rPr>
                <m:t>,</m:t>
              </m:r>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e>
          </m:d>
        </m:oMath>
      </m:oMathPara>
    </w:p>
    <w:p w14:paraId="3FA30091" w14:textId="77777777" w:rsidR="008965AB" w:rsidRDefault="00000000">
      <w:pPr>
        <w:pStyle w:val="Heading4"/>
      </w:pPr>
      <w:bookmarkStart w:id="18" w:name="pp-priors"/>
      <w:bookmarkEnd w:id="17"/>
      <w:r>
        <w:t>4.6.3 PP Priors</w:t>
      </w:r>
    </w:p>
    <w:tbl>
      <w:tblPr>
        <w:tblStyle w:val="Table"/>
        <w:tblW w:w="5000" w:type="pct"/>
        <w:tblLayout w:type="fixed"/>
        <w:tblLook w:val="0020" w:firstRow="1" w:lastRow="0" w:firstColumn="0" w:lastColumn="0" w:noHBand="0" w:noVBand="0"/>
      </w:tblPr>
      <w:tblGrid>
        <w:gridCol w:w="1440"/>
        <w:gridCol w:w="3330"/>
        <w:gridCol w:w="4590"/>
      </w:tblGrid>
      <w:tr w:rsidR="008965AB" w14:paraId="3FA30095" w14:textId="77777777" w:rsidTr="00EB5FA9">
        <w:trPr>
          <w:cnfStyle w:val="100000000000" w:firstRow="1" w:lastRow="0" w:firstColumn="0" w:lastColumn="0" w:oddVBand="0" w:evenVBand="0" w:oddHBand="0" w:evenHBand="0" w:firstRowFirstColumn="0" w:firstRowLastColumn="0" w:lastRowFirstColumn="0" w:lastRowLastColumn="0"/>
          <w:tblHeader/>
        </w:trPr>
        <w:tc>
          <w:tcPr>
            <w:tcW w:w="1440" w:type="dxa"/>
          </w:tcPr>
          <w:p w14:paraId="3FA30092" w14:textId="77777777" w:rsidR="008965AB" w:rsidRDefault="00000000">
            <w:pPr>
              <w:pStyle w:val="Compact"/>
            </w:pPr>
            <w:r>
              <w:t>Parameter</w:t>
            </w:r>
          </w:p>
        </w:tc>
        <w:tc>
          <w:tcPr>
            <w:tcW w:w="3330" w:type="dxa"/>
          </w:tcPr>
          <w:p w14:paraId="3FA30093" w14:textId="77777777" w:rsidR="008965AB" w:rsidRDefault="00000000" w:rsidP="00EB5FA9">
            <w:pPr>
              <w:pStyle w:val="Compact"/>
              <w:jc w:val="center"/>
            </w:pPr>
            <w:r>
              <w:t>Prior</w:t>
            </w:r>
          </w:p>
        </w:tc>
        <w:tc>
          <w:tcPr>
            <w:tcW w:w="4590" w:type="dxa"/>
          </w:tcPr>
          <w:p w14:paraId="3FA30094" w14:textId="77777777" w:rsidR="008965AB" w:rsidRDefault="00000000">
            <w:pPr>
              <w:pStyle w:val="Compact"/>
            </w:pPr>
            <w:r>
              <w:t>Rationale</w:t>
            </w:r>
          </w:p>
        </w:tc>
      </w:tr>
      <w:tr w:rsidR="008965AB" w14:paraId="3FA30099" w14:textId="77777777" w:rsidTr="00EB5FA9">
        <w:tc>
          <w:tcPr>
            <w:tcW w:w="1440" w:type="dxa"/>
          </w:tcPr>
          <w:p w14:paraId="3FA30096" w14:textId="77777777" w:rsidR="008965AB"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p</m:t>
                    </m:r>
                  </m:sub>
                </m:sSub>
              </m:oMath>
            </m:oMathPara>
          </w:p>
        </w:tc>
        <w:tc>
          <w:tcPr>
            <w:tcW w:w="3330" w:type="dxa"/>
          </w:tcPr>
          <w:p w14:paraId="3FA30097" w14:textId="77777777" w:rsidR="008965AB" w:rsidRDefault="00000000">
            <w:pPr>
              <w:pStyle w:val="Compact"/>
            </w:pPr>
            <m:oMathPara>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0.005</m:t>
                        </m:r>
                      </m:e>
                      <m:sup>
                        <m:r>
                          <w:rPr>
                            <w:rFonts w:ascii="Cambria Math" w:hAnsi="Cambria Math"/>
                          </w:rPr>
                          <m:t>2</m:t>
                        </m:r>
                      </m:sup>
                    </m:sSup>
                  </m:e>
                </m:d>
              </m:oMath>
            </m:oMathPara>
          </w:p>
        </w:tc>
        <w:tc>
          <w:tcPr>
            <w:tcW w:w="4590" w:type="dxa"/>
          </w:tcPr>
          <w:p w14:paraId="3FA30098" w14:textId="77777777" w:rsidR="008965AB" w:rsidRDefault="00000000">
            <w:pPr>
              <w:pStyle w:val="Compact"/>
            </w:pPr>
            <w:r>
              <w:t>Small systematic bias allowed</w:t>
            </w:r>
          </w:p>
        </w:tc>
      </w:tr>
      <w:tr w:rsidR="008965AB" w14:paraId="3FA3009D" w14:textId="77777777" w:rsidTr="00EB5FA9">
        <w:tc>
          <w:tcPr>
            <w:tcW w:w="1440" w:type="dxa"/>
          </w:tcPr>
          <w:p w14:paraId="3FA3009A" w14:textId="77777777" w:rsidR="008965AB" w:rsidRDefault="00000000">
            <w:pPr>
              <w:pStyle w:val="Compact"/>
            </w:pPr>
            <m:oMathPara>
              <m:oMath>
                <m:sSub>
                  <m:sSubPr>
                    <m:ctrlPr>
                      <w:rPr>
                        <w:rFonts w:ascii="Cambria Math" w:hAnsi="Cambria Math"/>
                      </w:rPr>
                    </m:ctrlPr>
                  </m:sSubPr>
                  <m:e>
                    <m:r>
                      <w:rPr>
                        <w:rFonts w:ascii="Cambria Math" w:hAnsi="Cambria Math"/>
                      </w:rPr>
                      <m:t>λ</m:t>
                    </m:r>
                  </m:e>
                  <m:sub>
                    <m:r>
                      <w:rPr>
                        <w:rFonts w:ascii="Cambria Math" w:hAnsi="Cambria Math"/>
                      </w:rPr>
                      <m:t>p</m:t>
                    </m:r>
                  </m:sub>
                </m:sSub>
              </m:oMath>
            </m:oMathPara>
          </w:p>
        </w:tc>
        <w:tc>
          <w:tcPr>
            <w:tcW w:w="3330" w:type="dxa"/>
          </w:tcPr>
          <w:p w14:paraId="3FA3009B" w14:textId="77777777" w:rsidR="008965AB" w:rsidRDefault="00000000">
            <w:pPr>
              <w:pStyle w:val="Compact"/>
            </w:pPr>
            <m:oMathPara>
              <m:oMath>
                <m:r>
                  <m:rPr>
                    <m:scr m:val="script"/>
                    <m:sty m:val="p"/>
                  </m:rPr>
                  <w:rPr>
                    <w:rFonts w:ascii="Cambria Math" w:hAnsi="Cambria Math"/>
                  </w:rPr>
                  <m:t>N</m:t>
                </m:r>
                <m:d>
                  <m:dPr>
                    <m:ctrlPr>
                      <w:rPr>
                        <w:rFonts w:ascii="Cambria Math" w:hAnsi="Cambria Math"/>
                      </w:rPr>
                    </m:ctrlPr>
                  </m:dPr>
                  <m:e>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0.25</m:t>
                        </m:r>
                      </m:e>
                      <m:sup>
                        <m:r>
                          <w:rPr>
                            <w:rFonts w:ascii="Cambria Math" w:hAnsi="Cambria Math"/>
                          </w:rPr>
                          <m:t>2</m:t>
                        </m:r>
                      </m:sup>
                    </m:sSup>
                  </m:e>
                </m:d>
              </m:oMath>
            </m:oMathPara>
          </w:p>
        </w:tc>
        <w:tc>
          <w:tcPr>
            <w:tcW w:w="4590" w:type="dxa"/>
          </w:tcPr>
          <w:p w14:paraId="3FA3009C" w14:textId="77777777" w:rsidR="008965AB" w:rsidRDefault="00000000">
            <w:pPr>
              <w:pStyle w:val="Compact"/>
            </w:pPr>
            <w:r>
              <w:t>Centered on unit loading</w:t>
            </w:r>
          </w:p>
        </w:tc>
      </w:tr>
      <w:tr w:rsidR="008965AB" w14:paraId="3FA300A1" w14:textId="77777777" w:rsidTr="00EB5FA9">
        <w:tc>
          <w:tcPr>
            <w:tcW w:w="1440" w:type="dxa"/>
          </w:tcPr>
          <w:p w14:paraId="3FA3009E" w14:textId="77777777" w:rsidR="008965AB"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p</m:t>
                    </m:r>
                  </m:sub>
                </m:sSub>
              </m:oMath>
            </m:oMathPara>
          </w:p>
        </w:tc>
        <w:tc>
          <w:tcPr>
            <w:tcW w:w="3330" w:type="dxa"/>
          </w:tcPr>
          <w:p w14:paraId="3FA3009F" w14:textId="77777777" w:rsidR="008965AB" w:rsidRDefault="00000000">
            <w:pPr>
              <w:pStyle w:val="Compact"/>
            </w:pPr>
            <m:oMathPara>
              <m:oMath>
                <m:r>
                  <m:rPr>
                    <m:nor/>
                  </m:rPr>
                  <m:t>InverseGamma</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0.004</m:t>
                    </m:r>
                  </m:e>
                </m:d>
              </m:oMath>
            </m:oMathPara>
          </w:p>
        </w:tc>
        <w:tc>
          <w:tcPr>
            <w:tcW w:w="4590" w:type="dxa"/>
          </w:tcPr>
          <w:p w14:paraId="3FA300A0" w14:textId="77777777" w:rsidR="008965AB" w:rsidRDefault="00000000">
            <w:pPr>
              <w:pStyle w:val="Compact"/>
            </w:pPr>
            <w:r>
              <w:t xml:space="preserve">Mode </w:t>
            </w:r>
            <m:oMath>
              <m:r>
                <m:rPr>
                  <m:sty m:val="p"/>
                </m:rPr>
                <w:rPr>
                  <w:rFonts w:ascii="Cambria Math" w:hAnsi="Cambria Math"/>
                </w:rPr>
                <m:t>≈</m:t>
              </m:r>
              <m:r>
                <w:rPr>
                  <w:rFonts w:ascii="Cambria Math" w:hAnsi="Cambria Math"/>
                </w:rPr>
                <m:t>0.001</m:t>
              </m:r>
            </m:oMath>
            <w:r>
              <w:t>; prevents funnel geometry</w:t>
            </w:r>
          </w:p>
        </w:tc>
      </w:tr>
      <w:tr w:rsidR="008965AB" w14:paraId="3FA300A5" w14:textId="77777777" w:rsidTr="00EB5FA9">
        <w:tc>
          <w:tcPr>
            <w:tcW w:w="1440" w:type="dxa"/>
          </w:tcPr>
          <w:p w14:paraId="3FA300A2" w14:textId="77777777" w:rsidR="008965AB" w:rsidRDefault="00000000">
            <w:pPr>
              <w:pStyle w:val="Compact"/>
            </w:pPr>
            <m:oMath>
              <m:r>
                <w:rPr>
                  <w:rFonts w:ascii="Cambria Math" w:hAnsi="Cambria Math"/>
                </w:rPr>
                <m:t>ρ</m:t>
              </m:r>
            </m:oMath>
            <w:r>
              <w:t xml:space="preserve"> (PP1 only)</w:t>
            </w:r>
          </w:p>
        </w:tc>
        <w:tc>
          <w:tcPr>
            <w:tcW w:w="3330" w:type="dxa"/>
          </w:tcPr>
          <w:p w14:paraId="3FA300A3" w14:textId="77777777" w:rsidR="008965AB" w:rsidRDefault="00000000">
            <w:pPr>
              <w:pStyle w:val="Compact"/>
            </w:pPr>
            <m:oMathPara>
              <m:oMath>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0.99</m:t>
                    </m:r>
                  </m:e>
                </m:d>
              </m:oMath>
            </m:oMathPara>
          </w:p>
        </w:tc>
        <w:tc>
          <w:tcPr>
            <w:tcW w:w="4590" w:type="dxa"/>
          </w:tcPr>
          <w:p w14:paraId="3FA300A4" w14:textId="77777777" w:rsidR="008965AB" w:rsidRDefault="00000000">
            <w:pPr>
              <w:pStyle w:val="Compact"/>
            </w:pPr>
            <w:r>
              <w:t>Positive autocorrelation; bounded below 1</w:t>
            </w:r>
          </w:p>
        </w:tc>
      </w:tr>
    </w:tbl>
    <w:p w14:paraId="3FA300A6" w14:textId="13D9BD9D" w:rsidR="008965AB" w:rsidRDefault="008965AB"/>
    <w:p w14:paraId="3FA300A7" w14:textId="77777777" w:rsidR="008965AB" w:rsidRDefault="00000000">
      <w:pPr>
        <w:pStyle w:val="Heading2"/>
      </w:pPr>
      <w:bookmarkStart w:id="19" w:name="identification"/>
      <w:bookmarkEnd w:id="9"/>
      <w:bookmarkEnd w:id="15"/>
      <w:bookmarkEnd w:id="18"/>
      <w:r>
        <w:t>5. Identification</w:t>
      </w:r>
    </w:p>
    <w:p w14:paraId="3FA300A8" w14:textId="77777777" w:rsidR="008965AB" w:rsidRDefault="00000000">
      <w:pPr>
        <w:numPr>
          <w:ilvl w:val="0"/>
          <w:numId w:val="3"/>
        </w:numPr>
      </w:pPr>
      <w:r>
        <w:rPr>
          <w:b/>
          <w:bCs/>
        </w:rPr>
        <w:t>Latent</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total,nsa</m:t>
            </m:r>
          </m:sup>
        </m:sSubSup>
      </m:oMath>
      <w:r>
        <w:t xml:space="preserve">: QCEW observations with </w:t>
      </w:r>
      <m:oMath>
        <m:r>
          <w:rPr>
            <w:rFonts w:ascii="Cambria Math" w:hAnsi="Cambria Math"/>
          </w:rPr>
          <m:t>α</m:t>
        </m:r>
        <m:r>
          <m:rPr>
            <m:sty m:val="p"/>
          </m:rPr>
          <w:rPr>
            <w:rFonts w:ascii="Cambria Math" w:hAnsi="Cambria Math"/>
          </w:rPr>
          <m:t>=</m:t>
        </m:r>
        <m:r>
          <w:rPr>
            <w:rFonts w:ascii="Cambria Math" w:hAnsi="Cambria Math"/>
          </w:rPr>
          <m:t>0</m:t>
        </m:r>
      </m:oMath>
      <w:r>
        <w:t xml:space="preserve">, </w:t>
      </w:r>
      <m:oMath>
        <m:r>
          <w:rPr>
            <w:rFonts w:ascii="Cambria Math" w:hAnsi="Cambria Math"/>
          </w:rPr>
          <m:t>λ</m:t>
        </m:r>
        <m:r>
          <m:rPr>
            <m:sty m:val="p"/>
          </m:rPr>
          <w:rPr>
            <w:rFonts w:ascii="Cambria Math" w:hAnsi="Cambria Math"/>
          </w:rPr>
          <m:t>=</m:t>
        </m:r>
        <m:r>
          <w:rPr>
            <w:rFonts w:ascii="Cambria Math" w:hAnsi="Cambria Math"/>
          </w:rPr>
          <m:t>1</m:t>
        </m:r>
      </m:oMath>
      <w:r>
        <w:t xml:space="preserve"> directly anchor NSA total employment growth.</w:t>
      </w:r>
    </w:p>
    <w:p w14:paraId="3FA300A9" w14:textId="77777777" w:rsidR="008965AB" w:rsidRDefault="00000000">
      <w:pPr>
        <w:numPr>
          <w:ilvl w:val="0"/>
          <w:numId w:val="3"/>
        </w:numPr>
      </w:pPr>
      <w:r>
        <w:rPr>
          <w:b/>
          <w:bCs/>
        </w:rPr>
        <w:t>CES calibration</w:t>
      </w:r>
      <w:r>
        <w:t xml:space="preserve">: Given the QCEW-identified latent state, </w:t>
      </w:r>
      <m:oMath>
        <m:sSub>
          <m:sSubPr>
            <m:ctrlPr>
              <w:rPr>
                <w:rFonts w:ascii="Cambria Math" w:hAnsi="Cambria Math"/>
              </w:rPr>
            </m:ctrlPr>
          </m:sSubPr>
          <m:e>
            <m:r>
              <w:rPr>
                <w:rFonts w:ascii="Cambria Math" w:hAnsi="Cambria Math"/>
              </w:rPr>
              <m:t>α</m:t>
            </m:r>
          </m:e>
          <m:sub>
            <m:r>
              <m:rPr>
                <m:nor/>
              </m:rPr>
              <m:t>CES</m:t>
            </m:r>
          </m:sub>
        </m:sSub>
      </m:oMath>
      <w:r>
        <w:t xml:space="preserve"> is the mean CES residual and </w:t>
      </w:r>
      <m:oMath>
        <m:sSub>
          <m:sSubPr>
            <m:ctrlPr>
              <w:rPr>
                <w:rFonts w:ascii="Cambria Math" w:hAnsi="Cambria Math"/>
              </w:rPr>
            </m:ctrlPr>
          </m:sSubPr>
          <m:e>
            <m:r>
              <w:rPr>
                <w:rFonts w:ascii="Cambria Math" w:hAnsi="Cambria Math"/>
              </w:rPr>
              <m:t>λ</m:t>
            </m:r>
          </m:e>
          <m:sub>
            <m:r>
              <m:rPr>
                <m:nor/>
              </m:rPr>
              <m:t>CES</m:t>
            </m:r>
          </m:sub>
        </m:sSub>
      </m:oMath>
      <w:r>
        <w:t xml:space="preserve"> is the CES-vs-latent slope.</w:t>
      </w:r>
    </w:p>
    <w:p w14:paraId="3FA300AA" w14:textId="77777777" w:rsidR="008965AB" w:rsidRDefault="00000000">
      <w:pPr>
        <w:numPr>
          <w:ilvl w:val="0"/>
          <w:numId w:val="3"/>
        </w:numPr>
      </w:pPr>
      <w:r>
        <w:rPr>
          <w:b/>
          <w:bCs/>
        </w:rPr>
        <w:t>Seasonal pattern</w:t>
      </w:r>
      <w:r>
        <w:t xml:space="preserve">: CES SA + CES NSA jointly identify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CES,NSA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CES,SA</m:t>
            </m:r>
          </m:sup>
        </m:sSubSup>
      </m:oMath>
      <w:r>
        <w:t>, crosschecked against the QCEW anchor which directly observes NSA total growth.</w:t>
      </w:r>
    </w:p>
    <w:p w14:paraId="3FA300AB" w14:textId="77777777" w:rsidR="008965AB" w:rsidRDefault="00000000">
      <w:pPr>
        <w:numPr>
          <w:ilvl w:val="0"/>
          <w:numId w:val="3"/>
        </w:numPr>
      </w:pPr>
      <w:r>
        <w:rPr>
          <w:b/>
          <w:bCs/>
        </w:rPr>
        <w:t>Birth/death offset</w:t>
      </w:r>
      <w:r>
        <w:t>: The mean wedge between total growth (QCEW, CES) and continuing-units growth (PP).</w:t>
      </w:r>
    </w:p>
    <w:p w14:paraId="3FA300AC" w14:textId="77777777" w:rsidR="008965AB" w:rsidRDefault="00000000">
      <w:pPr>
        <w:numPr>
          <w:ilvl w:val="0"/>
          <w:numId w:val="3"/>
        </w:numPr>
      </w:pPr>
      <w:r>
        <w:rPr>
          <w:b/>
          <w:bCs/>
        </w:rPr>
        <w:t>PP parameters</w:t>
      </w:r>
      <w:r>
        <w:t xml:space="preserve">: Given </w:t>
      </w:r>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cont,nsa</m:t>
            </m:r>
          </m:sup>
        </m:sSubSup>
      </m:oMath>
      <w:r>
        <w:t xml:space="preserve"> (total minus BD), PP bias, loading, and noise are identified from PP residuals.</w:t>
      </w:r>
    </w:p>
    <w:p w14:paraId="3FA300AD" w14:textId="0832B616" w:rsidR="008965AB" w:rsidRDefault="008965AB"/>
    <w:p w14:paraId="3FA300AE" w14:textId="77777777" w:rsidR="008965AB" w:rsidRDefault="00000000">
      <w:pPr>
        <w:pStyle w:val="Heading2"/>
      </w:pPr>
      <w:bookmarkStart w:id="20" w:name="computational-implementation"/>
      <w:bookmarkEnd w:id="19"/>
      <w:r>
        <w:t>6. Computational Implementation</w:t>
      </w:r>
    </w:p>
    <w:tbl>
      <w:tblPr>
        <w:tblStyle w:val="Table"/>
        <w:tblW w:w="0" w:type="auto"/>
        <w:tblLook w:val="0020" w:firstRow="1" w:lastRow="0" w:firstColumn="0" w:lastColumn="0" w:noHBand="0" w:noVBand="0"/>
      </w:tblPr>
      <w:tblGrid>
        <w:gridCol w:w="2083"/>
        <w:gridCol w:w="2998"/>
      </w:tblGrid>
      <w:tr w:rsidR="008965AB" w14:paraId="3FA300B1" w14:textId="77777777" w:rsidTr="008965AB">
        <w:trPr>
          <w:cnfStyle w:val="100000000000" w:firstRow="1" w:lastRow="0" w:firstColumn="0" w:lastColumn="0" w:oddVBand="0" w:evenVBand="0" w:oddHBand="0" w:evenHBand="0" w:firstRowFirstColumn="0" w:firstRowLastColumn="0" w:lastRowFirstColumn="0" w:lastRowLastColumn="0"/>
          <w:tblHeader/>
        </w:trPr>
        <w:tc>
          <w:tcPr>
            <w:tcW w:w="0" w:type="auto"/>
          </w:tcPr>
          <w:p w14:paraId="3FA300AF" w14:textId="77777777" w:rsidR="008965AB" w:rsidRDefault="00000000">
            <w:pPr>
              <w:pStyle w:val="Compact"/>
            </w:pPr>
            <w:r>
              <w:t>Setting</w:t>
            </w:r>
          </w:p>
        </w:tc>
        <w:tc>
          <w:tcPr>
            <w:tcW w:w="0" w:type="auto"/>
          </w:tcPr>
          <w:p w14:paraId="3FA300B0" w14:textId="77777777" w:rsidR="008965AB" w:rsidRDefault="00000000">
            <w:pPr>
              <w:pStyle w:val="Compact"/>
            </w:pPr>
            <w:r>
              <w:t>Value</w:t>
            </w:r>
          </w:p>
        </w:tc>
      </w:tr>
      <w:tr w:rsidR="008965AB" w14:paraId="3FA300B4" w14:textId="77777777">
        <w:tc>
          <w:tcPr>
            <w:tcW w:w="0" w:type="auto"/>
          </w:tcPr>
          <w:p w14:paraId="3FA300B2" w14:textId="77777777" w:rsidR="008965AB" w:rsidRDefault="00000000">
            <w:pPr>
              <w:pStyle w:val="Compact"/>
            </w:pPr>
            <w:r>
              <w:t>Draws</w:t>
            </w:r>
          </w:p>
        </w:tc>
        <w:tc>
          <w:tcPr>
            <w:tcW w:w="0" w:type="auto"/>
          </w:tcPr>
          <w:p w14:paraId="3FA300B3" w14:textId="77777777" w:rsidR="008965AB" w:rsidRDefault="00000000">
            <w:pPr>
              <w:pStyle w:val="Compact"/>
            </w:pPr>
            <w:r>
              <w:t>8,000 per chain</w:t>
            </w:r>
          </w:p>
        </w:tc>
      </w:tr>
      <w:tr w:rsidR="008965AB" w14:paraId="3FA300B7" w14:textId="77777777">
        <w:tc>
          <w:tcPr>
            <w:tcW w:w="0" w:type="auto"/>
          </w:tcPr>
          <w:p w14:paraId="3FA300B5" w14:textId="77777777" w:rsidR="008965AB" w:rsidRDefault="00000000">
            <w:pPr>
              <w:pStyle w:val="Compact"/>
            </w:pPr>
            <w:r>
              <w:t>Tuning</w:t>
            </w:r>
          </w:p>
        </w:tc>
        <w:tc>
          <w:tcPr>
            <w:tcW w:w="0" w:type="auto"/>
          </w:tcPr>
          <w:p w14:paraId="3FA300B6" w14:textId="77777777" w:rsidR="008965AB" w:rsidRDefault="00000000">
            <w:pPr>
              <w:pStyle w:val="Compact"/>
            </w:pPr>
            <w:r>
              <w:t>6,000 per chain</w:t>
            </w:r>
          </w:p>
        </w:tc>
      </w:tr>
      <w:tr w:rsidR="008965AB" w14:paraId="3FA300BA" w14:textId="77777777">
        <w:tc>
          <w:tcPr>
            <w:tcW w:w="0" w:type="auto"/>
          </w:tcPr>
          <w:p w14:paraId="3FA300B8" w14:textId="77777777" w:rsidR="008965AB" w:rsidRDefault="00000000">
            <w:pPr>
              <w:pStyle w:val="Compact"/>
            </w:pPr>
            <w:r>
              <w:t>Chains</w:t>
            </w:r>
          </w:p>
        </w:tc>
        <w:tc>
          <w:tcPr>
            <w:tcW w:w="0" w:type="auto"/>
          </w:tcPr>
          <w:p w14:paraId="3FA300B9" w14:textId="77777777" w:rsidR="008965AB" w:rsidRDefault="00000000">
            <w:pPr>
              <w:pStyle w:val="Compact"/>
            </w:pPr>
            <w:r>
              <w:t>4</w:t>
            </w:r>
          </w:p>
        </w:tc>
      </w:tr>
      <w:tr w:rsidR="008965AB" w14:paraId="3FA300BD" w14:textId="77777777">
        <w:tc>
          <w:tcPr>
            <w:tcW w:w="0" w:type="auto"/>
          </w:tcPr>
          <w:p w14:paraId="3FA300BB" w14:textId="77777777" w:rsidR="008965AB" w:rsidRDefault="00000000">
            <w:pPr>
              <w:pStyle w:val="Compact"/>
            </w:pPr>
            <w:r>
              <w:t>Target accept</w:t>
            </w:r>
          </w:p>
        </w:tc>
        <w:tc>
          <w:tcPr>
            <w:tcW w:w="0" w:type="auto"/>
          </w:tcPr>
          <w:p w14:paraId="3FA300BC" w14:textId="77777777" w:rsidR="008965AB" w:rsidRDefault="00000000">
            <w:pPr>
              <w:pStyle w:val="Compact"/>
            </w:pPr>
            <w:r>
              <w:t>0.97</w:t>
            </w:r>
          </w:p>
        </w:tc>
      </w:tr>
      <w:tr w:rsidR="008965AB" w14:paraId="3FA300C0" w14:textId="77777777">
        <w:tc>
          <w:tcPr>
            <w:tcW w:w="0" w:type="auto"/>
          </w:tcPr>
          <w:p w14:paraId="3FA300BE" w14:textId="77777777" w:rsidR="008965AB" w:rsidRDefault="00000000">
            <w:pPr>
              <w:pStyle w:val="Compact"/>
            </w:pPr>
            <w:r>
              <w:t>Preferred sampler</w:t>
            </w:r>
          </w:p>
        </w:tc>
        <w:tc>
          <w:tcPr>
            <w:tcW w:w="0" w:type="auto"/>
          </w:tcPr>
          <w:p w14:paraId="3FA300BF" w14:textId="77777777" w:rsidR="008965AB" w:rsidRDefault="00000000">
            <w:pPr>
              <w:pStyle w:val="Compact"/>
            </w:pPr>
            <w:r>
              <w:t>nutpie (Rust-based NUTS)</w:t>
            </w:r>
          </w:p>
        </w:tc>
      </w:tr>
      <w:tr w:rsidR="008965AB" w14:paraId="3FA300C3" w14:textId="77777777">
        <w:tc>
          <w:tcPr>
            <w:tcW w:w="0" w:type="auto"/>
          </w:tcPr>
          <w:p w14:paraId="3FA300C1" w14:textId="77777777" w:rsidR="008965AB" w:rsidRDefault="00000000">
            <w:pPr>
              <w:pStyle w:val="Compact"/>
            </w:pPr>
            <w:r>
              <w:t>Fallback</w:t>
            </w:r>
          </w:p>
        </w:tc>
        <w:tc>
          <w:tcPr>
            <w:tcW w:w="0" w:type="auto"/>
          </w:tcPr>
          <w:p w14:paraId="3FA300C2" w14:textId="77777777" w:rsidR="008965AB" w:rsidRDefault="00000000">
            <w:pPr>
              <w:pStyle w:val="Compact"/>
            </w:pPr>
            <w:r>
              <w:t>PyMC NUTS</w:t>
            </w:r>
          </w:p>
        </w:tc>
      </w:tr>
      <w:tr w:rsidR="008965AB" w14:paraId="3FA300C6" w14:textId="77777777">
        <w:tc>
          <w:tcPr>
            <w:tcW w:w="0" w:type="auto"/>
          </w:tcPr>
          <w:p w14:paraId="3FA300C4" w14:textId="77777777" w:rsidR="008965AB" w:rsidRDefault="00000000">
            <w:pPr>
              <w:pStyle w:val="Compact"/>
            </w:pPr>
            <w:r>
              <w:t>Runtime</w:t>
            </w:r>
          </w:p>
        </w:tc>
        <w:tc>
          <w:tcPr>
            <w:tcW w:w="0" w:type="auto"/>
          </w:tcPr>
          <w:p w14:paraId="3FA300C5" w14:textId="77777777" w:rsidR="008965AB" w:rsidRDefault="00000000">
            <w:pPr>
              <w:pStyle w:val="Compact"/>
            </w:pPr>
            <w:r>
              <w:t>~2 minutes (Apple M4 Max)</w:t>
            </w:r>
          </w:p>
        </w:tc>
      </w:tr>
    </w:tbl>
    <w:p w14:paraId="3FA300C7" w14:textId="77777777" w:rsidR="008965AB" w:rsidRDefault="00000000">
      <w:pPr>
        <w:pStyle w:val="BodyText"/>
      </w:pPr>
      <w:r>
        <w:t>The higher draw count and target acceptance rate (vs. standard 4,000/0.95) are needed because the latent AR(1) dynamics create tight coupling between global parameters (</w:t>
      </w:r>
      <m:oMath>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w:t>
      </w:r>
      <m:oMath>
        <m:r>
          <w:rPr>
            <w:rFonts w:ascii="Cambria Math" w:hAnsi="Cambria Math"/>
          </w:rPr>
          <m:t>ϕ</m:t>
        </m:r>
      </m:oMath>
      <w:r>
        <w:t xml:space="preserve">, </w:t>
      </w:r>
      <m:oMath>
        <m:sSub>
          <m:sSubPr>
            <m:ctrlPr>
              <w:rPr>
                <w:rFonts w:ascii="Cambria Math" w:hAnsi="Cambria Math"/>
              </w:rPr>
            </m:ctrlPr>
          </m:sSubPr>
          <m:e>
            <m:r>
              <w:rPr>
                <w:rFonts w:ascii="Cambria Math" w:hAnsi="Cambria Math"/>
              </w:rPr>
              <m:t>σ</m:t>
            </m:r>
          </m:e>
          <m:sub>
            <m:r>
              <w:rPr>
                <w:rFonts w:ascii="Cambria Math" w:hAnsi="Cambria Math"/>
              </w:rPr>
              <m:t>g</m:t>
            </m:r>
          </m:sub>
        </m:sSub>
      </m:oMath>
      <w:r>
        <w:t>) and the 119-element latent trajectory. These parameters require more exploration to achieve adequate effective sample sizes.</w:t>
      </w:r>
    </w:p>
    <w:p w14:paraId="3FA300C8" w14:textId="1C800DA9" w:rsidR="008965AB" w:rsidRDefault="008965AB"/>
    <w:p w14:paraId="3FA300C9" w14:textId="77777777" w:rsidR="008965AB" w:rsidRDefault="00000000">
      <w:pPr>
        <w:pStyle w:val="Heading2"/>
      </w:pPr>
      <w:bookmarkStart w:id="21" w:name="empirical-results"/>
      <w:bookmarkEnd w:id="20"/>
      <w:r>
        <w:lastRenderedPageBreak/>
        <w:t>7. Empirical Results</w:t>
      </w:r>
    </w:p>
    <w:p w14:paraId="3FA300E7" w14:textId="67F192B1" w:rsidR="008965AB" w:rsidRDefault="00000000">
      <w:pPr>
        <w:pStyle w:val="Heading3"/>
      </w:pPr>
      <w:bookmarkStart w:id="22" w:name="sampling-diagnostics"/>
      <w:r>
        <w:t>7.</w:t>
      </w:r>
      <w:r w:rsidR="006A4C4B">
        <w:t>1</w:t>
      </w:r>
      <w:r>
        <w:t xml:space="preserve"> Sampling Diagnostics</w:t>
      </w:r>
    </w:p>
    <w:tbl>
      <w:tblPr>
        <w:tblStyle w:val="Table"/>
        <w:tblW w:w="0" w:type="auto"/>
        <w:tblLook w:val="0020" w:firstRow="1" w:lastRow="0" w:firstColumn="0" w:lastColumn="0" w:noHBand="0" w:noVBand="0"/>
      </w:tblPr>
      <w:tblGrid>
        <w:gridCol w:w="2474"/>
        <w:gridCol w:w="1054"/>
      </w:tblGrid>
      <w:tr w:rsidR="00E75D69" w14:paraId="3FA300EA" w14:textId="77777777" w:rsidTr="008965AB">
        <w:trPr>
          <w:cnfStyle w:val="100000000000" w:firstRow="1" w:lastRow="0" w:firstColumn="0" w:lastColumn="0" w:oddVBand="0" w:evenVBand="0" w:oddHBand="0" w:evenHBand="0" w:firstRowFirstColumn="0" w:firstRowLastColumn="0" w:lastRowFirstColumn="0" w:lastRowLastColumn="0"/>
          <w:tblHeader/>
        </w:trPr>
        <w:tc>
          <w:tcPr>
            <w:tcW w:w="0" w:type="auto"/>
          </w:tcPr>
          <w:p w14:paraId="3FA300E8" w14:textId="7D191A80" w:rsidR="00E75D69" w:rsidRDefault="00E75D69" w:rsidP="00E75D69">
            <w:pPr>
              <w:pStyle w:val="Compact"/>
            </w:pPr>
            <w:r>
              <w:t>Diagnostic</w:t>
            </w:r>
          </w:p>
        </w:tc>
        <w:tc>
          <w:tcPr>
            <w:tcW w:w="0" w:type="auto"/>
          </w:tcPr>
          <w:p w14:paraId="3FA300E9" w14:textId="61C52008" w:rsidR="00E75D69" w:rsidRDefault="00E75D69" w:rsidP="00E75D69">
            <w:pPr>
              <w:pStyle w:val="Compact"/>
              <w:jc w:val="center"/>
            </w:pPr>
            <w:r>
              <w:t>Value</w:t>
            </w:r>
          </w:p>
        </w:tc>
      </w:tr>
      <w:tr w:rsidR="00E75D69" w14:paraId="3FA300ED" w14:textId="77777777">
        <w:tc>
          <w:tcPr>
            <w:tcW w:w="0" w:type="auto"/>
          </w:tcPr>
          <w:p w14:paraId="3FA300EB" w14:textId="35296241" w:rsidR="00E75D69" w:rsidRDefault="00E75D69" w:rsidP="00E75D69">
            <w:pPr>
              <w:pStyle w:val="Compact"/>
            </w:pPr>
            <w:r>
              <w:t>Divergences</w:t>
            </w:r>
          </w:p>
        </w:tc>
        <w:tc>
          <w:tcPr>
            <w:tcW w:w="0" w:type="auto"/>
          </w:tcPr>
          <w:p w14:paraId="3FA300EC" w14:textId="32508673" w:rsidR="00E75D69" w:rsidRDefault="00E75D69" w:rsidP="00E75D69">
            <w:pPr>
              <w:pStyle w:val="Compact"/>
              <w:jc w:val="center"/>
            </w:pPr>
            <w:r>
              <w:t>0</w:t>
            </w:r>
          </w:p>
        </w:tc>
      </w:tr>
      <w:tr w:rsidR="00E75D69" w14:paraId="3FA300F0" w14:textId="77777777">
        <w:tc>
          <w:tcPr>
            <w:tcW w:w="0" w:type="auto"/>
          </w:tcPr>
          <w:p w14:paraId="3FA300EE" w14:textId="5604A7DC" w:rsidR="00E75D69" w:rsidRDefault="00E75D69" w:rsidP="00E75D69">
            <w:pPr>
              <w:pStyle w:val="Compact"/>
            </w:pPr>
            <w:r>
              <w:t>R-hat (all parameters)</w:t>
            </w:r>
          </w:p>
        </w:tc>
        <w:tc>
          <w:tcPr>
            <w:tcW w:w="0" w:type="auto"/>
          </w:tcPr>
          <w:p w14:paraId="3FA300EF" w14:textId="5BC3DF9F" w:rsidR="00E75D69" w:rsidRDefault="00E75D69" w:rsidP="00E75D69">
            <w:pPr>
              <w:pStyle w:val="Compact"/>
              <w:jc w:val="center"/>
            </w:pPr>
            <m:oMathPara>
              <m:oMath>
                <m:r>
                  <m:rPr>
                    <m:sty m:val="p"/>
                  </m:rPr>
                  <w:rPr>
                    <w:rFonts w:ascii="Cambria Math" w:hAnsi="Cambria Math"/>
                  </w:rPr>
                  <m:t>≤</m:t>
                </m:r>
                <m:r>
                  <w:rPr>
                    <w:rFonts w:ascii="Cambria Math" w:hAnsi="Cambria Math"/>
                  </w:rPr>
                  <m:t>1.01</m:t>
                </m:r>
              </m:oMath>
            </m:oMathPara>
          </w:p>
        </w:tc>
      </w:tr>
      <w:tr w:rsidR="00E75D69" w14:paraId="3FA300F3" w14:textId="77777777">
        <w:tc>
          <w:tcPr>
            <w:tcW w:w="0" w:type="auto"/>
          </w:tcPr>
          <w:p w14:paraId="3FA300F1" w14:textId="726C774C" w:rsidR="00E75D69" w:rsidRDefault="00E75D69" w:rsidP="00E75D69">
            <w:pPr>
              <w:pStyle w:val="Compact"/>
            </w:pPr>
            <w:r>
              <w:t>Min ESS (bulk)</w:t>
            </w:r>
          </w:p>
        </w:tc>
        <w:tc>
          <w:tcPr>
            <w:tcW w:w="0" w:type="auto"/>
          </w:tcPr>
          <w:p w14:paraId="3FA300F2" w14:textId="4234EBF9" w:rsidR="00E75D69" w:rsidRDefault="00E75D69" w:rsidP="00E75D69">
            <w:pPr>
              <w:pStyle w:val="Compact"/>
              <w:jc w:val="center"/>
            </w:pPr>
            <w:r>
              <w:t>315 (</w:t>
            </w:r>
            <m:oMath>
              <m:sSub>
                <m:sSubPr>
                  <m:ctrlPr>
                    <w:rPr>
                      <w:rFonts w:ascii="Cambria Math" w:hAnsi="Cambria Math"/>
                    </w:rPr>
                  </m:ctrlPr>
                </m:sSubPr>
                <m:e>
                  <m:r>
                    <w:rPr>
                      <w:rFonts w:ascii="Cambria Math" w:hAnsi="Cambria Math"/>
                    </w:rPr>
                    <m:t>μ</m:t>
                  </m:r>
                </m:e>
                <m:sub>
                  <m:r>
                    <w:rPr>
                      <w:rFonts w:ascii="Cambria Math" w:hAnsi="Cambria Math"/>
                    </w:rPr>
                    <m:t>g</m:t>
                  </m:r>
                </m:sub>
              </m:sSub>
            </m:oMath>
            <w:r>
              <w:t>)</w:t>
            </w:r>
          </w:p>
        </w:tc>
      </w:tr>
      <w:tr w:rsidR="00E75D69" w14:paraId="3FA300F6" w14:textId="77777777">
        <w:tc>
          <w:tcPr>
            <w:tcW w:w="0" w:type="auto"/>
          </w:tcPr>
          <w:p w14:paraId="3FA300F4" w14:textId="4F9925CA" w:rsidR="00E75D69" w:rsidRDefault="00E75D69" w:rsidP="00E75D69">
            <w:pPr>
              <w:pStyle w:val="Compact"/>
            </w:pPr>
            <w:r>
              <w:t>Median ESS (bulk)</w:t>
            </w:r>
          </w:p>
        </w:tc>
        <w:tc>
          <w:tcPr>
            <w:tcW w:w="0" w:type="auto"/>
          </w:tcPr>
          <w:p w14:paraId="3FA300F5" w14:textId="0E107F0B" w:rsidR="00E75D69" w:rsidRDefault="00E75D69" w:rsidP="00E75D69">
            <w:pPr>
              <w:pStyle w:val="Compact"/>
              <w:jc w:val="center"/>
            </w:pPr>
            <w:r>
              <w:t>~9,000</w:t>
            </w:r>
          </w:p>
        </w:tc>
      </w:tr>
      <w:tr w:rsidR="00E75D69" w14:paraId="3FA300F9" w14:textId="77777777">
        <w:tc>
          <w:tcPr>
            <w:tcW w:w="0" w:type="auto"/>
          </w:tcPr>
          <w:p w14:paraId="3FA300F7" w14:textId="0D839A21" w:rsidR="00E75D69" w:rsidRDefault="00E75D69" w:rsidP="00E75D69">
            <w:pPr>
              <w:pStyle w:val="Compact"/>
            </w:pPr>
            <w:r>
              <w:t>Max ESS (bulk)</w:t>
            </w:r>
          </w:p>
        </w:tc>
        <w:tc>
          <w:tcPr>
            <w:tcW w:w="0" w:type="auto"/>
          </w:tcPr>
          <w:p w14:paraId="3FA300F8" w14:textId="391A0CC4" w:rsidR="00E75D69" w:rsidRDefault="00E75D69" w:rsidP="00E75D69">
            <w:pPr>
              <w:pStyle w:val="Compact"/>
              <w:jc w:val="center"/>
            </w:pPr>
            <w:r>
              <w:t>~27,000</w:t>
            </w:r>
          </w:p>
        </w:tc>
      </w:tr>
    </w:tbl>
    <w:p w14:paraId="3FA300FA" w14:textId="4910FBC2" w:rsidR="008965AB" w:rsidRDefault="00D11863">
      <w:pPr>
        <w:pStyle w:val="BodyText"/>
      </w:pPr>
      <w:r>
        <w:t xml:space="preserve">Zero divergences. All R-hat values at 1.01 or below. The lowest ESS occurs for </w:t>
      </w:r>
      <m:oMath>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(315, just below the 400 threshold); all other parameters exceed 400. The tightened QCEW sigmas substantially improved convergence compared to the earlier calibration (where </w:t>
      </w:r>
      <m:oMath>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ESS was 53 and R-hat was 1.07), because the stronger QCEW anchor better identifies the latent trajectory and reduces the coupling between global parameters and the 119-element latent state.</w:t>
      </w:r>
    </w:p>
    <w:p w14:paraId="3FA300FB" w14:textId="35B965DF" w:rsidR="008965AB" w:rsidRDefault="00000000">
      <w:pPr>
        <w:pStyle w:val="Heading3"/>
      </w:pPr>
      <w:bookmarkStart w:id="23" w:name="latent-dynamics"/>
      <w:bookmarkEnd w:id="22"/>
      <w:r>
        <w:t>7.</w:t>
      </w:r>
      <w:r w:rsidR="006A4C4B">
        <w:t>2</w:t>
      </w:r>
      <w:r>
        <w:t xml:space="preserve"> Latent Dynamics</w:t>
      </w:r>
    </w:p>
    <w:tbl>
      <w:tblPr>
        <w:tblStyle w:val="Table"/>
        <w:tblW w:w="5000" w:type="pct"/>
        <w:tblLayout w:type="fixed"/>
        <w:tblLook w:val="0020" w:firstRow="1" w:lastRow="0" w:firstColumn="0" w:lastColumn="0" w:noHBand="0" w:noVBand="0"/>
      </w:tblPr>
      <w:tblGrid>
        <w:gridCol w:w="2242"/>
        <w:gridCol w:w="2241"/>
        <w:gridCol w:w="2241"/>
        <w:gridCol w:w="2636"/>
      </w:tblGrid>
      <w:tr w:rsidR="008965AB" w14:paraId="3FA30100" w14:textId="77777777" w:rsidTr="008965AB">
        <w:trPr>
          <w:cnfStyle w:val="100000000000" w:firstRow="1" w:lastRow="0" w:firstColumn="0" w:lastColumn="0" w:oddVBand="0" w:evenVBand="0" w:oddHBand="0" w:evenHBand="0" w:firstRowFirstColumn="0" w:firstRowLastColumn="0" w:lastRowFirstColumn="0" w:lastRowLastColumn="0"/>
          <w:tblHeader/>
        </w:trPr>
        <w:tc>
          <w:tcPr>
            <w:tcW w:w="1896" w:type="dxa"/>
          </w:tcPr>
          <w:p w14:paraId="3FA300FC" w14:textId="77777777" w:rsidR="008965AB" w:rsidRDefault="00000000">
            <w:pPr>
              <w:pStyle w:val="Compact"/>
            </w:pPr>
            <w:r>
              <w:t>Parameter</w:t>
            </w:r>
          </w:p>
        </w:tc>
        <w:tc>
          <w:tcPr>
            <w:tcW w:w="1896" w:type="dxa"/>
          </w:tcPr>
          <w:p w14:paraId="3FA300FD" w14:textId="77777777" w:rsidR="008965AB" w:rsidRDefault="00000000">
            <w:pPr>
              <w:pStyle w:val="Compact"/>
              <w:jc w:val="center"/>
            </w:pPr>
            <w:r>
              <w:t>Posterior mean</w:t>
            </w:r>
          </w:p>
        </w:tc>
        <w:tc>
          <w:tcPr>
            <w:tcW w:w="1896" w:type="dxa"/>
          </w:tcPr>
          <w:p w14:paraId="3FA300FE" w14:textId="77777777" w:rsidR="008965AB" w:rsidRDefault="00000000">
            <w:pPr>
              <w:pStyle w:val="Compact"/>
              <w:jc w:val="center"/>
            </w:pPr>
            <w:r>
              <w:t>80% HDI</w:t>
            </w:r>
          </w:p>
        </w:tc>
        <w:tc>
          <w:tcPr>
            <w:tcW w:w="2230" w:type="dxa"/>
          </w:tcPr>
          <w:p w14:paraId="3FA300FF" w14:textId="77777777" w:rsidR="008965AB" w:rsidRDefault="00000000">
            <w:pPr>
              <w:pStyle w:val="Compact"/>
            </w:pPr>
            <w:r>
              <w:t>Interpretation</w:t>
            </w:r>
          </w:p>
        </w:tc>
      </w:tr>
      <w:tr w:rsidR="008965AB" w14:paraId="3FA30105" w14:textId="77777777">
        <w:tc>
          <w:tcPr>
            <w:tcW w:w="1896" w:type="dxa"/>
          </w:tcPr>
          <w:p w14:paraId="3FA30101" w14:textId="77777777" w:rsidR="008965AB" w:rsidRDefault="00000000">
            <w:pPr>
              <w:pStyle w:val="Compact"/>
            </w:pPr>
            <m:oMathPara>
              <m:oMath>
                <m:sSub>
                  <m:sSubPr>
                    <m:ctrlPr>
                      <w:rPr>
                        <w:rFonts w:ascii="Cambria Math" w:hAnsi="Cambria Math"/>
                      </w:rPr>
                    </m:ctrlPr>
                  </m:sSubPr>
                  <m:e>
                    <m:r>
                      <w:rPr>
                        <w:rFonts w:ascii="Cambria Math" w:hAnsi="Cambria Math"/>
                      </w:rPr>
                      <m:t>μ</m:t>
                    </m:r>
                  </m:e>
                  <m:sub>
                    <m:r>
                      <w:rPr>
                        <w:rFonts w:ascii="Cambria Math" w:hAnsi="Cambria Math"/>
                      </w:rPr>
                      <m:t>g</m:t>
                    </m:r>
                  </m:sub>
                </m:sSub>
              </m:oMath>
            </m:oMathPara>
          </w:p>
        </w:tc>
        <w:tc>
          <w:tcPr>
            <w:tcW w:w="1896" w:type="dxa"/>
          </w:tcPr>
          <w:p w14:paraId="3FA30102" w14:textId="77777777" w:rsidR="008965AB" w:rsidRDefault="00000000">
            <w:pPr>
              <w:pStyle w:val="Compact"/>
              <w:jc w:val="center"/>
            </w:pPr>
            <w:r>
              <w:t>+0.001%/mo</w:t>
            </w:r>
          </w:p>
        </w:tc>
        <w:tc>
          <w:tcPr>
            <w:tcW w:w="1896" w:type="dxa"/>
          </w:tcPr>
          <w:p w14:paraId="3FA30103" w14:textId="77777777" w:rsidR="008965AB" w:rsidRDefault="00000000">
            <w:pPr>
              <w:pStyle w:val="Compact"/>
              <w:jc w:val="center"/>
            </w:pPr>
            <w:r>
              <w:t>[−0.2%, +0.3%]</w:t>
            </w:r>
          </w:p>
        </w:tc>
        <w:tc>
          <w:tcPr>
            <w:tcW w:w="2230" w:type="dxa"/>
          </w:tcPr>
          <w:p w14:paraId="3FA30104" w14:textId="77777777" w:rsidR="008965AB" w:rsidRDefault="00000000">
            <w:pPr>
              <w:pStyle w:val="Compact"/>
            </w:pPr>
            <w:r>
              <w:t>Long-run continuing-units growth near zero</w:t>
            </w:r>
          </w:p>
        </w:tc>
      </w:tr>
      <w:tr w:rsidR="008965AB" w14:paraId="3FA3010A" w14:textId="77777777">
        <w:tc>
          <w:tcPr>
            <w:tcW w:w="1896" w:type="dxa"/>
          </w:tcPr>
          <w:p w14:paraId="3FA30106" w14:textId="77777777" w:rsidR="008965AB" w:rsidRDefault="00000000">
            <w:pPr>
              <w:pStyle w:val="Compact"/>
            </w:pPr>
            <m:oMathPara>
              <m:oMath>
                <m:r>
                  <w:rPr>
                    <w:rFonts w:ascii="Cambria Math" w:hAnsi="Cambria Math"/>
                  </w:rPr>
                  <m:t>ϕ</m:t>
                </m:r>
              </m:oMath>
            </m:oMathPara>
          </w:p>
        </w:tc>
        <w:tc>
          <w:tcPr>
            <w:tcW w:w="1896" w:type="dxa"/>
          </w:tcPr>
          <w:p w14:paraId="3FA30107" w14:textId="77777777" w:rsidR="008965AB" w:rsidRDefault="00000000">
            <w:pPr>
              <w:pStyle w:val="Compact"/>
              <w:jc w:val="center"/>
            </w:pPr>
            <w:r>
              <w:t>0.070</w:t>
            </w:r>
          </w:p>
        </w:tc>
        <w:tc>
          <w:tcPr>
            <w:tcW w:w="1896" w:type="dxa"/>
          </w:tcPr>
          <w:p w14:paraId="3FA30108" w14:textId="77777777" w:rsidR="008965AB" w:rsidRDefault="00000000">
            <w:pPr>
              <w:pStyle w:val="Compact"/>
              <w:jc w:val="center"/>
            </w:pPr>
            <w:r>
              <w:t>[0.00, 0.11]</w:t>
            </w:r>
          </w:p>
        </w:tc>
        <w:tc>
          <w:tcPr>
            <w:tcW w:w="2230" w:type="dxa"/>
          </w:tcPr>
          <w:p w14:paraId="3FA30109" w14:textId="77777777" w:rsidR="008965AB" w:rsidRDefault="00000000">
            <w:pPr>
              <w:pStyle w:val="Compact"/>
            </w:pPr>
            <w:r>
              <w:t>Minimal persistence; shocks dissipate quickly</w:t>
            </w:r>
          </w:p>
        </w:tc>
      </w:tr>
      <w:tr w:rsidR="008965AB" w14:paraId="3FA3010F" w14:textId="77777777">
        <w:tc>
          <w:tcPr>
            <w:tcW w:w="1896" w:type="dxa"/>
          </w:tcPr>
          <w:p w14:paraId="3FA3010B" w14:textId="77777777" w:rsidR="008965AB"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g</m:t>
                    </m:r>
                  </m:sub>
                </m:sSub>
              </m:oMath>
            </m:oMathPara>
          </w:p>
        </w:tc>
        <w:tc>
          <w:tcPr>
            <w:tcW w:w="1896" w:type="dxa"/>
          </w:tcPr>
          <w:p w14:paraId="3FA3010C" w14:textId="77777777" w:rsidR="008965AB" w:rsidRDefault="00000000">
            <w:pPr>
              <w:pStyle w:val="Compact"/>
              <w:jc w:val="center"/>
            </w:pPr>
            <w:r>
              <w:t>1.6%/mo</w:t>
            </w:r>
          </w:p>
        </w:tc>
        <w:tc>
          <w:tcPr>
            <w:tcW w:w="1896" w:type="dxa"/>
          </w:tcPr>
          <w:p w14:paraId="3FA3010D" w14:textId="77777777" w:rsidR="008965AB" w:rsidRDefault="00000000">
            <w:pPr>
              <w:pStyle w:val="Compact"/>
              <w:jc w:val="center"/>
            </w:pPr>
            <w:r>
              <w:t>[1.5%, 1.7%]</w:t>
            </w:r>
          </w:p>
        </w:tc>
        <w:tc>
          <w:tcPr>
            <w:tcW w:w="2230" w:type="dxa"/>
          </w:tcPr>
          <w:p w14:paraId="3FA3010E" w14:textId="77777777" w:rsidR="008965AB" w:rsidRDefault="00000000">
            <w:pPr>
              <w:pStyle w:val="Compact"/>
            </w:pPr>
            <w:r>
              <w:t>Monthly innovation volatility</w:t>
            </w:r>
          </w:p>
        </w:tc>
      </w:tr>
    </w:tbl>
    <w:p w14:paraId="3FA30110" w14:textId="77777777" w:rsidR="008965AB" w:rsidRDefault="00000000">
      <w:pPr>
        <w:pStyle w:val="BodyText"/>
      </w:pPr>
      <w:r>
        <w:t xml:space="preserve">The near-zero </w:t>
      </w:r>
      <m:oMath>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implies all trend employment growth comes from the birth/death offset. In a steady state, the continuing-units population is approximately constant (entries </w:t>
      </w:r>
      <m:oMath>
        <m:r>
          <m:rPr>
            <m:sty m:val="p"/>
          </m:rPr>
          <w:rPr>
            <w:rFonts w:ascii="Cambria Math" w:hAnsi="Cambria Math"/>
          </w:rPr>
          <m:t>≈</m:t>
        </m:r>
      </m:oMath>
      <w:r>
        <w:t xml:space="preserve"> exits from the panel), and net growth is driven by business formation.</w:t>
      </w:r>
    </w:p>
    <w:p w14:paraId="3FA30111" w14:textId="77777777" w:rsidR="008965AB" w:rsidRDefault="00000000">
      <w:pPr>
        <w:pStyle w:val="BodyText"/>
      </w:pPr>
      <w:r>
        <w:t xml:space="preserve">The low </w:t>
      </w:r>
      <m:oMath>
        <m:r>
          <w:rPr>
            <w:rFonts w:ascii="Cambria Math" w:hAnsi="Cambria Math"/>
          </w:rPr>
          <m:t>ϕ</m:t>
        </m:r>
      </m:oMath>
      <w:r>
        <w:t xml:space="preserve"> (0.07) indicates employment growth shocks are nearly transitory—a departure from random walk specifications common in the literature.</w:t>
      </w:r>
    </w:p>
    <w:p w14:paraId="2B9E58BA" w14:textId="4E217E53" w:rsidR="00E038DF" w:rsidRDefault="00000000" w:rsidP="00E038DF">
      <w:pPr>
        <w:pStyle w:val="Heading3"/>
      </w:pPr>
      <w:bookmarkStart w:id="24" w:name="birthdeath-offset-1"/>
      <w:bookmarkEnd w:id="23"/>
      <w:r>
        <w:t>7.</w:t>
      </w:r>
      <w:r w:rsidR="006A4C4B">
        <w:t>3</w:t>
      </w:r>
      <w:bookmarkStart w:id="25" w:name="the-nowcasting-window"/>
      <w:bookmarkStart w:id="26" w:name="operational-workflow"/>
      <w:bookmarkEnd w:id="21"/>
      <w:bookmarkEnd w:id="24"/>
      <w:r w:rsidR="00E038DF">
        <w:t xml:space="preserve"> Birth/Death Offset</w:t>
      </w:r>
    </w:p>
    <w:tbl>
      <w:tblPr>
        <w:tblStyle w:val="Table"/>
        <w:tblW w:w="0" w:type="auto"/>
        <w:tblLook w:val="0020" w:firstRow="1" w:lastRow="0" w:firstColumn="0" w:lastColumn="0" w:noHBand="0" w:noVBand="0"/>
      </w:tblPr>
      <w:tblGrid>
        <w:gridCol w:w="1370"/>
        <w:gridCol w:w="2034"/>
      </w:tblGrid>
      <w:tr w:rsidR="00E038DF" w14:paraId="5E2C5427" w14:textId="77777777" w:rsidTr="00987D24">
        <w:trPr>
          <w:cnfStyle w:val="100000000000" w:firstRow="1" w:lastRow="0" w:firstColumn="0" w:lastColumn="0" w:oddVBand="0" w:evenVBand="0" w:oddHBand="0" w:evenHBand="0" w:firstRowFirstColumn="0" w:firstRowLastColumn="0" w:lastRowFirstColumn="0" w:lastRowLastColumn="0"/>
          <w:tblHeader/>
        </w:trPr>
        <w:tc>
          <w:tcPr>
            <w:tcW w:w="0" w:type="auto"/>
          </w:tcPr>
          <w:p w14:paraId="74BEB24E" w14:textId="77777777" w:rsidR="00E038DF" w:rsidRDefault="00E038DF" w:rsidP="00987D24">
            <w:pPr>
              <w:pStyle w:val="Compact"/>
            </w:pPr>
            <w:r>
              <w:t>Statistic</w:t>
            </w:r>
          </w:p>
        </w:tc>
        <w:tc>
          <w:tcPr>
            <w:tcW w:w="0" w:type="auto"/>
          </w:tcPr>
          <w:p w14:paraId="52CB5943" w14:textId="77777777" w:rsidR="00E038DF" w:rsidRDefault="00E038DF" w:rsidP="00987D24">
            <w:pPr>
              <w:pStyle w:val="Compact"/>
              <w:jc w:val="right"/>
            </w:pPr>
            <w:r>
              <w:t>Value</w:t>
            </w:r>
          </w:p>
        </w:tc>
      </w:tr>
      <w:tr w:rsidR="00E038DF" w14:paraId="25F1127F" w14:textId="77777777" w:rsidTr="00987D24">
        <w:tc>
          <w:tcPr>
            <w:tcW w:w="0" w:type="auto"/>
          </w:tcPr>
          <w:p w14:paraId="65A53CD3" w14:textId="77777777" w:rsidR="00E038DF" w:rsidRDefault="00E038DF" w:rsidP="00987D24">
            <w:pPr>
              <w:pStyle w:val="Compact"/>
            </w:pPr>
            <w:r>
              <w:t>Mean</w:t>
            </w:r>
          </w:p>
        </w:tc>
        <w:tc>
          <w:tcPr>
            <w:tcW w:w="0" w:type="auto"/>
          </w:tcPr>
          <w:p w14:paraId="0F1B50A2" w14:textId="77777777" w:rsidR="00E038DF" w:rsidRDefault="00E038DF" w:rsidP="00987D24">
            <w:pPr>
              <w:pStyle w:val="Compact"/>
              <w:jc w:val="right"/>
            </w:pPr>
            <w:r>
              <w:t>+0.014%/</w:t>
            </w:r>
            <w:proofErr w:type="spellStart"/>
            <w:r>
              <w:t>mo</w:t>
            </w:r>
            <w:proofErr w:type="spellEnd"/>
          </w:p>
        </w:tc>
      </w:tr>
      <w:tr w:rsidR="00E038DF" w14:paraId="3EAE3558" w14:textId="77777777" w:rsidTr="00987D24">
        <w:tc>
          <w:tcPr>
            <w:tcW w:w="0" w:type="auto"/>
          </w:tcPr>
          <w:p w14:paraId="2C5F5C18" w14:textId="77777777" w:rsidR="00E038DF" w:rsidRDefault="00E038DF" w:rsidP="00987D24">
            <w:pPr>
              <w:pStyle w:val="Compact"/>
            </w:pPr>
            <w:r>
              <w:t>80% HDI</w:t>
            </w:r>
          </w:p>
        </w:tc>
        <w:tc>
          <w:tcPr>
            <w:tcW w:w="0" w:type="auto"/>
          </w:tcPr>
          <w:p w14:paraId="615CC2E8" w14:textId="77777777" w:rsidR="00E038DF" w:rsidRDefault="00E038DF" w:rsidP="00987D24">
            <w:pPr>
              <w:pStyle w:val="Compact"/>
              <w:jc w:val="right"/>
            </w:pPr>
            <w:r>
              <w:t>[−0.18%, +0.20%]</w:t>
            </w:r>
          </w:p>
        </w:tc>
      </w:tr>
      <w:tr w:rsidR="00E038DF" w14:paraId="6E3B1B48" w14:textId="77777777" w:rsidTr="00987D24">
        <w:tc>
          <w:tcPr>
            <w:tcW w:w="0" w:type="auto"/>
          </w:tcPr>
          <w:p w14:paraId="3C413C7F" w14:textId="77777777" w:rsidR="00E038DF" w:rsidRDefault="00E038DF" w:rsidP="00987D24">
            <w:pPr>
              <w:pStyle w:val="Compact"/>
            </w:pPr>
            <w:r>
              <w:t>Annualized</w:t>
            </w:r>
          </w:p>
        </w:tc>
        <w:tc>
          <w:tcPr>
            <w:tcW w:w="0" w:type="auto"/>
          </w:tcPr>
          <w:p w14:paraId="2DBAB193" w14:textId="77777777" w:rsidR="00E038DF" w:rsidRDefault="00E038DF" w:rsidP="00987D24">
            <w:pPr>
              <w:pStyle w:val="Compact"/>
              <w:jc w:val="right"/>
            </w:pPr>
            <w:r>
              <w:t>+0.17%</w:t>
            </w:r>
          </w:p>
        </w:tc>
      </w:tr>
    </w:tbl>
    <w:p w14:paraId="6C9292EA" w14:textId="6D5F8A9C" w:rsidR="00E038DF" w:rsidRDefault="00E038DF" w:rsidP="00E038DF">
      <w:pPr>
        <w:pStyle w:val="BodyText"/>
      </w:pPr>
      <w:r>
        <w:lastRenderedPageBreak/>
        <w:t>The BD offset is statistically indistinguishable from zero with wide uncertainty. This reflects genuine identification difficulty: BD is the difference between QCEW (total) and PP (</w:t>
      </w:r>
      <w:r w:rsidR="009901A4">
        <w:t>continuing units</w:t>
      </w:r>
      <w:r>
        <w:t>), both of which are noisy relative to this small quantity.</w:t>
      </w:r>
    </w:p>
    <w:p w14:paraId="4E1AFB4A" w14:textId="37A3E59C" w:rsidR="00E038DF" w:rsidRDefault="00E038DF" w:rsidP="00E038DF">
      <w:pPr>
        <w:pStyle w:val="Heading3"/>
      </w:pPr>
      <w:bookmarkStart w:id="27" w:name="ces-observation-parameters"/>
      <w:r>
        <w:t>7.</w:t>
      </w:r>
      <w:r w:rsidR="009901A4">
        <w:t>4</w:t>
      </w:r>
      <w:r>
        <w:t xml:space="preserve"> CES Observation Parameters</w:t>
      </w:r>
    </w:p>
    <w:tbl>
      <w:tblPr>
        <w:tblStyle w:val="Table"/>
        <w:tblW w:w="5000" w:type="pct"/>
        <w:tblLayout w:type="fixed"/>
        <w:tblLook w:val="0020" w:firstRow="1" w:lastRow="0" w:firstColumn="0" w:lastColumn="0" w:noHBand="0" w:noVBand="0"/>
      </w:tblPr>
      <w:tblGrid>
        <w:gridCol w:w="2860"/>
        <w:gridCol w:w="2600"/>
        <w:gridCol w:w="3900"/>
      </w:tblGrid>
      <w:tr w:rsidR="00E038DF" w14:paraId="59CE2CCB" w14:textId="77777777" w:rsidTr="00987D24">
        <w:trPr>
          <w:cnfStyle w:val="100000000000" w:firstRow="1" w:lastRow="0" w:firstColumn="0" w:lastColumn="0" w:oddVBand="0" w:evenVBand="0" w:oddHBand="0" w:evenHBand="0" w:firstRowFirstColumn="0" w:firstRowLastColumn="0" w:lastRowFirstColumn="0" w:lastRowLastColumn="0"/>
          <w:tblHeader/>
        </w:trPr>
        <w:tc>
          <w:tcPr>
            <w:tcW w:w="2420" w:type="dxa"/>
          </w:tcPr>
          <w:p w14:paraId="7C272F74" w14:textId="77777777" w:rsidR="00E038DF" w:rsidRDefault="00E038DF" w:rsidP="00987D24">
            <w:pPr>
              <w:pStyle w:val="Compact"/>
            </w:pPr>
            <w:r>
              <w:t>Parameter</w:t>
            </w:r>
          </w:p>
        </w:tc>
        <w:tc>
          <w:tcPr>
            <w:tcW w:w="2200" w:type="dxa"/>
          </w:tcPr>
          <w:p w14:paraId="065472B9" w14:textId="77777777" w:rsidR="00E038DF" w:rsidRDefault="00E038DF" w:rsidP="00987D24">
            <w:pPr>
              <w:pStyle w:val="Compact"/>
              <w:jc w:val="center"/>
            </w:pPr>
            <w:r>
              <w:t>Estimate</w:t>
            </w:r>
          </w:p>
        </w:tc>
        <w:tc>
          <w:tcPr>
            <w:tcW w:w="3300" w:type="dxa"/>
          </w:tcPr>
          <w:p w14:paraId="70C1E72A" w14:textId="77777777" w:rsidR="00E038DF" w:rsidRDefault="00E038DF" w:rsidP="00987D24">
            <w:pPr>
              <w:pStyle w:val="Compact"/>
            </w:pPr>
            <w:r>
              <w:t>Interpretation</w:t>
            </w:r>
          </w:p>
        </w:tc>
      </w:tr>
      <w:tr w:rsidR="00E038DF" w14:paraId="32E458EA" w14:textId="77777777" w:rsidTr="00987D24">
        <w:tc>
          <w:tcPr>
            <w:tcW w:w="2420" w:type="dxa"/>
          </w:tcPr>
          <w:p w14:paraId="55994F5F" w14:textId="77777777" w:rsidR="00E038DF" w:rsidRDefault="00000000" w:rsidP="00987D24">
            <w:pPr>
              <w:pStyle w:val="Compact"/>
            </w:pPr>
            <m:oMathPara>
              <m:oMath>
                <m:sSub>
                  <m:sSubPr>
                    <m:ctrlPr>
                      <w:rPr>
                        <w:rFonts w:ascii="Cambria Math" w:hAnsi="Cambria Math"/>
                      </w:rPr>
                    </m:ctrlPr>
                  </m:sSubPr>
                  <m:e>
                    <m:r>
                      <w:rPr>
                        <w:rFonts w:ascii="Cambria Math" w:hAnsi="Cambria Math"/>
                      </w:rPr>
                      <m:t>α</m:t>
                    </m:r>
                  </m:e>
                  <m:sub>
                    <m:r>
                      <m:rPr>
                        <m:nor/>
                      </m:rPr>
                      <m:t>CES</m:t>
                    </m:r>
                  </m:sub>
                </m:sSub>
              </m:oMath>
            </m:oMathPara>
          </w:p>
        </w:tc>
        <w:tc>
          <w:tcPr>
            <w:tcW w:w="2200" w:type="dxa"/>
          </w:tcPr>
          <w:p w14:paraId="7586D15D" w14:textId="77777777" w:rsidR="00E038DF" w:rsidRDefault="00E038DF" w:rsidP="00987D24">
            <w:pPr>
              <w:pStyle w:val="Compact"/>
              <w:jc w:val="center"/>
            </w:pPr>
            <w:r>
              <w:t>+0.034%/</w:t>
            </w:r>
            <w:proofErr w:type="spellStart"/>
            <w:r>
              <w:t>mo</w:t>
            </w:r>
            <w:proofErr w:type="spellEnd"/>
          </w:p>
        </w:tc>
        <w:tc>
          <w:tcPr>
            <w:tcW w:w="3300" w:type="dxa"/>
          </w:tcPr>
          <w:p w14:paraId="501AE587" w14:textId="77777777" w:rsidR="00E038DF" w:rsidRDefault="00E038DF" w:rsidP="00987D24">
            <w:pPr>
              <w:pStyle w:val="Compact"/>
            </w:pPr>
            <w:r>
              <w:t>CES overstates growth by ~0.4%/year vs QCEW</w:t>
            </w:r>
          </w:p>
        </w:tc>
      </w:tr>
      <w:tr w:rsidR="00E038DF" w14:paraId="75A7D9CC" w14:textId="77777777" w:rsidTr="00987D24">
        <w:tc>
          <w:tcPr>
            <w:tcW w:w="2420" w:type="dxa"/>
          </w:tcPr>
          <w:p w14:paraId="7D33DFEC" w14:textId="77777777" w:rsidR="00E038DF" w:rsidRDefault="00000000" w:rsidP="00987D24">
            <w:pPr>
              <w:pStyle w:val="Compact"/>
            </w:pPr>
            <m:oMathPara>
              <m:oMath>
                <m:sSub>
                  <m:sSubPr>
                    <m:ctrlPr>
                      <w:rPr>
                        <w:rFonts w:ascii="Cambria Math" w:hAnsi="Cambria Math"/>
                      </w:rPr>
                    </m:ctrlPr>
                  </m:sSubPr>
                  <m:e>
                    <m:r>
                      <w:rPr>
                        <w:rFonts w:ascii="Cambria Math" w:hAnsi="Cambria Math"/>
                      </w:rPr>
                      <m:t>λ</m:t>
                    </m:r>
                  </m:e>
                  <m:sub>
                    <m:r>
                      <m:rPr>
                        <m:nor/>
                      </m:rPr>
                      <m:t>CES</m:t>
                    </m:r>
                  </m:sub>
                </m:sSub>
              </m:oMath>
            </m:oMathPara>
          </w:p>
        </w:tc>
        <w:tc>
          <w:tcPr>
            <w:tcW w:w="2200" w:type="dxa"/>
          </w:tcPr>
          <w:p w14:paraId="4A22558C" w14:textId="77777777" w:rsidR="00E038DF" w:rsidRDefault="00E038DF" w:rsidP="00987D24">
            <w:pPr>
              <w:pStyle w:val="Compact"/>
              <w:jc w:val="center"/>
            </w:pPr>
            <w:r>
              <w:t>0.986 [0.98, 1.00]</w:t>
            </w:r>
          </w:p>
        </w:tc>
        <w:tc>
          <w:tcPr>
            <w:tcW w:w="3300" w:type="dxa"/>
          </w:tcPr>
          <w:p w14:paraId="2238BC98" w14:textId="77777777" w:rsidR="00E038DF" w:rsidRDefault="00E038DF" w:rsidP="00987D24">
            <w:pPr>
              <w:pStyle w:val="Compact"/>
            </w:pPr>
            <w:r>
              <w:t>Near-unit loading; slight attenuation</w:t>
            </w:r>
          </w:p>
        </w:tc>
      </w:tr>
      <w:tr w:rsidR="00E038DF" w14:paraId="16FC1501" w14:textId="77777777" w:rsidTr="00987D24">
        <w:tc>
          <w:tcPr>
            <w:tcW w:w="2420" w:type="dxa"/>
          </w:tcPr>
          <w:p w14:paraId="435B6B5C" w14:textId="77777777" w:rsidR="00E038DF" w:rsidRDefault="00000000" w:rsidP="00987D24">
            <w:pPr>
              <w:pStyle w:val="Compact"/>
            </w:pPr>
            <m:oMathPara>
              <m:oMath>
                <m:sSub>
                  <m:sSubPr>
                    <m:ctrlPr>
                      <w:rPr>
                        <w:rFonts w:ascii="Cambria Math" w:hAnsi="Cambria Math"/>
                      </w:rPr>
                    </m:ctrlPr>
                  </m:sSubPr>
                  <m:e>
                    <m:r>
                      <w:rPr>
                        <w:rFonts w:ascii="Cambria Math" w:hAnsi="Cambria Math"/>
                      </w:rPr>
                      <m:t>σ</m:t>
                    </m:r>
                  </m:e>
                  <m:sub>
                    <m:r>
                      <m:rPr>
                        <m:nor/>
                      </m:rPr>
                      <m:t>CES,SA</m:t>
                    </m:r>
                  </m:sub>
                </m:sSub>
              </m:oMath>
            </m:oMathPara>
          </w:p>
        </w:tc>
        <w:tc>
          <w:tcPr>
            <w:tcW w:w="2200" w:type="dxa"/>
          </w:tcPr>
          <w:p w14:paraId="253272D4" w14:textId="77777777" w:rsidR="00E038DF" w:rsidRDefault="00E038DF" w:rsidP="00987D24">
            <w:pPr>
              <w:pStyle w:val="Compact"/>
              <w:jc w:val="center"/>
            </w:pPr>
            <w:r>
              <w:t>0.085%/</w:t>
            </w:r>
            <w:proofErr w:type="spellStart"/>
            <w:r>
              <w:t>mo</w:t>
            </w:r>
            <w:proofErr w:type="spellEnd"/>
          </w:p>
        </w:tc>
        <w:tc>
          <w:tcPr>
            <w:tcW w:w="3300" w:type="dxa"/>
          </w:tcPr>
          <w:p w14:paraId="1B6BF0A8" w14:textId="77777777" w:rsidR="00E038DF" w:rsidRDefault="00E038DF" w:rsidP="00987D24">
            <w:pPr>
              <w:pStyle w:val="Compact"/>
            </w:pPr>
            <w:r>
              <w:t>CES SA measurement noise</w:t>
            </w:r>
          </w:p>
        </w:tc>
      </w:tr>
      <w:tr w:rsidR="00E038DF" w14:paraId="5DB490F8" w14:textId="77777777" w:rsidTr="00987D24">
        <w:tc>
          <w:tcPr>
            <w:tcW w:w="2420" w:type="dxa"/>
          </w:tcPr>
          <w:p w14:paraId="5FBE9523" w14:textId="77777777" w:rsidR="00E038DF" w:rsidRDefault="00000000" w:rsidP="00987D24">
            <w:pPr>
              <w:pStyle w:val="Compact"/>
            </w:pPr>
            <m:oMathPara>
              <m:oMath>
                <m:sSub>
                  <m:sSubPr>
                    <m:ctrlPr>
                      <w:rPr>
                        <w:rFonts w:ascii="Cambria Math" w:hAnsi="Cambria Math"/>
                      </w:rPr>
                    </m:ctrlPr>
                  </m:sSubPr>
                  <m:e>
                    <m:r>
                      <w:rPr>
                        <w:rFonts w:ascii="Cambria Math" w:hAnsi="Cambria Math"/>
                      </w:rPr>
                      <m:t>σ</m:t>
                    </m:r>
                  </m:e>
                  <m:sub>
                    <m:r>
                      <m:rPr>
                        <m:nor/>
                      </m:rPr>
                      <m:t>CES,NSA</m:t>
                    </m:r>
                  </m:sub>
                </m:sSub>
              </m:oMath>
            </m:oMathPara>
          </w:p>
        </w:tc>
        <w:tc>
          <w:tcPr>
            <w:tcW w:w="2200" w:type="dxa"/>
          </w:tcPr>
          <w:p w14:paraId="2D6C4E63" w14:textId="77777777" w:rsidR="00E038DF" w:rsidRDefault="00E038DF" w:rsidP="00987D24">
            <w:pPr>
              <w:pStyle w:val="Compact"/>
              <w:jc w:val="center"/>
            </w:pPr>
            <w:r>
              <w:t>0.093%/</w:t>
            </w:r>
            <w:proofErr w:type="spellStart"/>
            <w:r>
              <w:t>mo</w:t>
            </w:r>
            <w:proofErr w:type="spellEnd"/>
          </w:p>
        </w:tc>
        <w:tc>
          <w:tcPr>
            <w:tcW w:w="3300" w:type="dxa"/>
          </w:tcPr>
          <w:p w14:paraId="2F07EA4E" w14:textId="77777777" w:rsidR="00E038DF" w:rsidRDefault="00E038DF" w:rsidP="00987D24">
            <w:pPr>
              <w:pStyle w:val="Compact"/>
            </w:pPr>
            <w:r>
              <w:t>CES NSA measurement noise</w:t>
            </w:r>
          </w:p>
        </w:tc>
      </w:tr>
    </w:tbl>
    <w:p w14:paraId="732A63BD" w14:textId="414BAFB9" w:rsidR="00E038DF" w:rsidRDefault="00E038DF" w:rsidP="00E038DF">
      <w:pPr>
        <w:pStyle w:val="BodyText"/>
      </w:pPr>
      <w:r>
        <w:rPr>
          <w:b/>
          <w:bCs/>
        </w:rPr>
        <w:t>The CES bias finding.</w:t>
      </w:r>
      <w:r>
        <w:t xml:space="preserve"> </w:t>
      </w:r>
      <m:oMath>
        <m:sSub>
          <m:sSubPr>
            <m:ctrlPr>
              <w:rPr>
                <w:rFonts w:ascii="Cambria Math" w:hAnsi="Cambria Math"/>
              </w:rPr>
            </m:ctrlPr>
          </m:sSubPr>
          <m:e>
            <m:r>
              <w:rPr>
                <w:rFonts w:ascii="Cambria Math" w:hAnsi="Cambria Math"/>
              </w:rPr>
              <m:t>α</m:t>
            </m:r>
          </m:e>
          <m:sub>
            <m:r>
              <m:rPr>
                <m:nor/>
              </m:rPr>
              <m:t>CES</m:t>
            </m:r>
          </m:sub>
        </m:sSub>
        <m:r>
          <m:rPr>
            <m:sty m:val="p"/>
          </m:rPr>
          <w:rPr>
            <w:rFonts w:ascii="Cambria Math" w:hAnsi="Cambria Math"/>
          </w:rPr>
          <m:t>=+</m:t>
        </m:r>
        <m:r>
          <w:rPr>
            <w:rFonts w:ascii="Cambria Math" w:hAnsi="Cambria Math"/>
          </w:rPr>
          <m:t>0.034</m:t>
        </m:r>
        <m:r>
          <m:rPr>
            <m:sty m:val="p"/>
          </m:rPr>
          <w:rPr>
            <w:rFonts w:ascii="Cambria Math" w:hAnsi="Cambria Math"/>
          </w:rPr>
          <m:t xml:space="preserve">% per </m:t>
        </m:r>
      </m:oMath>
      <w:r>
        <w:t>month implies CES systematically overstates private employment growth by approximately 0.4%</w:t>
      </w:r>
      <w:r w:rsidR="00C1749D">
        <w:t xml:space="preserve"> per </w:t>
      </w:r>
      <w:r>
        <w:t xml:space="preserve">year relative to the QCEW census, compounding to ~4% over a decade. This is consistent with the well-documented pattern of negative CES-to-QCEW benchmark revisions and may reflect assumptions in the CES birth/death model or declining survey response rates. Under the earlier, looser QCEW calibration (0.1% / 0.3%), the model estimated </w:t>
      </w:r>
      <m:oMath>
        <m:sSub>
          <m:sSubPr>
            <m:ctrlPr>
              <w:rPr>
                <w:rFonts w:ascii="Cambria Math" w:hAnsi="Cambria Math"/>
              </w:rPr>
            </m:ctrlPr>
          </m:sSubPr>
          <m:e>
            <m:r>
              <w:rPr>
                <w:rFonts w:ascii="Cambria Math" w:hAnsi="Cambria Math"/>
              </w:rPr>
              <m:t>α</m:t>
            </m:r>
          </m:e>
          <m:sub>
            <m:r>
              <m:rPr>
                <m:nor/>
              </m:rPr>
              <m:t>CES</m:t>
            </m:r>
          </m:sub>
        </m:sSub>
        <m:r>
          <m:rPr>
            <m:sty m:val="p"/>
          </m:rPr>
          <w:rPr>
            <w:rFonts w:ascii="Cambria Math" w:hAnsi="Cambria Math"/>
          </w:rPr>
          <m:t>=+</m:t>
        </m:r>
        <m:r>
          <w:rPr>
            <w:rFonts w:ascii="Cambria Math" w:hAnsi="Cambria Math"/>
          </w:rPr>
          <m:t>0.051</m:t>
        </m:r>
        <m:r>
          <m:rPr>
            <m:sty m:val="p"/>
          </m:rPr>
          <w:rPr>
            <w:rFonts w:ascii="Cambria Math" w:hAnsi="Cambria Math"/>
          </w:rPr>
          <m:t>%</m:t>
        </m:r>
      </m:oMath>
      <w:r w:rsidR="00C1749D">
        <w:t xml:space="preserve"> per </w:t>
      </w:r>
      <w:r>
        <w:t xml:space="preserve">month; the tighter QCEW anchor reduces the estimated bias because the latent trajectory tracks QCEW more closely, leaving less gap for </w:t>
      </w:r>
      <m:oMath>
        <m:sSub>
          <m:sSubPr>
            <m:ctrlPr>
              <w:rPr>
                <w:rFonts w:ascii="Cambria Math" w:hAnsi="Cambria Math"/>
              </w:rPr>
            </m:ctrlPr>
          </m:sSubPr>
          <m:e>
            <m:r>
              <w:rPr>
                <w:rFonts w:ascii="Cambria Math" w:hAnsi="Cambria Math"/>
              </w:rPr>
              <m:t>α</m:t>
            </m:r>
          </m:e>
          <m:sub>
            <m:r>
              <m:rPr>
                <m:nor/>
              </m:rPr>
              <m:t>CES</m:t>
            </m:r>
          </m:sub>
        </m:sSub>
      </m:oMath>
      <w:r>
        <w:t xml:space="preserve"> to absorb.</w:t>
      </w:r>
    </w:p>
    <w:p w14:paraId="3C414E35" w14:textId="68DF14DE" w:rsidR="00E038DF" w:rsidRDefault="00E038DF" w:rsidP="00E038DF">
      <w:pPr>
        <w:pStyle w:val="BodyText"/>
      </w:pPr>
      <w:r>
        <w:rPr>
          <w:b/>
          <w:bCs/>
        </w:rPr>
        <w:t xml:space="preserve">CES noise is higher than under the </w:t>
      </w:r>
      <w:r w:rsidR="003E4D27">
        <w:rPr>
          <w:b/>
          <w:bCs/>
        </w:rPr>
        <w:t>loose</w:t>
      </w:r>
      <w:r>
        <w:rPr>
          <w:b/>
          <w:bCs/>
        </w:rPr>
        <w:t xml:space="preserve"> calibration.</w:t>
      </w:r>
      <w:r>
        <w:t xml:space="preserve"> </w:t>
      </w:r>
      <m:oMath>
        <m:sSub>
          <m:sSubPr>
            <m:ctrlPr>
              <w:rPr>
                <w:rFonts w:ascii="Cambria Math" w:hAnsi="Cambria Math"/>
              </w:rPr>
            </m:ctrlPr>
          </m:sSubPr>
          <m:e>
            <m:r>
              <w:rPr>
                <w:rFonts w:ascii="Cambria Math" w:hAnsi="Cambria Math"/>
              </w:rPr>
              <m:t>σ</m:t>
            </m:r>
          </m:e>
          <m:sub>
            <m:r>
              <m:rPr>
                <m:nor/>
              </m:rPr>
              <m:t>CES,SA</m:t>
            </m:r>
          </m:sub>
        </m:sSub>
        <m:r>
          <m:rPr>
            <m:sty m:val="p"/>
          </m:rPr>
          <w:rPr>
            <w:rFonts w:ascii="Cambria Math" w:hAnsi="Cambria Math"/>
          </w:rPr>
          <m:t>=</m:t>
        </m:r>
        <m:r>
          <w:rPr>
            <w:rFonts w:ascii="Cambria Math" w:hAnsi="Cambria Math"/>
          </w:rPr>
          <m:t>0.085</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σ</m:t>
            </m:r>
          </m:e>
          <m:sub>
            <m:r>
              <m:rPr>
                <m:nor/>
              </m:rPr>
              <m:t>CES,NSA</m:t>
            </m:r>
          </m:sub>
        </m:sSub>
        <m:r>
          <m:rPr>
            <m:sty m:val="p"/>
          </m:rPr>
          <w:rPr>
            <w:rFonts w:ascii="Cambria Math" w:hAnsi="Cambria Math"/>
          </w:rPr>
          <m:t>=</m:t>
        </m:r>
        <m:r>
          <w:rPr>
            <w:rFonts w:ascii="Cambria Math" w:hAnsi="Cambria Math"/>
          </w:rPr>
          <m:t>0.093</m:t>
        </m:r>
        <m:r>
          <m:rPr>
            <m:sty m:val="p"/>
          </m:rPr>
          <w:rPr>
            <w:rFonts w:ascii="Cambria Math" w:hAnsi="Cambria Math"/>
          </w:rPr>
          <m:t>%</m:t>
        </m:r>
      </m:oMath>
      <w:r>
        <w:t xml:space="preserve"> are roughly double the earlier estimates (~0.05%). With a tighter QCEW anchor, the latent is more tightly pinned to QCEW observations, and CES residuals relative to that anchor are larger. This is a more realistic estimate of CES survey noise for a sample of ~145,000 establishments.</w:t>
      </w:r>
    </w:p>
    <w:p w14:paraId="30622D88" w14:textId="560196DF" w:rsidR="00E038DF" w:rsidRDefault="00000000" w:rsidP="00E038DF">
      <w:pPr>
        <w:pStyle w:val="BodyText"/>
      </w:pPr>
      <m:oMath>
        <m:sSub>
          <m:sSubPr>
            <m:ctrlPr>
              <w:rPr>
                <w:rFonts w:ascii="Cambria Math" w:hAnsi="Cambria Math"/>
              </w:rPr>
            </m:ctrlPr>
          </m:sSubPr>
          <m:e>
            <m:r>
              <w:rPr>
                <w:rFonts w:ascii="Cambria Math" w:hAnsi="Cambria Math"/>
              </w:rPr>
              <m:t>λ</m:t>
            </m:r>
          </m:e>
          <m:sub>
            <m:r>
              <m:rPr>
                <m:nor/>
              </m:rPr>
              <m:t>CES</m:t>
            </m:r>
          </m:sub>
        </m:sSub>
        <m:r>
          <m:rPr>
            <m:sty m:val="p"/>
          </m:rPr>
          <w:rPr>
            <w:rFonts w:ascii="Cambria Math" w:hAnsi="Cambria Math"/>
          </w:rPr>
          <m:t>≈</m:t>
        </m:r>
        <m:r>
          <w:rPr>
            <w:rFonts w:ascii="Cambria Math" w:hAnsi="Cambria Math"/>
          </w:rPr>
          <m:t>0.99</m:t>
        </m:r>
      </m:oMath>
      <w:r w:rsidR="00E038DF">
        <w:t xml:space="preserve"> indicates CES </w:t>
      </w:r>
      <w:r w:rsidR="006B0B4A">
        <w:t xml:space="preserve">does not distort </w:t>
      </w:r>
      <w:r w:rsidR="00E529F8">
        <w:t>scale,</w:t>
      </w:r>
      <w:r w:rsidR="003E4D27">
        <w:t xml:space="preserve"> and it</w:t>
      </w:r>
      <w:r w:rsidR="00E038DF">
        <w:t xml:space="preserve"> faithfully maps the magnitude of growth fluctuations. The systematic error is primarily a level drift (bias), not a slope problem.</w:t>
      </w:r>
    </w:p>
    <w:p w14:paraId="417991EC" w14:textId="6382A84D" w:rsidR="00E038DF" w:rsidRDefault="00E038DF" w:rsidP="00E038DF">
      <w:pPr>
        <w:pStyle w:val="Heading3"/>
      </w:pPr>
      <w:bookmarkStart w:id="28" w:name="pp-parameters"/>
      <w:bookmarkEnd w:id="27"/>
      <w:r>
        <w:t>7.</w:t>
      </w:r>
      <w:r w:rsidR="009901A4">
        <w:t>5</w:t>
      </w:r>
      <w:r>
        <w:t xml:space="preserve"> PP Parameters</w:t>
      </w:r>
    </w:p>
    <w:tbl>
      <w:tblPr>
        <w:tblStyle w:val="Table"/>
        <w:tblW w:w="5000" w:type="pct"/>
        <w:tblLayout w:type="fixed"/>
        <w:tblLook w:val="0020" w:firstRow="1" w:lastRow="0" w:firstColumn="0" w:lastColumn="0" w:noHBand="0" w:noVBand="0"/>
      </w:tblPr>
      <w:tblGrid>
        <w:gridCol w:w="3974"/>
        <w:gridCol w:w="2693"/>
        <w:gridCol w:w="2693"/>
      </w:tblGrid>
      <w:tr w:rsidR="00E038DF" w14:paraId="41275A82" w14:textId="77777777" w:rsidTr="00987D24">
        <w:trPr>
          <w:cnfStyle w:val="100000000000" w:firstRow="1" w:lastRow="0" w:firstColumn="0" w:lastColumn="0" w:oddVBand="0" w:evenVBand="0" w:oddHBand="0" w:evenHBand="0" w:firstRowFirstColumn="0" w:firstRowLastColumn="0" w:lastRowFirstColumn="0" w:lastRowLastColumn="0"/>
          <w:tblHeader/>
        </w:trPr>
        <w:tc>
          <w:tcPr>
            <w:tcW w:w="3363" w:type="dxa"/>
          </w:tcPr>
          <w:p w14:paraId="6FDFEA91" w14:textId="77777777" w:rsidR="00E038DF" w:rsidRDefault="00E038DF" w:rsidP="00987D24">
            <w:pPr>
              <w:pStyle w:val="Compact"/>
            </w:pPr>
            <w:r>
              <w:t>Parameter</w:t>
            </w:r>
          </w:p>
        </w:tc>
        <w:tc>
          <w:tcPr>
            <w:tcW w:w="2278" w:type="dxa"/>
          </w:tcPr>
          <w:p w14:paraId="7C36A2BA" w14:textId="77777777" w:rsidR="00E038DF" w:rsidRDefault="00E038DF" w:rsidP="00987D24">
            <w:pPr>
              <w:pStyle w:val="Compact"/>
              <w:jc w:val="right"/>
            </w:pPr>
            <w:r>
              <w:t>PP1</w:t>
            </w:r>
          </w:p>
        </w:tc>
        <w:tc>
          <w:tcPr>
            <w:tcW w:w="2278" w:type="dxa"/>
          </w:tcPr>
          <w:p w14:paraId="570DA2B2" w14:textId="77777777" w:rsidR="00E038DF" w:rsidRDefault="00E038DF" w:rsidP="00987D24">
            <w:pPr>
              <w:pStyle w:val="Compact"/>
              <w:jc w:val="right"/>
            </w:pPr>
            <w:r>
              <w:t>PP2</w:t>
            </w:r>
          </w:p>
        </w:tc>
      </w:tr>
      <w:tr w:rsidR="00E038DF" w14:paraId="7FAAB17E" w14:textId="77777777" w:rsidTr="00987D24">
        <w:tc>
          <w:tcPr>
            <w:tcW w:w="3363" w:type="dxa"/>
          </w:tcPr>
          <w:p w14:paraId="1DC810E2" w14:textId="77777777" w:rsidR="00E038DF" w:rsidRDefault="00000000" w:rsidP="00987D24">
            <w:pPr>
              <w:pStyle w:val="Compact"/>
            </w:pPr>
            <m:oMath>
              <m:sSub>
                <m:sSubPr>
                  <m:ctrlPr>
                    <w:rPr>
                      <w:rFonts w:ascii="Cambria Math" w:hAnsi="Cambria Math"/>
                    </w:rPr>
                  </m:ctrlPr>
                </m:sSubPr>
                <m:e>
                  <m:r>
                    <w:rPr>
                      <w:rFonts w:ascii="Cambria Math" w:hAnsi="Cambria Math"/>
                    </w:rPr>
                    <m:t>α</m:t>
                  </m:r>
                </m:e>
                <m:sub>
                  <m:r>
                    <w:rPr>
                      <w:rFonts w:ascii="Cambria Math" w:hAnsi="Cambria Math"/>
                    </w:rPr>
                    <m:t>p</m:t>
                  </m:r>
                </m:sub>
              </m:sSub>
            </m:oMath>
            <w:r w:rsidR="00E038DF">
              <w:t xml:space="preserve"> (%/</w:t>
            </w:r>
            <w:proofErr w:type="spellStart"/>
            <w:r w:rsidR="00E038DF">
              <w:t>mo</w:t>
            </w:r>
            <w:proofErr w:type="spellEnd"/>
            <w:r w:rsidR="00E038DF">
              <w:t>)</w:t>
            </w:r>
          </w:p>
        </w:tc>
        <w:tc>
          <w:tcPr>
            <w:tcW w:w="2278" w:type="dxa"/>
          </w:tcPr>
          <w:p w14:paraId="1F3C77E9" w14:textId="77777777" w:rsidR="00E038DF" w:rsidRDefault="00E038DF" w:rsidP="00987D24">
            <w:pPr>
              <w:pStyle w:val="Compact"/>
              <w:jc w:val="right"/>
            </w:pPr>
            <w:r>
              <w:t>+0.087</w:t>
            </w:r>
          </w:p>
        </w:tc>
        <w:tc>
          <w:tcPr>
            <w:tcW w:w="2278" w:type="dxa"/>
          </w:tcPr>
          <w:p w14:paraId="6DD0D5E5" w14:textId="77777777" w:rsidR="00E038DF" w:rsidRDefault="00E038DF" w:rsidP="00987D24">
            <w:pPr>
              <w:pStyle w:val="Compact"/>
              <w:jc w:val="right"/>
            </w:pPr>
            <w:r>
              <w:t>+0.224</w:t>
            </w:r>
          </w:p>
        </w:tc>
      </w:tr>
      <w:tr w:rsidR="00E038DF" w14:paraId="219F37F9" w14:textId="77777777" w:rsidTr="00987D24">
        <w:tc>
          <w:tcPr>
            <w:tcW w:w="3363" w:type="dxa"/>
          </w:tcPr>
          <w:p w14:paraId="52681FFD" w14:textId="77777777" w:rsidR="00E038DF" w:rsidRDefault="00000000" w:rsidP="00987D24">
            <w:pPr>
              <w:pStyle w:val="Compact"/>
            </w:pPr>
            <m:oMathPara>
              <m:oMath>
                <m:sSub>
                  <m:sSubPr>
                    <m:ctrlPr>
                      <w:rPr>
                        <w:rFonts w:ascii="Cambria Math" w:hAnsi="Cambria Math"/>
                      </w:rPr>
                    </m:ctrlPr>
                  </m:sSubPr>
                  <m:e>
                    <m:r>
                      <w:rPr>
                        <w:rFonts w:ascii="Cambria Math" w:hAnsi="Cambria Math"/>
                      </w:rPr>
                      <m:t>λ</m:t>
                    </m:r>
                  </m:e>
                  <m:sub>
                    <m:r>
                      <w:rPr>
                        <w:rFonts w:ascii="Cambria Math" w:hAnsi="Cambria Math"/>
                      </w:rPr>
                      <m:t>p</m:t>
                    </m:r>
                  </m:sub>
                </m:sSub>
              </m:oMath>
            </m:oMathPara>
          </w:p>
        </w:tc>
        <w:tc>
          <w:tcPr>
            <w:tcW w:w="2278" w:type="dxa"/>
          </w:tcPr>
          <w:p w14:paraId="7FA0186E" w14:textId="77777777" w:rsidR="00E038DF" w:rsidRDefault="00E038DF" w:rsidP="00987D24">
            <w:pPr>
              <w:pStyle w:val="Compact"/>
              <w:jc w:val="right"/>
            </w:pPr>
            <w:r>
              <w:t>1.35 [1.31, 1.38]</w:t>
            </w:r>
          </w:p>
        </w:tc>
        <w:tc>
          <w:tcPr>
            <w:tcW w:w="2278" w:type="dxa"/>
          </w:tcPr>
          <w:p w14:paraId="3BD626E7" w14:textId="77777777" w:rsidR="00E038DF" w:rsidRDefault="00E038DF" w:rsidP="00987D24">
            <w:pPr>
              <w:pStyle w:val="Compact"/>
              <w:jc w:val="right"/>
            </w:pPr>
            <w:r>
              <w:t>1.53 [1.45, 1.60]</w:t>
            </w:r>
          </w:p>
        </w:tc>
      </w:tr>
      <w:tr w:rsidR="00E038DF" w14:paraId="2E15640F" w14:textId="77777777" w:rsidTr="00987D24">
        <w:tc>
          <w:tcPr>
            <w:tcW w:w="3363" w:type="dxa"/>
          </w:tcPr>
          <w:p w14:paraId="74330CF1" w14:textId="77777777" w:rsidR="00E038DF" w:rsidRDefault="00000000" w:rsidP="00987D24">
            <w:pPr>
              <w:pStyle w:val="Compact"/>
            </w:pPr>
            <m:oMath>
              <m:sSub>
                <m:sSubPr>
                  <m:ctrlPr>
                    <w:rPr>
                      <w:rFonts w:ascii="Cambria Math" w:hAnsi="Cambria Math"/>
                    </w:rPr>
                  </m:ctrlPr>
                </m:sSubPr>
                <m:e>
                  <m:r>
                    <w:rPr>
                      <w:rFonts w:ascii="Cambria Math" w:hAnsi="Cambria Math"/>
                    </w:rPr>
                    <m:t>σ</m:t>
                  </m:r>
                </m:e>
                <m:sub>
                  <m:r>
                    <w:rPr>
                      <w:rFonts w:ascii="Cambria Math" w:hAnsi="Cambria Math"/>
                    </w:rPr>
                    <m:t>p</m:t>
                  </m:r>
                </m:sub>
              </m:sSub>
            </m:oMath>
            <w:r w:rsidR="00E038DF">
              <w:t xml:space="preserve"> (%/mo)</w:t>
            </w:r>
          </w:p>
        </w:tc>
        <w:tc>
          <w:tcPr>
            <w:tcW w:w="2278" w:type="dxa"/>
          </w:tcPr>
          <w:p w14:paraId="6584704F" w14:textId="77777777" w:rsidR="00E038DF" w:rsidRDefault="00E038DF" w:rsidP="00987D24">
            <w:pPr>
              <w:pStyle w:val="Compact"/>
              <w:jc w:val="right"/>
            </w:pPr>
            <w:r>
              <w:t>0.5</w:t>
            </w:r>
          </w:p>
        </w:tc>
        <w:tc>
          <w:tcPr>
            <w:tcW w:w="2278" w:type="dxa"/>
          </w:tcPr>
          <w:p w14:paraId="24D58328" w14:textId="77777777" w:rsidR="00E038DF" w:rsidRDefault="00E038DF" w:rsidP="00987D24">
            <w:pPr>
              <w:pStyle w:val="Compact"/>
              <w:jc w:val="right"/>
            </w:pPr>
            <w:r>
              <w:t>1.1</w:t>
            </w:r>
          </w:p>
        </w:tc>
      </w:tr>
      <w:tr w:rsidR="00E038DF" w14:paraId="7A246B89" w14:textId="77777777" w:rsidTr="00987D24">
        <w:tc>
          <w:tcPr>
            <w:tcW w:w="3363" w:type="dxa"/>
          </w:tcPr>
          <w:p w14:paraId="05AC54B7" w14:textId="77777777" w:rsidR="00E038DF" w:rsidRDefault="00E038DF" w:rsidP="00987D24">
            <w:pPr>
              <w:pStyle w:val="Compact"/>
            </w:pPr>
            <m:oMathPara>
              <m:oMath>
                <m:r>
                  <w:rPr>
                    <w:rFonts w:ascii="Cambria Math" w:hAnsi="Cambria Math"/>
                  </w:rPr>
                  <m:t>ρ</m:t>
                </m:r>
              </m:oMath>
            </m:oMathPara>
          </w:p>
        </w:tc>
        <w:tc>
          <w:tcPr>
            <w:tcW w:w="2278" w:type="dxa"/>
          </w:tcPr>
          <w:p w14:paraId="3F3AABF9" w14:textId="77777777" w:rsidR="00E038DF" w:rsidRDefault="00E038DF" w:rsidP="00987D24">
            <w:pPr>
              <w:pStyle w:val="Compact"/>
              <w:jc w:val="right"/>
            </w:pPr>
            <w:r>
              <w:t>0.29 [0.17, 0.42]</w:t>
            </w:r>
          </w:p>
        </w:tc>
        <w:tc>
          <w:tcPr>
            <w:tcW w:w="2278" w:type="dxa"/>
          </w:tcPr>
          <w:p w14:paraId="48E451D6" w14:textId="77777777" w:rsidR="00E038DF" w:rsidRDefault="00E038DF" w:rsidP="00987D24">
            <w:pPr>
              <w:pStyle w:val="Compact"/>
              <w:jc w:val="right"/>
            </w:pPr>
            <w:r>
              <w:t>—</w:t>
            </w:r>
          </w:p>
        </w:tc>
      </w:tr>
      <w:tr w:rsidR="00E038DF" w14:paraId="47FFD597" w14:textId="77777777" w:rsidTr="00987D24">
        <w:tc>
          <w:tcPr>
            <w:tcW w:w="3363" w:type="dxa"/>
          </w:tcPr>
          <w:p w14:paraId="623E5D14" w14:textId="77777777" w:rsidR="00E038DF" w:rsidRDefault="00000000" w:rsidP="00987D24">
            <w:pPr>
              <w:pStyle w:val="Compact"/>
            </w:pPr>
            <m:oMath>
              <m:sSub>
                <m:sSubPr>
                  <m:ctrlPr>
                    <w:rPr>
                      <w:rFonts w:ascii="Cambria Math" w:hAnsi="Cambria Math"/>
                    </w:rPr>
                  </m:ctrlPr>
                </m:sSubPr>
                <m:e>
                  <m:r>
                    <w:rPr>
                      <w:rFonts w:ascii="Cambria Math" w:hAnsi="Cambria Math"/>
                    </w:rPr>
                    <m:t>σ</m:t>
                  </m:r>
                </m:e>
                <m:sub>
                  <m:r>
                    <m:rPr>
                      <m:nor/>
                    </m:rPr>
                    <m:t>marg</m:t>
                  </m:r>
                </m:sub>
              </m:sSub>
            </m:oMath>
            <w:r w:rsidR="00E038DF">
              <w:t xml:space="preserve"> (%/</w:t>
            </w:r>
            <w:proofErr w:type="spellStart"/>
            <w:r w:rsidR="00E038DF">
              <w:t>mo</w:t>
            </w:r>
            <w:proofErr w:type="spellEnd"/>
            <w:r w:rsidR="00E038DF">
              <w:t>)</w:t>
            </w:r>
          </w:p>
        </w:tc>
        <w:tc>
          <w:tcPr>
            <w:tcW w:w="2278" w:type="dxa"/>
          </w:tcPr>
          <w:p w14:paraId="0D85C147" w14:textId="77777777" w:rsidR="00E038DF" w:rsidRDefault="00E038DF" w:rsidP="00987D24">
            <w:pPr>
              <w:pStyle w:val="Compact"/>
              <w:jc w:val="right"/>
            </w:pPr>
            <w:r>
              <w:t>0.54</w:t>
            </w:r>
          </w:p>
        </w:tc>
        <w:tc>
          <w:tcPr>
            <w:tcW w:w="2278" w:type="dxa"/>
          </w:tcPr>
          <w:p w14:paraId="5F5481AE" w14:textId="77777777" w:rsidR="00E038DF" w:rsidRDefault="00E038DF" w:rsidP="00987D24">
            <w:pPr>
              <w:pStyle w:val="Compact"/>
              <w:jc w:val="right"/>
            </w:pPr>
            <w:r>
              <w:t>—</w:t>
            </w:r>
          </w:p>
        </w:tc>
      </w:tr>
    </w:tbl>
    <w:p w14:paraId="3CB1D27B" w14:textId="1E4E2116" w:rsidR="00E038DF" w:rsidRDefault="00E038DF" w:rsidP="00E038DF">
      <w:pPr>
        <w:pStyle w:val="BodyText"/>
      </w:pPr>
      <w:r>
        <w:rPr>
          <w:b/>
          <w:bCs/>
        </w:rPr>
        <w:t>PP loadings above unity.</w:t>
      </w:r>
      <w:r>
        <w:t xml:space="preserve"> Both PP series amplify the latent signal (</w:t>
      </w:r>
      <m:oMath>
        <m:r>
          <w:rPr>
            <w:rFonts w:ascii="Cambria Math" w:hAnsi="Cambria Math"/>
          </w:rPr>
          <m:t>λ</m:t>
        </m:r>
        <m:r>
          <m:rPr>
            <m:sty m:val="p"/>
          </m:rPr>
          <w:rPr>
            <w:rFonts w:ascii="Cambria Math" w:hAnsi="Cambria Math"/>
          </w:rPr>
          <m:t>&gt;</m:t>
        </m:r>
        <m:r>
          <w:rPr>
            <w:rFonts w:ascii="Cambria Math" w:hAnsi="Cambria Math"/>
          </w:rPr>
          <m:t>1</m:t>
        </m:r>
      </m:oMath>
      <w:r>
        <w:t xml:space="preserve">). This reflects survivorship bias: when weak establishments exit the </w:t>
      </w:r>
      <w:r w:rsidR="003E4D27">
        <w:t>continuing units</w:t>
      </w:r>
      <w:r>
        <w:t xml:space="preserve"> panel, the remaining </w:t>
      </w:r>
      <w:r>
        <w:lastRenderedPageBreak/>
        <w:t>sample’s growth rate exceeds the population average. PP2 shows higher amplification (</w:t>
      </w:r>
      <m:oMath>
        <m:r>
          <w:rPr>
            <w:rFonts w:ascii="Cambria Math" w:hAnsi="Cambria Math"/>
          </w:rPr>
          <m:t>λ</m:t>
        </m:r>
        <m:r>
          <m:rPr>
            <m:sty m:val="p"/>
          </m:rPr>
          <w:rPr>
            <w:rFonts w:ascii="Cambria Math" w:hAnsi="Cambria Math"/>
          </w:rPr>
          <m:t>=</m:t>
        </m:r>
        <m:r>
          <w:rPr>
            <w:rFonts w:ascii="Cambria Math" w:hAnsi="Cambria Math"/>
          </w:rPr>
          <m:t>1.53</m:t>
        </m:r>
      </m:oMath>
      <w:r>
        <w:t>) than PP1 (</w:t>
      </w:r>
      <m:oMath>
        <m:r>
          <w:rPr>
            <w:rFonts w:ascii="Cambria Math" w:hAnsi="Cambria Math"/>
          </w:rPr>
          <m:t>λ</m:t>
        </m:r>
        <m:r>
          <m:rPr>
            <m:sty m:val="p"/>
          </m:rPr>
          <w:rPr>
            <w:rFonts w:ascii="Cambria Math" w:hAnsi="Cambria Math"/>
          </w:rPr>
          <m:t>=</m:t>
        </m:r>
        <m:r>
          <w:rPr>
            <w:rFonts w:ascii="Cambria Math" w:hAnsi="Cambria Math"/>
          </w:rPr>
          <m:t>1.35</m:t>
        </m:r>
      </m:oMath>
      <w:r>
        <w:t>), consistent with PP2’s smaller client base experiencing more turnover.</w:t>
      </w:r>
    </w:p>
    <w:p w14:paraId="0CE47D3F" w14:textId="77777777" w:rsidR="00E038DF" w:rsidRDefault="00E038DF" w:rsidP="00E038DF">
      <w:pPr>
        <w:pStyle w:val="BodyText"/>
      </w:pPr>
      <w:r>
        <w:rPr>
          <w:b/>
          <w:bCs/>
        </w:rPr>
        <w:t>PP1 autocorrelation.</w:t>
      </w:r>
      <w:r>
        <w:t xml:space="preserve"> </w:t>
      </w:r>
      <m:oMath>
        <m:r>
          <w:rPr>
            <w:rFonts w:ascii="Cambria Math" w:hAnsi="Cambria Math"/>
          </w:rPr>
          <m:t>ρ</m:t>
        </m:r>
        <m:r>
          <m:rPr>
            <m:sty m:val="p"/>
          </m:rPr>
          <w:rPr>
            <w:rFonts w:ascii="Cambria Math" w:hAnsi="Cambria Math"/>
          </w:rPr>
          <m:t>=</m:t>
        </m:r>
        <m:r>
          <w:rPr>
            <w:rFonts w:ascii="Cambria Math" w:hAnsi="Cambria Math"/>
          </w:rPr>
          <m:t>0.29</m:t>
        </m:r>
      </m:oMath>
      <w:r>
        <w:t xml:space="preserve"> with HDI [0.16, 0.42] confirms autocorrelated measurement errors. The multi-establishment structure of PP1 clients creates persistent artifacts as firms restructure across months. The innovation sigma (0.5%) measures new information per observation; the marginal sigma (0.55%) is the total residual volatility.</w:t>
      </w:r>
    </w:p>
    <w:p w14:paraId="34A59515" w14:textId="77777777" w:rsidR="00E038DF" w:rsidRDefault="00E038DF" w:rsidP="00E038DF">
      <w:pPr>
        <w:pStyle w:val="BodyText"/>
      </w:pPr>
      <w:r>
        <w:rPr>
          <w:b/>
          <w:bCs/>
        </w:rPr>
        <w:t>PP2 noise.</w:t>
      </w:r>
      <w:r>
        <w:t xml:space="preserve"> PP2’s higher noise (</w:t>
      </w:r>
      <m:oMath>
        <m:r>
          <w:rPr>
            <w:rFonts w:ascii="Cambria Math" w:hAnsi="Cambria Math"/>
          </w:rPr>
          <m:t>σ</m:t>
        </m:r>
        <m:r>
          <m:rPr>
            <m:sty m:val="p"/>
          </m:rPr>
          <w:rPr>
            <w:rFonts w:ascii="Cambria Math" w:hAnsi="Cambria Math"/>
          </w:rPr>
          <m:t>=</m:t>
        </m:r>
        <m:r>
          <w:rPr>
            <w:rFonts w:ascii="Cambria Math" w:hAnsi="Cambria Math"/>
          </w:rPr>
          <m:t>1.1</m:t>
        </m:r>
        <m:r>
          <m:rPr>
            <m:sty m:val="p"/>
          </m:rPr>
          <w:rPr>
            <w:rFonts w:ascii="Cambria Math" w:hAnsi="Cambria Math"/>
          </w:rPr>
          <m:t>%</m:t>
        </m:r>
      </m:oMath>
      <w:r>
        <w:t>) reflects its smaller, more volatile client base.</w:t>
      </w:r>
    </w:p>
    <w:p w14:paraId="4F550D23" w14:textId="0576CCC7" w:rsidR="00E038DF" w:rsidRDefault="00E038DF" w:rsidP="00E038DF">
      <w:pPr>
        <w:pStyle w:val="Heading3"/>
      </w:pPr>
      <w:bookmarkStart w:id="29" w:name="precision-budget"/>
      <w:bookmarkEnd w:id="28"/>
      <w:r>
        <w:t>7.</w:t>
      </w:r>
      <w:r w:rsidR="009901A4">
        <w:t>6</w:t>
      </w:r>
      <w:r>
        <w:t xml:space="preserve"> Precision Budget</w:t>
      </w:r>
    </w:p>
    <w:tbl>
      <w:tblPr>
        <w:tblStyle w:val="Table"/>
        <w:tblW w:w="0" w:type="auto"/>
        <w:tblLook w:val="0020" w:firstRow="1" w:lastRow="0" w:firstColumn="0" w:lastColumn="0" w:noHBand="0" w:noVBand="0"/>
      </w:tblPr>
      <w:tblGrid>
        <w:gridCol w:w="1652"/>
        <w:gridCol w:w="644"/>
        <w:gridCol w:w="1153"/>
        <w:gridCol w:w="1247"/>
        <w:gridCol w:w="868"/>
      </w:tblGrid>
      <w:tr w:rsidR="00E038DF" w14:paraId="08F5EBFE" w14:textId="77777777" w:rsidTr="00987D24">
        <w:trPr>
          <w:cnfStyle w:val="100000000000" w:firstRow="1" w:lastRow="0" w:firstColumn="0" w:lastColumn="0" w:oddVBand="0" w:evenVBand="0" w:oddHBand="0" w:evenHBand="0" w:firstRowFirstColumn="0" w:firstRowLastColumn="0" w:lastRowFirstColumn="0" w:lastRowLastColumn="0"/>
          <w:tblHeader/>
        </w:trPr>
        <w:tc>
          <w:tcPr>
            <w:tcW w:w="0" w:type="auto"/>
          </w:tcPr>
          <w:p w14:paraId="0CE5CEA3" w14:textId="77777777" w:rsidR="00E038DF" w:rsidRDefault="00E038DF" w:rsidP="00987D24">
            <w:pPr>
              <w:pStyle w:val="Compact"/>
            </w:pPr>
            <w:r>
              <w:t>Source</w:t>
            </w:r>
          </w:p>
        </w:tc>
        <w:tc>
          <w:tcPr>
            <w:tcW w:w="0" w:type="auto"/>
          </w:tcPr>
          <w:p w14:paraId="6734EB4D" w14:textId="77777777" w:rsidR="00E038DF" w:rsidRDefault="00E038DF" w:rsidP="00987D24">
            <w:pPr>
              <w:pStyle w:val="Compact"/>
              <w:jc w:val="center"/>
            </w:pPr>
            <w:proofErr w:type="spellStart"/>
            <w:r>
              <w:t>Obs</w:t>
            </w:r>
            <w:proofErr w:type="spellEnd"/>
          </w:p>
        </w:tc>
        <w:tc>
          <w:tcPr>
            <w:tcW w:w="0" w:type="auto"/>
          </w:tcPr>
          <w:p w14:paraId="7433C9A1" w14:textId="77777777" w:rsidR="00E038DF" w:rsidRDefault="00E038DF" w:rsidP="00987D24">
            <w:pPr>
              <w:pStyle w:val="Compact"/>
              <w:jc w:val="center"/>
            </w:pPr>
            <w:proofErr w:type="spellStart"/>
            <w:r>
              <w:t>Prec</w:t>
            </w:r>
            <w:proofErr w:type="spellEnd"/>
            <w:r>
              <w:t>/</w:t>
            </w:r>
            <w:proofErr w:type="spellStart"/>
            <w:r>
              <w:t>obs</w:t>
            </w:r>
            <w:proofErr w:type="spellEnd"/>
          </w:p>
        </w:tc>
        <w:tc>
          <w:tcPr>
            <w:tcW w:w="0" w:type="auto"/>
          </w:tcPr>
          <w:p w14:paraId="01CB0B78" w14:textId="77777777" w:rsidR="00E038DF" w:rsidRDefault="00E038DF" w:rsidP="00987D24">
            <w:pPr>
              <w:pStyle w:val="Compact"/>
              <w:jc w:val="center"/>
            </w:pPr>
            <w:r>
              <w:t xml:space="preserve">Total </w:t>
            </w:r>
            <w:proofErr w:type="spellStart"/>
            <w:r>
              <w:t>prec</w:t>
            </w:r>
            <w:proofErr w:type="spellEnd"/>
          </w:p>
        </w:tc>
        <w:tc>
          <w:tcPr>
            <w:tcW w:w="0" w:type="auto"/>
          </w:tcPr>
          <w:p w14:paraId="6583B64F" w14:textId="77777777" w:rsidR="00E038DF" w:rsidRDefault="00E038DF" w:rsidP="00987D24">
            <w:pPr>
              <w:pStyle w:val="Compact"/>
              <w:jc w:val="right"/>
            </w:pPr>
            <w:r>
              <w:t>Share</w:t>
            </w:r>
          </w:p>
        </w:tc>
      </w:tr>
      <w:tr w:rsidR="00E038DF" w14:paraId="4ED38CDA" w14:textId="77777777" w:rsidTr="00987D24">
        <w:tc>
          <w:tcPr>
            <w:tcW w:w="0" w:type="auto"/>
          </w:tcPr>
          <w:p w14:paraId="5D6B19FB" w14:textId="77777777" w:rsidR="00E038DF" w:rsidRDefault="00E038DF" w:rsidP="00987D24">
            <w:pPr>
              <w:pStyle w:val="Compact"/>
            </w:pPr>
            <w:r>
              <w:t>CES SA</w:t>
            </w:r>
          </w:p>
        </w:tc>
        <w:tc>
          <w:tcPr>
            <w:tcW w:w="0" w:type="auto"/>
          </w:tcPr>
          <w:p w14:paraId="70D0A08D" w14:textId="77777777" w:rsidR="00E038DF" w:rsidRDefault="00E038DF" w:rsidP="00987D24">
            <w:pPr>
              <w:pStyle w:val="Compact"/>
              <w:jc w:val="center"/>
            </w:pPr>
            <w:r>
              <w:t>119</w:t>
            </w:r>
          </w:p>
        </w:tc>
        <w:tc>
          <w:tcPr>
            <w:tcW w:w="0" w:type="auto"/>
          </w:tcPr>
          <w:p w14:paraId="0EAC306B" w14:textId="77777777" w:rsidR="00E038DF" w:rsidRDefault="00E038DF" w:rsidP="00987D24">
            <w:pPr>
              <w:pStyle w:val="Compact"/>
              <w:jc w:val="center"/>
            </w:pPr>
            <w:r>
              <w:t>1,345k</w:t>
            </w:r>
          </w:p>
        </w:tc>
        <w:tc>
          <w:tcPr>
            <w:tcW w:w="0" w:type="auto"/>
          </w:tcPr>
          <w:p w14:paraId="7ECA419F" w14:textId="77777777" w:rsidR="00E038DF" w:rsidRDefault="00E038DF" w:rsidP="00987D24">
            <w:pPr>
              <w:pStyle w:val="Compact"/>
              <w:jc w:val="center"/>
            </w:pPr>
            <w:r>
              <w:t>160M</w:t>
            </w:r>
          </w:p>
        </w:tc>
        <w:tc>
          <w:tcPr>
            <w:tcW w:w="0" w:type="auto"/>
          </w:tcPr>
          <w:p w14:paraId="30447F47" w14:textId="77777777" w:rsidR="00E038DF" w:rsidRDefault="00E038DF" w:rsidP="00987D24">
            <w:pPr>
              <w:pStyle w:val="Compact"/>
              <w:jc w:val="right"/>
            </w:pPr>
            <w:r>
              <w:t>32.8%</w:t>
            </w:r>
          </w:p>
        </w:tc>
      </w:tr>
      <w:tr w:rsidR="00E038DF" w14:paraId="6FC52F49" w14:textId="77777777" w:rsidTr="00987D24">
        <w:tc>
          <w:tcPr>
            <w:tcW w:w="0" w:type="auto"/>
          </w:tcPr>
          <w:p w14:paraId="24CF5AAB" w14:textId="77777777" w:rsidR="00E038DF" w:rsidRDefault="00E038DF" w:rsidP="00987D24">
            <w:pPr>
              <w:pStyle w:val="Compact"/>
            </w:pPr>
            <w:r>
              <w:t>CES NSA</w:t>
            </w:r>
          </w:p>
        </w:tc>
        <w:tc>
          <w:tcPr>
            <w:tcW w:w="0" w:type="auto"/>
          </w:tcPr>
          <w:p w14:paraId="41D612EF" w14:textId="77777777" w:rsidR="00E038DF" w:rsidRDefault="00E038DF" w:rsidP="00987D24">
            <w:pPr>
              <w:pStyle w:val="Compact"/>
              <w:jc w:val="center"/>
            </w:pPr>
            <w:r>
              <w:t>119</w:t>
            </w:r>
          </w:p>
        </w:tc>
        <w:tc>
          <w:tcPr>
            <w:tcW w:w="0" w:type="auto"/>
          </w:tcPr>
          <w:p w14:paraId="4CA1393C" w14:textId="77777777" w:rsidR="00E038DF" w:rsidRDefault="00E038DF" w:rsidP="00987D24">
            <w:pPr>
              <w:pStyle w:val="Compact"/>
              <w:jc w:val="center"/>
            </w:pPr>
            <w:r>
              <w:t>1,126k</w:t>
            </w:r>
          </w:p>
        </w:tc>
        <w:tc>
          <w:tcPr>
            <w:tcW w:w="0" w:type="auto"/>
          </w:tcPr>
          <w:p w14:paraId="601D878A" w14:textId="77777777" w:rsidR="00E038DF" w:rsidRDefault="00E038DF" w:rsidP="00987D24">
            <w:pPr>
              <w:pStyle w:val="Compact"/>
              <w:jc w:val="center"/>
            </w:pPr>
            <w:r>
              <w:t>134M</w:t>
            </w:r>
          </w:p>
        </w:tc>
        <w:tc>
          <w:tcPr>
            <w:tcW w:w="0" w:type="auto"/>
          </w:tcPr>
          <w:p w14:paraId="67E5A3AE" w14:textId="77777777" w:rsidR="00E038DF" w:rsidRDefault="00E038DF" w:rsidP="00987D24">
            <w:pPr>
              <w:pStyle w:val="Compact"/>
              <w:jc w:val="right"/>
            </w:pPr>
            <w:r>
              <w:t>27.5%</w:t>
            </w:r>
          </w:p>
        </w:tc>
      </w:tr>
      <w:tr w:rsidR="00E038DF" w14:paraId="7B9404E2" w14:textId="77777777" w:rsidTr="00987D24">
        <w:tc>
          <w:tcPr>
            <w:tcW w:w="0" w:type="auto"/>
          </w:tcPr>
          <w:p w14:paraId="7AB404FE" w14:textId="77777777" w:rsidR="00E038DF" w:rsidRDefault="00E038DF" w:rsidP="00987D24">
            <w:pPr>
              <w:pStyle w:val="Compact"/>
            </w:pPr>
            <w:r>
              <w:t>PP1</w:t>
            </w:r>
          </w:p>
        </w:tc>
        <w:tc>
          <w:tcPr>
            <w:tcW w:w="0" w:type="auto"/>
          </w:tcPr>
          <w:p w14:paraId="67307FAE" w14:textId="77777777" w:rsidR="00E038DF" w:rsidRDefault="00E038DF" w:rsidP="00987D24">
            <w:pPr>
              <w:pStyle w:val="Compact"/>
              <w:jc w:val="center"/>
            </w:pPr>
            <w:r>
              <w:t>113</w:t>
            </w:r>
          </w:p>
        </w:tc>
        <w:tc>
          <w:tcPr>
            <w:tcW w:w="0" w:type="auto"/>
          </w:tcPr>
          <w:p w14:paraId="4A9F1658" w14:textId="77777777" w:rsidR="00E038DF" w:rsidRDefault="00E038DF" w:rsidP="00987D24">
            <w:pPr>
              <w:pStyle w:val="Compact"/>
              <w:jc w:val="center"/>
            </w:pPr>
            <w:r>
              <w:t>62k</w:t>
            </w:r>
          </w:p>
        </w:tc>
        <w:tc>
          <w:tcPr>
            <w:tcW w:w="0" w:type="auto"/>
          </w:tcPr>
          <w:p w14:paraId="54290988" w14:textId="77777777" w:rsidR="00E038DF" w:rsidRDefault="00E038DF" w:rsidP="00987D24">
            <w:pPr>
              <w:pStyle w:val="Compact"/>
              <w:jc w:val="center"/>
            </w:pPr>
            <w:r>
              <w:t>7M</w:t>
            </w:r>
          </w:p>
        </w:tc>
        <w:tc>
          <w:tcPr>
            <w:tcW w:w="0" w:type="auto"/>
          </w:tcPr>
          <w:p w14:paraId="455F7EE6" w14:textId="77777777" w:rsidR="00E038DF" w:rsidRDefault="00E038DF" w:rsidP="00987D24">
            <w:pPr>
              <w:pStyle w:val="Compact"/>
              <w:jc w:val="right"/>
            </w:pPr>
            <w:r>
              <w:t>1.4%</w:t>
            </w:r>
          </w:p>
        </w:tc>
      </w:tr>
      <w:tr w:rsidR="00E038DF" w14:paraId="7CAC2287" w14:textId="77777777" w:rsidTr="00987D24">
        <w:tc>
          <w:tcPr>
            <w:tcW w:w="0" w:type="auto"/>
          </w:tcPr>
          <w:p w14:paraId="788C4F4E" w14:textId="77777777" w:rsidR="00E038DF" w:rsidRDefault="00E038DF" w:rsidP="00987D24">
            <w:pPr>
              <w:pStyle w:val="Compact"/>
            </w:pPr>
            <w:r>
              <w:t>PP2</w:t>
            </w:r>
          </w:p>
        </w:tc>
        <w:tc>
          <w:tcPr>
            <w:tcW w:w="0" w:type="auto"/>
          </w:tcPr>
          <w:p w14:paraId="39CB5142" w14:textId="77777777" w:rsidR="00E038DF" w:rsidRDefault="00E038DF" w:rsidP="00987D24">
            <w:pPr>
              <w:pStyle w:val="Compact"/>
              <w:jc w:val="center"/>
            </w:pPr>
            <w:r>
              <w:t>82</w:t>
            </w:r>
          </w:p>
        </w:tc>
        <w:tc>
          <w:tcPr>
            <w:tcW w:w="0" w:type="auto"/>
          </w:tcPr>
          <w:p w14:paraId="47F9166F" w14:textId="77777777" w:rsidR="00E038DF" w:rsidRDefault="00E038DF" w:rsidP="00987D24">
            <w:pPr>
              <w:pStyle w:val="Compact"/>
              <w:jc w:val="center"/>
            </w:pPr>
            <w:r>
              <w:t>19k</w:t>
            </w:r>
          </w:p>
        </w:tc>
        <w:tc>
          <w:tcPr>
            <w:tcW w:w="0" w:type="auto"/>
          </w:tcPr>
          <w:p w14:paraId="39DE88C6" w14:textId="77777777" w:rsidR="00E038DF" w:rsidRDefault="00E038DF" w:rsidP="00987D24">
            <w:pPr>
              <w:pStyle w:val="Compact"/>
              <w:jc w:val="center"/>
            </w:pPr>
            <w:r>
              <w:t>2M</w:t>
            </w:r>
          </w:p>
        </w:tc>
        <w:tc>
          <w:tcPr>
            <w:tcW w:w="0" w:type="auto"/>
          </w:tcPr>
          <w:p w14:paraId="2931F5B6" w14:textId="77777777" w:rsidR="00E038DF" w:rsidRDefault="00E038DF" w:rsidP="00987D24">
            <w:pPr>
              <w:pStyle w:val="Compact"/>
              <w:jc w:val="right"/>
            </w:pPr>
            <w:r>
              <w:t>0.3%</w:t>
            </w:r>
          </w:p>
        </w:tc>
      </w:tr>
      <w:tr w:rsidR="00E038DF" w14:paraId="31533AFD" w14:textId="77777777" w:rsidTr="00987D24">
        <w:tc>
          <w:tcPr>
            <w:tcW w:w="0" w:type="auto"/>
          </w:tcPr>
          <w:p w14:paraId="72B585F5" w14:textId="77777777" w:rsidR="00E038DF" w:rsidRDefault="00E038DF" w:rsidP="00987D24">
            <w:pPr>
              <w:pStyle w:val="Compact"/>
            </w:pPr>
            <w:r>
              <w:t>QCEW (M3)</w:t>
            </w:r>
          </w:p>
        </w:tc>
        <w:tc>
          <w:tcPr>
            <w:tcW w:w="0" w:type="auto"/>
          </w:tcPr>
          <w:p w14:paraId="38E0FE04" w14:textId="77777777" w:rsidR="00E038DF" w:rsidRDefault="00E038DF" w:rsidP="00987D24">
            <w:pPr>
              <w:pStyle w:val="Compact"/>
              <w:jc w:val="center"/>
            </w:pPr>
            <w:r>
              <w:t>38</w:t>
            </w:r>
          </w:p>
        </w:tc>
        <w:tc>
          <w:tcPr>
            <w:tcW w:w="0" w:type="auto"/>
          </w:tcPr>
          <w:p w14:paraId="2A7DBC97" w14:textId="77777777" w:rsidR="00E038DF" w:rsidRDefault="00E038DF" w:rsidP="00987D24">
            <w:pPr>
              <w:pStyle w:val="Compact"/>
              <w:jc w:val="center"/>
            </w:pPr>
            <w:r>
              <w:t>4,000k</w:t>
            </w:r>
          </w:p>
        </w:tc>
        <w:tc>
          <w:tcPr>
            <w:tcW w:w="0" w:type="auto"/>
          </w:tcPr>
          <w:p w14:paraId="34B8BE3B" w14:textId="77777777" w:rsidR="00E038DF" w:rsidRDefault="00E038DF" w:rsidP="00987D24">
            <w:pPr>
              <w:pStyle w:val="Compact"/>
              <w:jc w:val="center"/>
            </w:pPr>
            <w:r>
              <w:t>152M</w:t>
            </w:r>
          </w:p>
        </w:tc>
        <w:tc>
          <w:tcPr>
            <w:tcW w:w="0" w:type="auto"/>
          </w:tcPr>
          <w:p w14:paraId="2E669AF3" w14:textId="77777777" w:rsidR="00E038DF" w:rsidRDefault="00E038DF" w:rsidP="00987D24">
            <w:pPr>
              <w:pStyle w:val="Compact"/>
              <w:jc w:val="right"/>
            </w:pPr>
            <w:r>
              <w:t>31.1%</w:t>
            </w:r>
          </w:p>
        </w:tc>
      </w:tr>
      <w:tr w:rsidR="00E038DF" w14:paraId="4D0CE51B" w14:textId="77777777" w:rsidTr="00987D24">
        <w:tc>
          <w:tcPr>
            <w:tcW w:w="0" w:type="auto"/>
          </w:tcPr>
          <w:p w14:paraId="610AC62A" w14:textId="77777777" w:rsidR="00E038DF" w:rsidRDefault="00E038DF" w:rsidP="00987D24">
            <w:pPr>
              <w:pStyle w:val="Compact"/>
            </w:pPr>
            <w:r>
              <w:t>QCEW (M1–2)</w:t>
            </w:r>
          </w:p>
        </w:tc>
        <w:tc>
          <w:tcPr>
            <w:tcW w:w="0" w:type="auto"/>
          </w:tcPr>
          <w:p w14:paraId="75611352" w14:textId="77777777" w:rsidR="00E038DF" w:rsidRDefault="00E038DF" w:rsidP="00987D24">
            <w:pPr>
              <w:pStyle w:val="Compact"/>
              <w:jc w:val="center"/>
            </w:pPr>
            <w:r>
              <w:t>75</w:t>
            </w:r>
          </w:p>
        </w:tc>
        <w:tc>
          <w:tcPr>
            <w:tcW w:w="0" w:type="auto"/>
          </w:tcPr>
          <w:p w14:paraId="282F175E" w14:textId="77777777" w:rsidR="00E038DF" w:rsidRDefault="00E038DF" w:rsidP="00987D24">
            <w:pPr>
              <w:pStyle w:val="Compact"/>
              <w:jc w:val="center"/>
            </w:pPr>
            <w:r>
              <w:t>444k</w:t>
            </w:r>
          </w:p>
        </w:tc>
        <w:tc>
          <w:tcPr>
            <w:tcW w:w="0" w:type="auto"/>
          </w:tcPr>
          <w:p w14:paraId="31A03E40" w14:textId="77777777" w:rsidR="00E038DF" w:rsidRDefault="00E038DF" w:rsidP="00987D24">
            <w:pPr>
              <w:pStyle w:val="Compact"/>
              <w:jc w:val="center"/>
            </w:pPr>
            <w:r>
              <w:t>33M</w:t>
            </w:r>
          </w:p>
        </w:tc>
        <w:tc>
          <w:tcPr>
            <w:tcW w:w="0" w:type="auto"/>
          </w:tcPr>
          <w:p w14:paraId="6B80F391" w14:textId="77777777" w:rsidR="00E038DF" w:rsidRDefault="00E038DF" w:rsidP="00987D24">
            <w:pPr>
              <w:pStyle w:val="Compact"/>
              <w:jc w:val="right"/>
            </w:pPr>
            <w:r>
              <w:t>6.8%</w:t>
            </w:r>
          </w:p>
        </w:tc>
      </w:tr>
      <w:tr w:rsidR="00E038DF" w14:paraId="713B0B3E" w14:textId="77777777" w:rsidTr="00987D24">
        <w:tc>
          <w:tcPr>
            <w:tcW w:w="0" w:type="auto"/>
          </w:tcPr>
          <w:p w14:paraId="02BE1826" w14:textId="77777777" w:rsidR="00E038DF" w:rsidRDefault="00E038DF" w:rsidP="00987D24">
            <w:pPr>
              <w:pStyle w:val="Compact"/>
            </w:pPr>
            <w:r>
              <w:rPr>
                <w:b/>
                <w:bCs/>
              </w:rPr>
              <w:t>Total</w:t>
            </w:r>
          </w:p>
        </w:tc>
        <w:tc>
          <w:tcPr>
            <w:tcW w:w="0" w:type="auto"/>
          </w:tcPr>
          <w:p w14:paraId="51B12D64" w14:textId="77777777" w:rsidR="00E038DF" w:rsidRDefault="00E038DF" w:rsidP="00987D24">
            <w:pPr>
              <w:pStyle w:val="Compact"/>
            </w:pPr>
          </w:p>
        </w:tc>
        <w:tc>
          <w:tcPr>
            <w:tcW w:w="0" w:type="auto"/>
          </w:tcPr>
          <w:p w14:paraId="15272907" w14:textId="77777777" w:rsidR="00E038DF" w:rsidRDefault="00E038DF" w:rsidP="00987D24">
            <w:pPr>
              <w:pStyle w:val="Compact"/>
            </w:pPr>
          </w:p>
        </w:tc>
        <w:tc>
          <w:tcPr>
            <w:tcW w:w="0" w:type="auto"/>
          </w:tcPr>
          <w:p w14:paraId="1A5DB7E7" w14:textId="77777777" w:rsidR="00E038DF" w:rsidRDefault="00E038DF" w:rsidP="00987D24">
            <w:pPr>
              <w:pStyle w:val="Compact"/>
              <w:jc w:val="center"/>
            </w:pPr>
            <w:r>
              <w:rPr>
                <w:b/>
                <w:bCs/>
              </w:rPr>
              <w:t>488M</w:t>
            </w:r>
          </w:p>
        </w:tc>
        <w:tc>
          <w:tcPr>
            <w:tcW w:w="0" w:type="auto"/>
          </w:tcPr>
          <w:p w14:paraId="1864E1E7" w14:textId="77777777" w:rsidR="00E038DF" w:rsidRDefault="00E038DF" w:rsidP="00987D24">
            <w:pPr>
              <w:pStyle w:val="Compact"/>
              <w:jc w:val="right"/>
            </w:pPr>
            <w:r>
              <w:rPr>
                <w:b/>
                <w:bCs/>
              </w:rPr>
              <w:t>100%</w:t>
            </w:r>
          </w:p>
        </w:tc>
      </w:tr>
    </w:tbl>
    <w:p w14:paraId="012B4FCD" w14:textId="77777777" w:rsidR="00E038DF" w:rsidRDefault="00E038DF" w:rsidP="00E038DF">
      <w:pPr>
        <w:pStyle w:val="BodyText"/>
      </w:pPr>
      <w:r>
        <w:rPr>
          <w:b/>
          <w:bCs/>
        </w:rPr>
        <w:t>National-level interpretation.</w:t>
      </w:r>
      <w:r>
        <w:t xml:space="preserve"> CES contributes 60.3% and QCEW contributes 37.9%. The tightened QCEW </w:t>
      </w:r>
      <w:proofErr w:type="spellStart"/>
      <w:r>
        <w:t>sigmas</w:t>
      </w:r>
      <w:proofErr w:type="spellEnd"/>
      <w:r>
        <w:t xml:space="preserve"> (0.05% M3, 0.15% M1–2) give QCEW enough weight to </w:t>
      </w:r>
      <w:proofErr w:type="gramStart"/>
      <w:r>
        <w:t>actually anchor</w:t>
      </w:r>
      <w:proofErr w:type="gramEnd"/>
      <w:r>
        <w:t xml:space="preserve"> the latent trajectory month-to-month. Under the earlier, looser calibration (0.1% / 0.3%), QCEW had only 4% share and the latent index drifted systematically below QCEW observations as CES (95%) dominated filtering. CES noise is now estimated at ~0.09%—more realistic for a survey of 145,000 establishments—rather than the artificially tight ~0.05% that arose when QCEW lacked sufficient precision to constrain the latent. PP contributes 1.7% combined.</w:t>
      </w:r>
    </w:p>
    <w:p w14:paraId="75A10BC4" w14:textId="77777777" w:rsidR="00E038DF" w:rsidRDefault="00E038DF" w:rsidP="00E038DF">
      <w:pPr>
        <w:pStyle w:val="BodyText"/>
      </w:pPr>
      <w:r>
        <w:rPr>
          <w:b/>
          <w:bCs/>
        </w:rPr>
        <w:t xml:space="preserve">This balance will </w:t>
      </w:r>
      <w:proofErr w:type="gramStart"/>
      <w:r>
        <w:rPr>
          <w:b/>
          <w:bCs/>
        </w:rPr>
        <w:t>invert</w:t>
      </w:r>
      <w:proofErr w:type="gramEnd"/>
      <w:r>
        <w:rPr>
          <w:b/>
          <w:bCs/>
        </w:rPr>
        <w:t xml:space="preserve"> at state</w:t>
      </w:r>
      <w:r>
        <w:t xml:space="preserve"> </w:t>
      </w:r>
      <m:oMath>
        <m:r>
          <m:rPr>
            <m:sty m:val="p"/>
          </m:rPr>
          <w:rPr>
            <w:rFonts w:ascii="Cambria Math" w:hAnsi="Cambria Math"/>
          </w:rPr>
          <m:t>×</m:t>
        </m:r>
      </m:oMath>
      <w:r>
        <w:t xml:space="preserve"> supersector. CES noise scales as </w:t>
      </w:r>
      <m:oMath>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where </w:t>
      </w:r>
      <m:oMath>
        <m:r>
          <w:rPr>
            <w:rFonts w:ascii="Cambria Math" w:hAnsi="Cambria Math"/>
          </w:rPr>
          <m:t>n</m:t>
        </m:r>
      </m:oMath>
      <w:r>
        <w:t xml:space="preserve"> is the sample size. At a typical state-supersector cell, </w:t>
      </w:r>
      <m:oMath>
        <m:sSub>
          <m:sSubPr>
            <m:ctrlPr>
              <w:rPr>
                <w:rFonts w:ascii="Cambria Math" w:hAnsi="Cambria Math"/>
              </w:rPr>
            </m:ctrlPr>
          </m:sSubPr>
          <m:e>
            <m:r>
              <w:rPr>
                <w:rFonts w:ascii="Cambria Math" w:hAnsi="Cambria Math"/>
              </w:rPr>
              <m:t>σ</m:t>
            </m:r>
          </m:e>
          <m:sub>
            <m:r>
              <m:rPr>
                <m:nor/>
              </m:rPr>
              <m:t>CES</m:t>
            </m:r>
          </m:sub>
        </m:sSub>
      </m:oMath>
      <w:r>
        <w:t xml:space="preserve"> could be 0.5–2%, reducing CES per-observation precision by 30–500</w:t>
      </w:r>
      <m:oMath>
        <m:r>
          <m:rPr>
            <m:sty m:val="p"/>
          </m:rPr>
          <w:rPr>
            <w:rFonts w:ascii="Cambria Math" w:hAnsi="Cambria Math"/>
          </w:rPr>
          <m:t>×</m:t>
        </m:r>
      </m:oMath>
      <w:r>
        <w:t xml:space="preserve"> and making QCEW the dominant information source.</w:t>
      </w:r>
    </w:p>
    <w:p w14:paraId="3E4D430F" w14:textId="399A910F" w:rsidR="00E038DF" w:rsidRDefault="00E038DF" w:rsidP="00E038DF">
      <w:pPr>
        <w:pStyle w:val="Heading3"/>
      </w:pPr>
      <w:bookmarkStart w:id="30" w:name="seasonal-pattern"/>
      <w:bookmarkEnd w:id="29"/>
      <w:r>
        <w:t>7.9</w:t>
      </w:r>
      <w:r w:rsidR="009901A4">
        <w:t>7</w:t>
      </w:r>
      <w:r>
        <w:t xml:space="preserve"> Seasonal Pattern</w:t>
      </w:r>
    </w:p>
    <w:p w14:paraId="35126832" w14:textId="77777777" w:rsidR="00E038DF" w:rsidRDefault="00E038DF" w:rsidP="00E038DF">
      <w:pPr>
        <w:pStyle w:val="FirstParagraph"/>
      </w:pPr>
      <w:r>
        <w:t>The estimated seasonal is consistent with the empirical CES SA–NSA differential:</w:t>
      </w:r>
    </w:p>
    <w:p w14:paraId="1E342686" w14:textId="77777777" w:rsidR="00E038DF" w:rsidRDefault="00E038DF" w:rsidP="00E038DF">
      <w:pPr>
        <w:pStyle w:val="Compact"/>
        <w:numPr>
          <w:ilvl w:val="0"/>
          <w:numId w:val="4"/>
        </w:numPr>
      </w:pPr>
      <w:r>
        <w:rPr>
          <w:b/>
          <w:bCs/>
        </w:rPr>
        <w:t>January</w:t>
      </w:r>
      <w:r>
        <w:t>: −2.0% (post-holiday layoffs)</w:t>
      </w:r>
    </w:p>
    <w:p w14:paraId="51B6ACC8" w14:textId="77777777" w:rsidR="00E038DF" w:rsidRDefault="00E038DF" w:rsidP="00E038DF">
      <w:pPr>
        <w:pStyle w:val="Compact"/>
        <w:numPr>
          <w:ilvl w:val="0"/>
          <w:numId w:val="4"/>
        </w:numPr>
      </w:pPr>
      <w:r>
        <w:rPr>
          <w:b/>
          <w:bCs/>
        </w:rPr>
        <w:t>June</w:t>
      </w:r>
      <w:r>
        <w:t>: +0.8% (summer hiring)</w:t>
      </w:r>
    </w:p>
    <w:p w14:paraId="680F6725" w14:textId="77777777" w:rsidR="00E038DF" w:rsidRDefault="00E038DF" w:rsidP="00E038DF">
      <w:pPr>
        <w:pStyle w:val="Compact"/>
        <w:numPr>
          <w:ilvl w:val="0"/>
          <w:numId w:val="4"/>
        </w:numPr>
      </w:pPr>
      <w:r>
        <w:rPr>
          <w:b/>
          <w:bCs/>
        </w:rPr>
        <w:t>September–October</w:t>
      </w:r>
      <w:r>
        <w:t>: −0.8% (seasonal transitions)</w:t>
      </w:r>
    </w:p>
    <w:p w14:paraId="31F4E543" w14:textId="77777777" w:rsidR="00E038DF" w:rsidRDefault="00E038DF" w:rsidP="00E038DF">
      <w:pPr>
        <w:pStyle w:val="FirstParagraph"/>
      </w:pPr>
      <w:r>
        <w:lastRenderedPageBreak/>
        <w:t>The seasonal is well-identified from simultaneous CES SA and NSA data, crosschecked against monthly QCEW.</w:t>
      </w:r>
    </w:p>
    <w:p w14:paraId="1B0C079F" w14:textId="79BBD113" w:rsidR="00E038DF" w:rsidRDefault="00E038DF" w:rsidP="00E038DF"/>
    <w:p w14:paraId="378D0ECB" w14:textId="77777777" w:rsidR="00E038DF" w:rsidRDefault="00E038DF" w:rsidP="00E038DF">
      <w:pPr>
        <w:pStyle w:val="Heading2"/>
      </w:pPr>
      <w:bookmarkStart w:id="31" w:name="forecasting"/>
      <w:bookmarkEnd w:id="30"/>
      <w:r>
        <w:t>8. Forecasting</w:t>
      </w:r>
    </w:p>
    <w:p w14:paraId="397D45C8" w14:textId="77777777" w:rsidR="00E038DF" w:rsidRDefault="00E038DF" w:rsidP="00E038DF">
      <w:pPr>
        <w:pStyle w:val="FirstParagraph"/>
      </w:pPr>
      <w:r>
        <w:t xml:space="preserve">Reported forecast output is </w:t>
      </w:r>
      <w:r w:rsidRPr="009901A4">
        <w:t>jobs added</w:t>
      </w:r>
      <w:r>
        <w:t xml:space="preserve"> (month-over-month change in thousands, SA and NSA) first; index and level are derived for consistency and optional use.</w:t>
      </w:r>
    </w:p>
    <w:p w14:paraId="15EAE0CD" w14:textId="77777777" w:rsidR="00E038DF" w:rsidRDefault="00E038DF" w:rsidP="00E038DF">
      <w:pPr>
        <w:pStyle w:val="Heading3"/>
      </w:pPr>
      <w:bookmarkStart w:id="32" w:name="method"/>
      <w:r>
        <w:t>8.1 Method</w:t>
      </w:r>
    </w:p>
    <w:p w14:paraId="6EBED576" w14:textId="77777777" w:rsidR="00E038DF" w:rsidRDefault="00E038DF" w:rsidP="00E038DF">
      <w:pPr>
        <w:pStyle w:val="FirstParagraph"/>
      </w:pPr>
      <w:r>
        <w:t xml:space="preserve">Forecasts are generated by simulating the </w:t>
      </w:r>
      <w:proofErr w:type="gramStart"/>
      <w:r>
        <w:t>AR(</w:t>
      </w:r>
      <w:proofErr w:type="gramEnd"/>
      <w:r>
        <w:t>1) forward from the last posterior state:</w:t>
      </w:r>
    </w:p>
    <w:p w14:paraId="2A100A87" w14:textId="77777777" w:rsidR="00E038DF" w:rsidRDefault="00000000" w:rsidP="00E038DF">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up>
              <m:r>
                <m:rPr>
                  <m:nor/>
                </m: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r>
            <w:rPr>
              <w:rFonts w:ascii="Cambria Math" w:hAnsi="Cambria Math"/>
            </w:rPr>
            <m:t>ϕ</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up>
                  <m:r>
                    <m:rPr>
                      <m:nor/>
                    </m:rPr>
                    <m:t>cont</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h</m:t>
              </m:r>
            </m:sub>
          </m:sSub>
        </m:oMath>
      </m:oMathPara>
    </w:p>
    <w:p w14:paraId="44709DDB" w14:textId="77777777" w:rsidR="00E038DF" w:rsidRDefault="00E038DF" w:rsidP="00E038DF">
      <w:pPr>
        <w:pStyle w:val="FirstParagraph"/>
      </w:pPr>
      <w:r>
        <w:t xml:space="preserve">with </w:t>
      </w:r>
      <m:oMath>
        <m:sSubSup>
          <m:sSubSupPr>
            <m:ctrlPr>
              <w:rPr>
                <w:rFonts w:ascii="Cambria Math" w:hAnsi="Cambria Math"/>
              </w:rPr>
            </m:ctrlPr>
          </m:sSubSup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up>
            <m:r>
              <m:rPr>
                <m:nor/>
              </m:rPr>
              <m:t>total,sa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up>
            <m:r>
              <m:rPr>
                <m:nor/>
              </m:rPr>
              <m:t>cont</m:t>
            </m:r>
          </m:sup>
        </m:sSubSup>
        <m:r>
          <m:rPr>
            <m:sty m:val="p"/>
          </m:rPr>
          <w:rPr>
            <w:rFonts w:ascii="Cambria Math" w:hAnsi="Cambria Math"/>
          </w:rPr>
          <m:t>+</m:t>
        </m:r>
        <m:r>
          <m:rPr>
            <m:nor/>
          </m:rPr>
          <m:t>bd</m:t>
        </m:r>
      </m:oMath>
      <w:r>
        <w:t xml:space="preserve"> and </w:t>
      </w:r>
      <m:oMath>
        <m:sSubSup>
          <m:sSubSupPr>
            <m:ctrlPr>
              <w:rPr>
                <w:rFonts w:ascii="Cambria Math" w:hAnsi="Cambria Math"/>
              </w:rPr>
            </m:ctrlPr>
          </m:sSubSup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up>
            <m:r>
              <m:rPr>
                <m:nor/>
              </m:rPr>
              <m:t>total,nsa</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up>
            <m:r>
              <m:rPr>
                <m:nor/>
              </m:rPr>
              <m:t>cont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h</m:t>
                </m:r>
              </m:e>
            </m:d>
          </m:sub>
        </m:sSub>
        <m:r>
          <m:rPr>
            <m:sty m:val="p"/>
          </m:rPr>
          <w:rPr>
            <w:rFonts w:ascii="Cambria Math" w:hAnsi="Cambria Math"/>
          </w:rPr>
          <m:t>+</m:t>
        </m:r>
        <m:r>
          <m:rPr>
            <m:nor/>
          </m:rPr>
          <m:t>bd</m:t>
        </m:r>
      </m:oMath>
      <w:r>
        <w:t>.</w:t>
      </w:r>
    </w:p>
    <w:p w14:paraId="2F64B8F8" w14:textId="77777777" w:rsidR="00E038DF" w:rsidRDefault="00E038DF" w:rsidP="00E038DF">
      <w:pPr>
        <w:pStyle w:val="BodyText"/>
      </w:pPr>
      <w:r>
        <w:t xml:space="preserve">Index levels are reconstructed by cumulating log growth rates; employment levels (thousands) by scaling against the base-period employment-to-index ratio. For NFP communication, </w:t>
      </w:r>
      <w:r w:rsidRPr="009901A4">
        <w:t>change</w:t>
      </w:r>
      <w:r>
        <w:t xml:space="preserve"> is primary: the model reports </w:t>
      </w:r>
      <w:r>
        <w:rPr>
          <w:i/>
          <w:iCs/>
        </w:rPr>
        <w:t>jobs added</w:t>
      </w:r>
      <w:r>
        <w:t xml:space="preserve"> (month-over-month change in thousands, SA and NSA), e.g. “The economy added 138k jobs on a seasonally adjusted basis (−259k not seasonally adjusted).” The main forecast figure (saved as </w:t>
      </w:r>
      <w:r>
        <w:rPr>
          <w:rStyle w:val="VerbatimChar"/>
        </w:rPr>
        <w:t>forecast_levels.png</w:t>
      </w:r>
      <w:r>
        <w:t xml:space="preserve">) plots </w:t>
      </w:r>
      <w:r w:rsidRPr="009901A4">
        <w:t>jobs</w:t>
      </w:r>
      <w:r>
        <w:rPr>
          <w:b/>
          <w:bCs/>
        </w:rPr>
        <w:t xml:space="preserve"> </w:t>
      </w:r>
      <w:r w:rsidRPr="009901A4">
        <w:t>added</w:t>
      </w:r>
      <w:r>
        <w:t xml:space="preserve"> (month-over-month change) for SA and </w:t>
      </w:r>
      <w:proofErr w:type="gramStart"/>
      <w:r>
        <w:t>NSA;</w:t>
      </w:r>
      <w:proofErr w:type="gramEnd"/>
      <w:r>
        <w:t xml:space="preserve"> console output leads with the same. Employment levels are available for reference.</w:t>
      </w:r>
    </w:p>
    <w:p w14:paraId="4618D6D6" w14:textId="77777777" w:rsidR="00E038DF" w:rsidRDefault="00E038DF" w:rsidP="00E038DF">
      <w:pPr>
        <w:pStyle w:val="Heading3"/>
      </w:pPr>
      <w:bookmarkStart w:id="33" w:name="january-2026-forecast"/>
      <w:bookmarkEnd w:id="32"/>
      <w:r>
        <w:t>8.2 January 2026 Forecast</w:t>
      </w:r>
    </w:p>
    <w:tbl>
      <w:tblPr>
        <w:tblStyle w:val="Table"/>
        <w:tblW w:w="5000" w:type="pct"/>
        <w:tblLayout w:type="fixed"/>
        <w:tblLook w:val="0020" w:firstRow="1" w:lastRow="0" w:firstColumn="0" w:lastColumn="0" w:noHBand="0" w:noVBand="0"/>
      </w:tblPr>
      <w:tblGrid>
        <w:gridCol w:w="3900"/>
        <w:gridCol w:w="2860"/>
        <w:gridCol w:w="2600"/>
      </w:tblGrid>
      <w:tr w:rsidR="00E038DF" w14:paraId="75C3D0B9" w14:textId="77777777" w:rsidTr="00987D24">
        <w:trPr>
          <w:cnfStyle w:val="100000000000" w:firstRow="1" w:lastRow="0" w:firstColumn="0" w:lastColumn="0" w:oddVBand="0" w:evenVBand="0" w:oddHBand="0" w:evenHBand="0" w:firstRowFirstColumn="0" w:firstRowLastColumn="0" w:lastRowFirstColumn="0" w:lastRowLastColumn="0"/>
          <w:tblHeader/>
        </w:trPr>
        <w:tc>
          <w:tcPr>
            <w:tcW w:w="3300" w:type="dxa"/>
          </w:tcPr>
          <w:p w14:paraId="41F6BA4A" w14:textId="77777777" w:rsidR="00E038DF" w:rsidRDefault="00E038DF" w:rsidP="00987D24">
            <w:pPr>
              <w:pStyle w:val="Compact"/>
            </w:pPr>
            <w:r>
              <w:t>Metric</w:t>
            </w:r>
          </w:p>
        </w:tc>
        <w:tc>
          <w:tcPr>
            <w:tcW w:w="2420" w:type="dxa"/>
          </w:tcPr>
          <w:p w14:paraId="31558DF6" w14:textId="77777777" w:rsidR="00E038DF" w:rsidRDefault="00E038DF" w:rsidP="00987D24">
            <w:pPr>
              <w:pStyle w:val="Compact"/>
              <w:jc w:val="right"/>
            </w:pPr>
            <w:r>
              <w:t>SA</w:t>
            </w:r>
          </w:p>
        </w:tc>
        <w:tc>
          <w:tcPr>
            <w:tcW w:w="2200" w:type="dxa"/>
          </w:tcPr>
          <w:p w14:paraId="3A33F17B" w14:textId="77777777" w:rsidR="00E038DF" w:rsidRDefault="00E038DF" w:rsidP="00987D24">
            <w:pPr>
              <w:pStyle w:val="Compact"/>
              <w:jc w:val="right"/>
            </w:pPr>
            <w:r>
              <w:t>NSA</w:t>
            </w:r>
          </w:p>
        </w:tc>
      </w:tr>
      <w:tr w:rsidR="00E038DF" w14:paraId="48386722" w14:textId="77777777" w:rsidTr="00987D24">
        <w:tc>
          <w:tcPr>
            <w:tcW w:w="3300" w:type="dxa"/>
          </w:tcPr>
          <w:p w14:paraId="742B4FA0" w14:textId="77777777" w:rsidR="00E038DF" w:rsidRDefault="00E038DF" w:rsidP="00987D24">
            <w:pPr>
              <w:pStyle w:val="Compact"/>
            </w:pPr>
            <w:r>
              <w:t>Jobs added (mean, thousands)</w:t>
            </w:r>
          </w:p>
        </w:tc>
        <w:tc>
          <w:tcPr>
            <w:tcW w:w="2420" w:type="dxa"/>
          </w:tcPr>
          <w:p w14:paraId="3C9AA83C" w14:textId="77777777" w:rsidR="00E038DF" w:rsidRDefault="00E038DF" w:rsidP="00987D24">
            <w:pPr>
              <w:pStyle w:val="Compact"/>
              <w:jc w:val="right"/>
            </w:pPr>
            <w:r>
              <w:t>+122k</w:t>
            </w:r>
          </w:p>
        </w:tc>
        <w:tc>
          <w:tcPr>
            <w:tcW w:w="2200" w:type="dxa"/>
          </w:tcPr>
          <w:p w14:paraId="1434CA0F" w14:textId="77777777" w:rsidR="00E038DF" w:rsidRDefault="00E038DF" w:rsidP="00987D24">
            <w:pPr>
              <w:pStyle w:val="Compact"/>
              <w:jc w:val="right"/>
            </w:pPr>
            <w:r>
              <w:t>−2,572k</w:t>
            </w:r>
          </w:p>
        </w:tc>
      </w:tr>
      <w:tr w:rsidR="00E038DF" w14:paraId="57496DDA" w14:textId="77777777" w:rsidTr="00987D24">
        <w:tc>
          <w:tcPr>
            <w:tcW w:w="3300" w:type="dxa"/>
          </w:tcPr>
          <w:p w14:paraId="36D95A58" w14:textId="77777777" w:rsidR="00E038DF" w:rsidRDefault="00E038DF" w:rsidP="00987D24">
            <w:pPr>
              <w:pStyle w:val="Compact"/>
            </w:pPr>
            <w:r>
              <w:t>Jobs added (80% HDI)</w:t>
            </w:r>
          </w:p>
        </w:tc>
        <w:tc>
          <w:tcPr>
            <w:tcW w:w="2420" w:type="dxa"/>
          </w:tcPr>
          <w:p w14:paraId="4B6BB763" w14:textId="77777777" w:rsidR="00E038DF" w:rsidRDefault="00E038DF" w:rsidP="00987D24">
            <w:pPr>
              <w:pStyle w:val="Compact"/>
              <w:jc w:val="right"/>
            </w:pPr>
            <w:r>
              <w:t>[−2,641k, +2,905k]</w:t>
            </w:r>
          </w:p>
        </w:tc>
        <w:tc>
          <w:tcPr>
            <w:tcW w:w="2200" w:type="dxa"/>
          </w:tcPr>
          <w:p w14:paraId="7E672D7F" w14:textId="77777777" w:rsidR="00E038DF" w:rsidRDefault="00E038DF" w:rsidP="00987D24">
            <w:pPr>
              <w:pStyle w:val="Compact"/>
              <w:jc w:val="right"/>
            </w:pPr>
            <w:r>
              <w:t>[−5,291k, +162k]</w:t>
            </w:r>
          </w:p>
        </w:tc>
      </w:tr>
      <w:tr w:rsidR="00E038DF" w14:paraId="414BE6C1" w14:textId="77777777" w:rsidTr="00987D24">
        <w:tc>
          <w:tcPr>
            <w:tcW w:w="3300" w:type="dxa"/>
          </w:tcPr>
          <w:p w14:paraId="370822D5" w14:textId="77777777" w:rsidR="00E038DF" w:rsidRDefault="00E038DF" w:rsidP="00987D24">
            <w:pPr>
              <w:pStyle w:val="Compact"/>
            </w:pPr>
            <w:r>
              <w:t>Monthly growth (mean)</w:t>
            </w:r>
          </w:p>
        </w:tc>
        <w:tc>
          <w:tcPr>
            <w:tcW w:w="2420" w:type="dxa"/>
          </w:tcPr>
          <w:p w14:paraId="4E2D08AA" w14:textId="77777777" w:rsidR="00E038DF" w:rsidRDefault="00E038DF" w:rsidP="00987D24">
            <w:pPr>
              <w:pStyle w:val="Compact"/>
              <w:jc w:val="right"/>
            </w:pPr>
            <w:r>
              <w:t>+0.079%</w:t>
            </w:r>
          </w:p>
        </w:tc>
        <w:tc>
          <w:tcPr>
            <w:tcW w:w="2200" w:type="dxa"/>
          </w:tcPr>
          <w:p w14:paraId="30B23FF2" w14:textId="77777777" w:rsidR="00E038DF" w:rsidRDefault="00E038DF" w:rsidP="00987D24">
            <w:pPr>
              <w:pStyle w:val="Compact"/>
              <w:jc w:val="right"/>
            </w:pPr>
            <w:r>
              <w:t>−1.990%</w:t>
            </w:r>
          </w:p>
        </w:tc>
      </w:tr>
      <w:tr w:rsidR="00E038DF" w14:paraId="184AA63A" w14:textId="77777777" w:rsidTr="00987D24">
        <w:tc>
          <w:tcPr>
            <w:tcW w:w="3300" w:type="dxa"/>
          </w:tcPr>
          <w:p w14:paraId="17E04AAA" w14:textId="77777777" w:rsidR="00E038DF" w:rsidRDefault="00E038DF" w:rsidP="00987D24">
            <w:pPr>
              <w:pStyle w:val="Compact"/>
            </w:pPr>
            <w:r>
              <w:t>Index (mean)</w:t>
            </w:r>
          </w:p>
        </w:tc>
        <w:tc>
          <w:tcPr>
            <w:tcW w:w="2420" w:type="dxa"/>
          </w:tcPr>
          <w:p w14:paraId="129D195A" w14:textId="77777777" w:rsidR="00E038DF" w:rsidRDefault="00E038DF" w:rsidP="00987D24">
            <w:pPr>
              <w:pStyle w:val="Compact"/>
              <w:jc w:val="right"/>
            </w:pPr>
            <w:r>
              <w:t>102.34</w:t>
            </w:r>
          </w:p>
        </w:tc>
        <w:tc>
          <w:tcPr>
            <w:tcW w:w="2200" w:type="dxa"/>
          </w:tcPr>
          <w:p w14:paraId="2FE25103" w14:textId="77777777" w:rsidR="00E038DF" w:rsidRDefault="00E038DF" w:rsidP="00987D24">
            <w:pPr>
              <w:pStyle w:val="Compact"/>
              <w:jc w:val="right"/>
            </w:pPr>
            <w:r>
              <w:t>101.63</w:t>
            </w:r>
          </w:p>
        </w:tc>
      </w:tr>
      <w:tr w:rsidR="00E038DF" w14:paraId="3BA7B0F6" w14:textId="77777777" w:rsidTr="00987D24">
        <w:tc>
          <w:tcPr>
            <w:tcW w:w="3300" w:type="dxa"/>
          </w:tcPr>
          <w:p w14:paraId="02D7B326" w14:textId="77777777" w:rsidR="00E038DF" w:rsidRDefault="00E038DF" w:rsidP="00987D24">
            <w:pPr>
              <w:pStyle w:val="Compact"/>
            </w:pPr>
            <w:r>
              <w:t>Employment level (mean)</w:t>
            </w:r>
          </w:p>
        </w:tc>
        <w:tc>
          <w:tcPr>
            <w:tcW w:w="2420" w:type="dxa"/>
          </w:tcPr>
          <w:p w14:paraId="28007580" w14:textId="77777777" w:rsidR="00E038DF" w:rsidRDefault="00E038DF" w:rsidP="00987D24">
            <w:pPr>
              <w:pStyle w:val="Compact"/>
              <w:jc w:val="right"/>
            </w:pPr>
            <w:r>
              <w:t>128,321k</w:t>
            </w:r>
          </w:p>
        </w:tc>
        <w:tc>
          <w:tcPr>
            <w:tcW w:w="2200" w:type="dxa"/>
          </w:tcPr>
          <w:p w14:paraId="34A867ED" w14:textId="77777777" w:rsidR="00E038DF" w:rsidRDefault="00E038DF" w:rsidP="00987D24">
            <w:pPr>
              <w:pStyle w:val="Compact"/>
              <w:jc w:val="right"/>
            </w:pPr>
            <w:r>
              <w:t>126,199k</w:t>
            </w:r>
          </w:p>
        </w:tc>
      </w:tr>
    </w:tbl>
    <w:p w14:paraId="2B3C9A3F" w14:textId="77777777" w:rsidR="00E038DF" w:rsidRDefault="00E038DF" w:rsidP="00E038DF">
      <w:pPr>
        <w:pStyle w:val="BodyText"/>
      </w:pPr>
      <w:r>
        <w:t xml:space="preserve">The wide intervals reflect </w:t>
      </w:r>
      <m:oMath>
        <m:sSub>
          <m:sSubPr>
            <m:ctrlPr>
              <w:rPr>
                <w:rFonts w:ascii="Cambria Math" w:hAnsi="Cambria Math"/>
              </w:rPr>
            </m:ctrlPr>
          </m:sSubPr>
          <m:e>
            <m:r>
              <w:rPr>
                <w:rFonts w:ascii="Cambria Math" w:hAnsi="Cambria Math"/>
              </w:rPr>
              <m:t>σ</m:t>
            </m:r>
          </m:e>
          <m:sub>
            <m:r>
              <w:rPr>
                <w:rFonts w:ascii="Cambria Math" w:hAnsi="Cambria Math"/>
              </w:rPr>
              <m:t>g</m:t>
            </m:r>
          </m:sub>
        </m:sSub>
        <m:r>
          <m:rPr>
            <m:sty m:val="p"/>
          </m:rPr>
          <w:rPr>
            <w:rFonts w:ascii="Cambria Math" w:hAnsi="Cambria Math"/>
          </w:rPr>
          <m:t>=</m:t>
        </m:r>
        <m:r>
          <w:rPr>
            <w:rFonts w:ascii="Cambria Math" w:hAnsi="Cambria Math"/>
          </w:rPr>
          <m:t>1.6</m:t>
        </m:r>
        <m:r>
          <m:rPr>
            <m:sty m:val="p"/>
          </m:rPr>
          <w:rPr>
            <w:rFonts w:ascii="Cambria Math" w:hAnsi="Cambria Math"/>
          </w:rPr>
          <m:t>%</m:t>
        </m:r>
      </m:oMath>
      <w:r>
        <w:t>/mo innovation uncertainty. The strongly negative NSA forecast is driven by the January seasonal (</w:t>
      </w:r>
      <m:oMath>
        <m:sSub>
          <m:sSubPr>
            <m:ctrlPr>
              <w:rPr>
                <w:rFonts w:ascii="Cambria Math" w:hAnsi="Cambria Math"/>
              </w:rPr>
            </m:ctrlPr>
          </m:sSubPr>
          <m:e>
            <m:r>
              <w:rPr>
                <w:rFonts w:ascii="Cambria Math" w:hAnsi="Cambria Math"/>
              </w:rPr>
              <m:t>s</m:t>
            </m:r>
          </m:e>
          <m:sub>
            <m:r>
              <m:rPr>
                <m:nor/>
              </m:rPr>
              <m:t>Jan</m:t>
            </m:r>
          </m:sub>
        </m:sSub>
        <m:r>
          <m:rPr>
            <m:sty m:val="p"/>
          </m:rPr>
          <w:rPr>
            <w:rFonts w:ascii="Cambria Math" w:hAnsi="Cambria Math"/>
          </w:rPr>
          <m:t>≈-</m:t>
        </m:r>
        <m:r>
          <w:rPr>
            <w:rFonts w:ascii="Cambria Math" w:hAnsi="Cambria Math"/>
          </w:rPr>
          <m:t>2.0</m:t>
        </m:r>
        <m:r>
          <m:rPr>
            <m:sty m:val="p"/>
          </m:rPr>
          <w:rPr>
            <w:rFonts w:ascii="Cambria Math" w:hAnsi="Cambria Math"/>
          </w:rPr>
          <m:t>%</m:t>
        </m:r>
      </m:oMath>
      <w:r>
        <w:t>).</w:t>
      </w:r>
    </w:p>
    <w:p w14:paraId="4EF6244C" w14:textId="77777777" w:rsidR="00E038DF" w:rsidRDefault="00E038DF" w:rsidP="00E038DF">
      <w:pPr>
        <w:pStyle w:val="Heading3"/>
      </w:pPr>
      <w:bookmarkStart w:id="34" w:name="uncertainty-decomposition"/>
      <w:bookmarkEnd w:id="33"/>
      <w:r>
        <w:t>8.3 Uncertainty Decomposition</w:t>
      </w:r>
    </w:p>
    <w:p w14:paraId="53DB6767" w14:textId="77777777" w:rsidR="00E038DF" w:rsidRDefault="00E038DF" w:rsidP="00E038DF">
      <w:pPr>
        <w:pStyle w:val="FirstParagraph"/>
      </w:pPr>
      <w:r>
        <w:t xml:space="preserve">Forecast uncertainty propagates three sources: parameter uncertainty (different MCMC draws yield different structural parameters), state uncertainty (the terminal filtered state has posterior spread), and innovation uncertainty (the future shock </w:t>
      </w:r>
      <m:oMath>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h</m:t>
            </m:r>
          </m:sub>
        </m:sSub>
      </m:oMath>
      <w:r>
        <w:t>). Innovation uncertainty dominates at short horizons.</w:t>
      </w:r>
    </w:p>
    <w:p w14:paraId="231AB48F" w14:textId="04AE02B6" w:rsidR="00E038DF" w:rsidRDefault="00E038DF" w:rsidP="00E038DF"/>
    <w:bookmarkEnd w:id="31"/>
    <w:bookmarkEnd w:id="34"/>
    <w:p w14:paraId="528D9921" w14:textId="77777777" w:rsidR="00E038DF" w:rsidRDefault="00E038DF" w:rsidP="00E038DF">
      <w:pPr>
        <w:pStyle w:val="Heading2"/>
      </w:pPr>
      <w:r>
        <w:lastRenderedPageBreak/>
        <w:t>9. The Nowcasting Window</w:t>
      </w:r>
    </w:p>
    <w:p w14:paraId="1D387642" w14:textId="77777777" w:rsidR="00E038DF" w:rsidRDefault="00E038DF" w:rsidP="00E038DF">
      <w:pPr>
        <w:pStyle w:val="Heading3"/>
      </w:pPr>
      <w:bookmarkStart w:id="35" w:name="information-regime-shift"/>
      <w:r>
        <w:t>9.1 Information Regime Shift</w:t>
      </w:r>
    </w:p>
    <w:p w14:paraId="1A1D91B4" w14:textId="09A480CD" w:rsidR="00E038DF" w:rsidRDefault="00E038DF" w:rsidP="00E038DF">
      <w:pPr>
        <w:pStyle w:val="FirstParagraph"/>
      </w:pPr>
      <w:r>
        <w:t xml:space="preserve">During the historical period, CES </w:t>
      </w:r>
      <w:r w:rsidR="00981F57">
        <w:t>dominated</w:t>
      </w:r>
      <w:r>
        <w:t xml:space="preserve"> (60</w:t>
      </w:r>
      <w:proofErr w:type="gramStart"/>
      <w:r>
        <w:t>% of</w:t>
      </w:r>
      <w:proofErr w:type="gramEnd"/>
      <w:r>
        <w:t xml:space="preserve"> precision) with QCEW providing 38%. In the nowcasting window—after PP data arrives but before CES is published—PP becomes the sole monthly signal. PP’s relative contribution jumps from ~1.7% (in-sample) to dominant (nowcast month).</w:t>
      </w:r>
    </w:p>
    <w:p w14:paraId="7B6B640E" w14:textId="77777777" w:rsidR="00E038DF" w:rsidRDefault="00E038DF" w:rsidP="00E038DF">
      <w:pPr>
        <w:pStyle w:val="Heading3"/>
      </w:pPr>
      <w:bookmarkStart w:id="36" w:name="nfp-nowcast-construction"/>
      <w:bookmarkEnd w:id="35"/>
      <w:r>
        <w:t>9.2 NFP Nowcast Construction</w:t>
      </w:r>
    </w:p>
    <w:p w14:paraId="61EA59BB" w14:textId="77777777" w:rsidR="00E038DF" w:rsidRDefault="00E038DF" w:rsidP="00E038DF">
      <w:pPr>
        <w:pStyle w:val="FirstParagraph"/>
      </w:pPr>
      <w:r>
        <w:t xml:space="preserve">PP observes NSA continuing-units growth. Converting to an NFP-comparable estimate requires seasonal adjustment (subtract </w:t>
      </w:r>
      <m:oMath>
        <m:sSub>
          <m:sSubPr>
            <m:ctrlPr>
              <w:rPr>
                <w:rFonts w:ascii="Cambria Math" w:hAnsi="Cambria Math"/>
              </w:rPr>
            </m:ctrlPr>
          </m:sSubPr>
          <m:e>
            <m:r>
              <w:rPr>
                <w:rFonts w:ascii="Cambria Math" w:hAnsi="Cambria Math"/>
              </w:rPr>
              <m:t>s</m:t>
            </m:r>
          </m:e>
          <m:sub>
            <m:r>
              <w:rPr>
                <w:rFonts w:ascii="Cambria Math" w:hAnsi="Cambria Math"/>
              </w:rPr>
              <m:t>m</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b>
        </m:sSub>
      </m:oMath>
      <w:r>
        <w:t xml:space="preserve">) and birth/death offset (add </w:t>
      </w:r>
      <m:oMath>
        <m:r>
          <m:rPr>
            <m:nor/>
          </m:rPr>
          <m:t>bd</m:t>
        </m:r>
      </m:oMath>
      <w:r>
        <w:t>). The CES calibration parameters (</w:t>
      </w:r>
      <m:oMath>
        <m:sSub>
          <m:sSubPr>
            <m:ctrlPr>
              <w:rPr>
                <w:rFonts w:ascii="Cambria Math" w:hAnsi="Cambria Math"/>
              </w:rPr>
            </m:ctrlPr>
          </m:sSubPr>
          <m:e>
            <m:r>
              <w:rPr>
                <w:rFonts w:ascii="Cambria Math" w:hAnsi="Cambria Math"/>
              </w:rPr>
              <m:t>α</m:t>
            </m:r>
          </m:e>
          <m:sub>
            <m:r>
              <m:rPr>
                <m:nor/>
              </m:rPr>
              <m:t>CES</m:t>
            </m:r>
          </m:sub>
        </m:sSub>
      </m:oMath>
      <w:r>
        <w:t xml:space="preserve">, </w:t>
      </w:r>
      <m:oMath>
        <m:sSub>
          <m:sSubPr>
            <m:ctrlPr>
              <w:rPr>
                <w:rFonts w:ascii="Cambria Math" w:hAnsi="Cambria Math"/>
              </w:rPr>
            </m:ctrlPr>
          </m:sSubPr>
          <m:e>
            <m:r>
              <w:rPr>
                <w:rFonts w:ascii="Cambria Math" w:hAnsi="Cambria Math"/>
              </w:rPr>
              <m:t>λ</m:t>
            </m:r>
          </m:e>
          <m:sub>
            <m:r>
              <m:rPr>
                <m:nor/>
              </m:rPr>
              <m:t>CES</m:t>
            </m:r>
          </m:sub>
        </m:sSub>
      </m:oMath>
      <w:r>
        <w:t xml:space="preserve">) indicate how the latent state maps to CES-reported growth. The </w:t>
      </w:r>
      <w:r w:rsidRPr="00981F57">
        <w:t>headline nowcast is jobs added</w:t>
      </w:r>
      <w:r>
        <w:t xml:space="preserve"> (month-over-month change in thousands, SA and NSA), e.g. “+138k SA, −259k NSA,” not the employment level.</w:t>
      </w:r>
    </w:p>
    <w:bookmarkEnd w:id="36"/>
    <w:p w14:paraId="76814375" w14:textId="77777777" w:rsidR="00E038DF" w:rsidRDefault="00E038DF" w:rsidP="00E038DF">
      <w:pPr>
        <w:pStyle w:val="Heading3"/>
      </w:pPr>
      <w:r>
        <w:t>9.3 Operational Workflow</w:t>
      </w:r>
    </w:p>
    <w:p w14:paraId="5805C841" w14:textId="6C8D3235" w:rsidR="00E038DF" w:rsidRDefault="00E038DF" w:rsidP="00E038DF">
      <w:pPr>
        <w:pStyle w:val="Compact"/>
        <w:numPr>
          <w:ilvl w:val="0"/>
          <w:numId w:val="2"/>
        </w:numPr>
      </w:pPr>
      <w:r>
        <w:t xml:space="preserve">Append new PP index rows </w:t>
      </w:r>
      <w:proofErr w:type="gramStart"/>
      <w:r>
        <w:t>(CES</w:t>
      </w:r>
      <w:proofErr w:type="gramEnd"/>
      <w:r>
        <w:t xml:space="preserve">/QCEW columns </w:t>
      </w:r>
      <w:r w:rsidR="00981F57">
        <w:t>are missing</w:t>
      </w:r>
      <w:r>
        <w:t xml:space="preserve"> for nowcast month)</w:t>
      </w:r>
    </w:p>
    <w:p w14:paraId="70E03D0D" w14:textId="77777777" w:rsidR="00E038DF" w:rsidRDefault="00E038DF" w:rsidP="00E038DF">
      <w:pPr>
        <w:pStyle w:val="Compact"/>
        <w:numPr>
          <w:ilvl w:val="0"/>
          <w:numId w:val="2"/>
        </w:numPr>
      </w:pPr>
      <w:r>
        <w:t xml:space="preserve">Re-run </w:t>
      </w:r>
      <w:proofErr w:type="spellStart"/>
      <w:r>
        <w:rPr>
          <w:rStyle w:val="VerbatimChar"/>
        </w:rPr>
        <w:t>load_</w:t>
      </w:r>
      <w:proofErr w:type="gramStart"/>
      <w:r>
        <w:rPr>
          <w:rStyle w:val="VerbatimChar"/>
        </w:rPr>
        <w:t>data</w:t>
      </w:r>
      <w:proofErr w:type="spellEnd"/>
      <w:r>
        <w:rPr>
          <w:rStyle w:val="VerbatimChar"/>
        </w:rPr>
        <w:t>(</w:t>
      </w:r>
      <w:proofErr w:type="gramEnd"/>
      <w:r>
        <w:rPr>
          <w:rStyle w:val="VerbatimChar"/>
        </w:rPr>
        <w:t>)</w:t>
      </w:r>
      <w:r>
        <w:t xml:space="preserve"> — calendar extends automatically</w:t>
      </w:r>
    </w:p>
    <w:p w14:paraId="65931AF3" w14:textId="77777777" w:rsidR="00E038DF" w:rsidRDefault="00E038DF" w:rsidP="00E038DF">
      <w:pPr>
        <w:pStyle w:val="Compact"/>
        <w:numPr>
          <w:ilvl w:val="0"/>
          <w:numId w:val="2"/>
        </w:numPr>
      </w:pPr>
      <w:r>
        <w:t xml:space="preserve">Re-run </w:t>
      </w:r>
      <w:proofErr w:type="spellStart"/>
      <w:r>
        <w:rPr>
          <w:rStyle w:val="VerbatimChar"/>
        </w:rPr>
        <w:t>build_and_</w:t>
      </w:r>
      <w:proofErr w:type="gramStart"/>
      <w:r>
        <w:rPr>
          <w:rStyle w:val="VerbatimChar"/>
        </w:rPr>
        <w:t>sample</w:t>
      </w:r>
      <w:proofErr w:type="spellEnd"/>
      <w:r>
        <w:rPr>
          <w:rStyle w:val="VerbatimChar"/>
        </w:rPr>
        <w:t>(</w:t>
      </w:r>
      <w:proofErr w:type="gramEnd"/>
      <w:r>
        <w:rPr>
          <w:rStyle w:val="VerbatimChar"/>
        </w:rPr>
        <w:t>)</w:t>
      </w:r>
      <w:r>
        <w:t xml:space="preserve"> — observation masks handle missing data</w:t>
      </w:r>
    </w:p>
    <w:p w14:paraId="577DC699" w14:textId="77777777" w:rsidR="00E038DF" w:rsidRDefault="00E038DF" w:rsidP="00E038DF">
      <w:pPr>
        <w:pStyle w:val="Compact"/>
        <w:numPr>
          <w:ilvl w:val="0"/>
          <w:numId w:val="2"/>
        </w:numPr>
      </w:pPr>
      <w:r>
        <w:t xml:space="preserve">Nowcast month is reported as </w:t>
      </w:r>
      <w:r w:rsidRPr="00981F57">
        <w:t>jobs added</w:t>
      </w:r>
      <w:r>
        <w:t xml:space="preserve"> (and growth); forecast horizon shifts forward</w:t>
      </w:r>
    </w:p>
    <w:p w14:paraId="0F38D21F" w14:textId="77777777" w:rsidR="00E038DF" w:rsidRDefault="00E038DF" w:rsidP="00E038DF">
      <w:pPr>
        <w:pStyle w:val="FirstParagraph"/>
      </w:pPr>
      <w:r>
        <w:t>No code changes required. The model is data-availability-agnostic. Console and figure outputs lead with change (jobs added); levels are available if needed.</w:t>
      </w:r>
    </w:p>
    <w:p w14:paraId="3FA301BB" w14:textId="11E1B061" w:rsidR="008965AB" w:rsidRDefault="008965AB" w:rsidP="00E038DF">
      <w:pPr>
        <w:pStyle w:val="Heading3"/>
      </w:pPr>
    </w:p>
    <w:p w14:paraId="3FA301BC" w14:textId="0C128F6D" w:rsidR="008965AB" w:rsidRDefault="008965AB"/>
    <w:p w14:paraId="3FA301D9" w14:textId="5D87F0AF" w:rsidR="008965AB" w:rsidRDefault="00000000">
      <w:pPr>
        <w:pStyle w:val="Heading2"/>
      </w:pPr>
      <w:bookmarkStart w:id="37" w:name="relationship-to-planned-extensions"/>
      <w:bookmarkEnd w:id="25"/>
      <w:bookmarkEnd w:id="26"/>
      <w:r>
        <w:t>1</w:t>
      </w:r>
      <w:r w:rsidR="00A94A79">
        <w:t>0</w:t>
      </w:r>
      <w:r>
        <w:t xml:space="preserve">. Relationship </w:t>
      </w:r>
      <w:proofErr w:type="gramStart"/>
      <w:r>
        <w:t>to</w:t>
      </w:r>
      <w:proofErr w:type="gramEnd"/>
      <w:r>
        <w:t xml:space="preserve"> Planned Extensions</w:t>
      </w:r>
    </w:p>
    <w:tbl>
      <w:tblPr>
        <w:tblStyle w:val="Table"/>
        <w:tblW w:w="5000" w:type="pct"/>
        <w:tblLayout w:type="fixed"/>
        <w:tblLook w:val="0020" w:firstRow="1" w:lastRow="0" w:firstColumn="0" w:lastColumn="0" w:noHBand="0" w:noVBand="0"/>
      </w:tblPr>
      <w:tblGrid>
        <w:gridCol w:w="1800"/>
        <w:gridCol w:w="3960"/>
        <w:gridCol w:w="3600"/>
      </w:tblGrid>
      <w:tr w:rsidR="008965AB" w14:paraId="3FA301DD" w14:textId="77777777" w:rsidTr="0076116C">
        <w:trPr>
          <w:cnfStyle w:val="100000000000" w:firstRow="1" w:lastRow="0" w:firstColumn="0" w:lastColumn="0" w:oddVBand="0" w:evenVBand="0" w:oddHBand="0" w:evenHBand="0" w:firstRowFirstColumn="0" w:firstRowLastColumn="0" w:lastRowFirstColumn="0" w:lastRowLastColumn="0"/>
          <w:tblHeader/>
        </w:trPr>
        <w:tc>
          <w:tcPr>
            <w:tcW w:w="1800" w:type="dxa"/>
          </w:tcPr>
          <w:p w14:paraId="3FA301DA" w14:textId="77777777" w:rsidR="008965AB" w:rsidRDefault="00000000">
            <w:pPr>
              <w:pStyle w:val="Compact"/>
            </w:pPr>
            <w:r>
              <w:t>Feature</w:t>
            </w:r>
          </w:p>
        </w:tc>
        <w:tc>
          <w:tcPr>
            <w:tcW w:w="3960" w:type="dxa"/>
          </w:tcPr>
          <w:p w14:paraId="3FA301DB" w14:textId="39A7A498" w:rsidR="008965AB" w:rsidRDefault="00DF549C">
            <w:pPr>
              <w:pStyle w:val="Compact"/>
            </w:pPr>
            <w:r>
              <w:t>Refer</w:t>
            </w:r>
            <w:r w:rsidR="0076116C">
              <w:t>ence</w:t>
            </w:r>
          </w:p>
        </w:tc>
        <w:tc>
          <w:tcPr>
            <w:tcW w:w="3600" w:type="dxa"/>
          </w:tcPr>
          <w:p w14:paraId="3FA301DC" w14:textId="77777777" w:rsidR="008965AB" w:rsidRDefault="00000000">
            <w:pPr>
              <w:pStyle w:val="Compact"/>
            </w:pPr>
            <w:r>
              <w:t xml:space="preserve">Planned (State </w:t>
            </w:r>
            <m:oMath>
              <m:r>
                <m:rPr>
                  <m:sty m:val="p"/>
                </m:rPr>
                <w:rPr>
                  <w:rFonts w:ascii="Cambria Math" w:hAnsi="Cambria Math"/>
                </w:rPr>
                <m:t>×</m:t>
              </m:r>
            </m:oMath>
            <w:r>
              <w:t xml:space="preserve"> Supersector)</w:t>
            </w:r>
          </w:p>
        </w:tc>
      </w:tr>
      <w:tr w:rsidR="008965AB" w14:paraId="3FA301E1" w14:textId="77777777" w:rsidTr="0076116C">
        <w:tc>
          <w:tcPr>
            <w:tcW w:w="1800" w:type="dxa"/>
          </w:tcPr>
          <w:p w14:paraId="3FA301DE" w14:textId="77777777" w:rsidR="008965AB" w:rsidRDefault="00000000">
            <w:pPr>
              <w:pStyle w:val="Compact"/>
            </w:pPr>
            <w:r>
              <w:t>Truth anchor</w:t>
            </w:r>
          </w:p>
        </w:tc>
        <w:tc>
          <w:tcPr>
            <w:tcW w:w="3960" w:type="dxa"/>
          </w:tcPr>
          <w:p w14:paraId="3FA301DF" w14:textId="77777777" w:rsidR="008965AB" w:rsidRDefault="00000000">
            <w:pPr>
              <w:pStyle w:val="Compact"/>
            </w:pPr>
            <w:r>
              <w:t xml:space="preserve">QCEW (monthly, fixed </w:t>
            </w:r>
            <m:oMath>
              <m:r>
                <w:rPr>
                  <w:rFonts w:ascii="Cambria Math" w:hAnsi="Cambria Math"/>
                </w:rPr>
                <m:t>σ</m:t>
              </m:r>
            </m:oMath>
            <w:r>
              <w:t>)</w:t>
            </w:r>
          </w:p>
        </w:tc>
        <w:tc>
          <w:tcPr>
            <w:tcW w:w="3600" w:type="dxa"/>
          </w:tcPr>
          <w:p w14:paraId="3FA301E0" w14:textId="77777777" w:rsidR="008965AB" w:rsidRDefault="00000000">
            <w:pPr>
              <w:pStyle w:val="Compact"/>
            </w:pPr>
            <w:r>
              <w:t>Same — scale-invariant</w:t>
            </w:r>
          </w:p>
        </w:tc>
      </w:tr>
      <w:tr w:rsidR="008965AB" w14:paraId="3FA301E5" w14:textId="77777777" w:rsidTr="0076116C">
        <w:tc>
          <w:tcPr>
            <w:tcW w:w="1800" w:type="dxa"/>
          </w:tcPr>
          <w:p w14:paraId="3FA301E2" w14:textId="77777777" w:rsidR="008965AB" w:rsidRDefault="00000000">
            <w:pPr>
              <w:pStyle w:val="Compact"/>
            </w:pPr>
            <w:r>
              <w:t>CES treatment</w:t>
            </w:r>
          </w:p>
        </w:tc>
        <w:tc>
          <w:tcPr>
            <w:tcW w:w="3960" w:type="dxa"/>
          </w:tcPr>
          <w:p w14:paraId="3FA301E3" w14:textId="77777777" w:rsidR="008965AB" w:rsidRDefault="00000000">
            <w:pPr>
              <w:pStyle w:val="Compact"/>
            </w:pPr>
            <w:r>
              <w:t xml:space="preserve">Noisy </w:t>
            </w:r>
            <w:proofErr w:type="spellStart"/>
            <w:r>
              <w:t>obs</w:t>
            </w:r>
            <w:proofErr w:type="spellEnd"/>
            <w:r>
              <w:t xml:space="preserve"> (</w:t>
            </w:r>
            <m:oMath>
              <m:r>
                <w:rPr>
                  <w:rFonts w:ascii="Cambria Math" w:hAnsi="Cambria Math"/>
                </w:rPr>
                <m:t>α</m:t>
              </m:r>
            </m:oMath>
            <w:r>
              <w:t xml:space="preserve">, </w:t>
            </w:r>
            <m:oMath>
              <m:r>
                <w:rPr>
                  <w:rFonts w:ascii="Cambria Math" w:hAnsi="Cambria Math"/>
                </w:rPr>
                <m:t>λ</m:t>
              </m:r>
            </m:oMath>
            <w:r>
              <w:t xml:space="preserve">, </w:t>
            </w:r>
            <m:oMath>
              <m:r>
                <w:rPr>
                  <w:rFonts w:ascii="Cambria Math" w:hAnsi="Cambria Math"/>
                </w:rPr>
                <m:t>σ</m:t>
              </m:r>
            </m:oMath>
            <w:r>
              <w:t xml:space="preserve"> estimated)</w:t>
            </w:r>
          </w:p>
        </w:tc>
        <w:tc>
          <w:tcPr>
            <w:tcW w:w="3600" w:type="dxa"/>
          </w:tcPr>
          <w:p w14:paraId="3FA301E4" w14:textId="77777777" w:rsidR="008965AB" w:rsidRDefault="00000000">
            <w:pPr>
              <w:pStyle w:val="Compact"/>
            </w:pPr>
            <w:r>
              <w:t xml:space="preserve">Same, but </w:t>
            </w:r>
            <m:oMath>
              <m:r>
                <w:rPr>
                  <w:rFonts w:ascii="Cambria Math" w:hAnsi="Cambria Math"/>
                </w:rPr>
                <m:t>σ</m:t>
              </m:r>
            </m:oMath>
            <w:r>
              <w:t xml:space="preserve"> much larger</w:t>
            </w:r>
          </w:p>
        </w:tc>
      </w:tr>
      <w:tr w:rsidR="008965AB" w14:paraId="3FA301E9" w14:textId="77777777" w:rsidTr="0076116C">
        <w:tc>
          <w:tcPr>
            <w:tcW w:w="1800" w:type="dxa"/>
          </w:tcPr>
          <w:p w14:paraId="3FA301E6" w14:textId="77777777" w:rsidR="008965AB" w:rsidRDefault="00000000">
            <w:pPr>
              <w:pStyle w:val="Compact"/>
            </w:pPr>
            <w:r>
              <w:t>PP series</w:t>
            </w:r>
          </w:p>
        </w:tc>
        <w:tc>
          <w:tcPr>
            <w:tcW w:w="3960" w:type="dxa"/>
          </w:tcPr>
          <w:p w14:paraId="3FA301E7" w14:textId="0D282D09" w:rsidR="008965AB" w:rsidRDefault="00000000">
            <w:pPr>
              <w:pStyle w:val="Compact"/>
            </w:pPr>
            <w:r>
              <w:t xml:space="preserve">2 </w:t>
            </w:r>
            <w:proofErr w:type="gramStart"/>
            <w:r>
              <w:t>national</w:t>
            </w:r>
            <w:proofErr w:type="gramEnd"/>
            <w:r>
              <w:t xml:space="preserve"> (PP1</w:t>
            </w:r>
            <w:r w:rsidR="00530CD6">
              <w:t xml:space="preserve"> &amp;</w:t>
            </w:r>
            <w:r>
              <w:t xml:space="preserve"> PP2, independent)</w:t>
            </w:r>
          </w:p>
        </w:tc>
        <w:tc>
          <w:tcPr>
            <w:tcW w:w="3600" w:type="dxa"/>
          </w:tcPr>
          <w:p w14:paraId="3FA301E8" w14:textId="77777777" w:rsidR="008965AB" w:rsidRDefault="00000000">
            <w:pPr>
              <w:pStyle w:val="Compact"/>
            </w:pPr>
            <w:r>
              <w:t>Disaggregated to cells</w:t>
            </w:r>
          </w:p>
        </w:tc>
      </w:tr>
      <w:tr w:rsidR="008965AB" w14:paraId="3FA301ED" w14:textId="77777777" w:rsidTr="0076116C">
        <w:tc>
          <w:tcPr>
            <w:tcW w:w="1800" w:type="dxa"/>
          </w:tcPr>
          <w:p w14:paraId="3FA301EA" w14:textId="77777777" w:rsidR="008965AB" w:rsidRDefault="00000000">
            <w:pPr>
              <w:pStyle w:val="Compact"/>
            </w:pPr>
            <w:r>
              <w:t>Latent dynamics</w:t>
            </w:r>
          </w:p>
        </w:tc>
        <w:tc>
          <w:tcPr>
            <w:tcW w:w="3960" w:type="dxa"/>
          </w:tcPr>
          <w:p w14:paraId="3FA301EB" w14:textId="77777777" w:rsidR="008965AB" w:rsidRDefault="00000000">
            <w:pPr>
              <w:pStyle w:val="Compact"/>
            </w:pPr>
            <w:r>
              <w:t>Single AR(1)</w:t>
            </w:r>
          </w:p>
        </w:tc>
        <w:tc>
          <w:tcPr>
            <w:tcW w:w="3600" w:type="dxa"/>
          </w:tcPr>
          <w:p w14:paraId="3FA301EC" w14:textId="77777777" w:rsidR="008965AB" w:rsidRDefault="00000000">
            <w:pPr>
              <w:pStyle w:val="Compact"/>
            </w:pPr>
            <w:r>
              <w:t>One per cell, hierarchical priors</w:t>
            </w:r>
          </w:p>
        </w:tc>
      </w:tr>
      <w:tr w:rsidR="008965AB" w14:paraId="3FA301F1" w14:textId="77777777" w:rsidTr="0076116C">
        <w:tc>
          <w:tcPr>
            <w:tcW w:w="1800" w:type="dxa"/>
          </w:tcPr>
          <w:p w14:paraId="3FA301EE" w14:textId="77777777" w:rsidR="008965AB" w:rsidRDefault="00000000">
            <w:pPr>
              <w:pStyle w:val="Compact"/>
            </w:pPr>
            <w:r>
              <w:t>Seasonal</w:t>
            </w:r>
          </w:p>
        </w:tc>
        <w:tc>
          <w:tcPr>
            <w:tcW w:w="3960" w:type="dxa"/>
          </w:tcPr>
          <w:p w14:paraId="3FA301EF" w14:textId="77777777" w:rsidR="008965AB" w:rsidRDefault="00000000">
            <w:pPr>
              <w:pStyle w:val="Compact"/>
            </w:pPr>
            <w:r>
              <w:t>Single pattern</w:t>
            </w:r>
          </w:p>
        </w:tc>
        <w:tc>
          <w:tcPr>
            <w:tcW w:w="3600" w:type="dxa"/>
          </w:tcPr>
          <w:p w14:paraId="3FA301F0" w14:textId="77777777" w:rsidR="008965AB" w:rsidRDefault="00000000">
            <w:pPr>
              <w:pStyle w:val="Compact"/>
            </w:pPr>
            <w:r>
              <w:t>Cell-specific, shrunk toward national</w:t>
            </w:r>
          </w:p>
        </w:tc>
      </w:tr>
      <w:tr w:rsidR="008965AB" w14:paraId="3FA301F5" w14:textId="77777777" w:rsidTr="0076116C">
        <w:tc>
          <w:tcPr>
            <w:tcW w:w="1800" w:type="dxa"/>
          </w:tcPr>
          <w:p w14:paraId="3FA301F2" w14:textId="77777777" w:rsidR="008965AB" w:rsidRDefault="00000000">
            <w:pPr>
              <w:pStyle w:val="Compact"/>
            </w:pPr>
            <w:r>
              <w:t>Birth/death</w:t>
            </w:r>
          </w:p>
        </w:tc>
        <w:tc>
          <w:tcPr>
            <w:tcW w:w="3960" w:type="dxa"/>
          </w:tcPr>
          <w:p w14:paraId="3FA301F3" w14:textId="77777777" w:rsidR="008965AB" w:rsidRDefault="00000000">
            <w:pPr>
              <w:pStyle w:val="Compact"/>
            </w:pPr>
            <w:r>
              <w:t>Single constant</w:t>
            </w:r>
          </w:p>
        </w:tc>
        <w:tc>
          <w:tcPr>
            <w:tcW w:w="3600" w:type="dxa"/>
          </w:tcPr>
          <w:p w14:paraId="3FA301F4" w14:textId="77777777" w:rsidR="008965AB" w:rsidRDefault="00000000">
            <w:pPr>
              <w:pStyle w:val="Compact"/>
            </w:pPr>
            <w:r>
              <w:t>Cell-specific, potentially time-varying</w:t>
            </w:r>
          </w:p>
        </w:tc>
      </w:tr>
      <w:tr w:rsidR="008965AB" w14:paraId="3FA301F9" w14:textId="77777777" w:rsidTr="0076116C">
        <w:tc>
          <w:tcPr>
            <w:tcW w:w="1800" w:type="dxa"/>
          </w:tcPr>
          <w:p w14:paraId="3FA301F6" w14:textId="77777777" w:rsidR="008965AB" w:rsidRDefault="00000000">
            <w:pPr>
              <w:pStyle w:val="Compact"/>
            </w:pPr>
            <w:r>
              <w:lastRenderedPageBreak/>
              <w:t>Cross-cell consistency</w:t>
            </w:r>
          </w:p>
        </w:tc>
        <w:tc>
          <w:tcPr>
            <w:tcW w:w="3960" w:type="dxa"/>
          </w:tcPr>
          <w:p w14:paraId="3FA301F7" w14:textId="77777777" w:rsidR="008965AB" w:rsidRDefault="00000000">
            <w:pPr>
              <w:pStyle w:val="Compact"/>
            </w:pPr>
            <w:r>
              <w:t>N/A</w:t>
            </w:r>
          </w:p>
        </w:tc>
        <w:tc>
          <w:tcPr>
            <w:tcW w:w="3600" w:type="dxa"/>
          </w:tcPr>
          <w:p w14:paraId="3FA301F8" w14:textId="77777777" w:rsidR="008965AB" w:rsidRDefault="00000000">
            <w:pPr>
              <w:pStyle w:val="Compact"/>
            </w:pPr>
            <w:r>
              <w:t>Reconciliation (cells sum to national)</w:t>
            </w:r>
          </w:p>
        </w:tc>
      </w:tr>
      <w:tr w:rsidR="008965AB" w14:paraId="3FA301FD" w14:textId="77777777" w:rsidTr="0076116C">
        <w:tc>
          <w:tcPr>
            <w:tcW w:w="1800" w:type="dxa"/>
          </w:tcPr>
          <w:p w14:paraId="3FA301FA" w14:textId="77777777" w:rsidR="008965AB" w:rsidRDefault="00000000">
            <w:pPr>
              <w:pStyle w:val="Compact"/>
            </w:pPr>
            <w:r>
              <w:t>Computation</w:t>
            </w:r>
          </w:p>
        </w:tc>
        <w:tc>
          <w:tcPr>
            <w:tcW w:w="3960" w:type="dxa"/>
          </w:tcPr>
          <w:p w14:paraId="3FA301FB" w14:textId="77777777" w:rsidR="008965AB" w:rsidRDefault="00000000">
            <w:pPr>
              <w:pStyle w:val="Compact"/>
            </w:pPr>
            <w:r>
              <w:t>91s, single model</w:t>
            </w:r>
          </w:p>
        </w:tc>
        <w:tc>
          <w:tcPr>
            <w:tcW w:w="3600" w:type="dxa"/>
          </w:tcPr>
          <w:p w14:paraId="3FA301FC" w14:textId="77777777" w:rsidR="008965AB" w:rsidRDefault="00000000">
            <w:pPr>
              <w:pStyle w:val="Compact"/>
            </w:pPr>
            <w:r>
              <w:t>~500 cells; joint hierarchical estimation</w:t>
            </w:r>
          </w:p>
        </w:tc>
      </w:tr>
    </w:tbl>
    <w:p w14:paraId="3FA301FE" w14:textId="77777777" w:rsidR="008965AB" w:rsidRDefault="00000000">
      <w:pPr>
        <w:pStyle w:val="BodyText"/>
      </w:pPr>
      <w:r>
        <w:rPr>
          <w:b/>
          <w:bCs/>
        </w:rPr>
        <w:t>What transfers directly.</w:t>
      </w:r>
      <w:r>
        <w:t xml:space="preserve"> The model equation, QCEW anchoring with quality-dependent sigma, CES calibration parameters, PP measurement model (including AR(1) for PP1), and the observation-mask approach to mixed data availability.</w:t>
      </w:r>
    </w:p>
    <w:p w14:paraId="3FA301FF" w14:textId="77777777" w:rsidR="008965AB" w:rsidRDefault="00000000">
      <w:pPr>
        <w:pStyle w:val="BodyText"/>
      </w:pPr>
      <w:r>
        <w:rPr>
          <w:b/>
          <w:bCs/>
        </w:rPr>
        <w:t>What requires extension.</w:t>
      </w:r>
      <w:r>
        <w:t xml:space="preserve"> Hierarchical priors across cells (partial pooling), PP disaggregation pipeline, computational infrastructure for ~500 cells, and potentially time-varying birth/death and seasonal components.</w:t>
      </w:r>
    </w:p>
    <w:p w14:paraId="3FA30200" w14:textId="43295579" w:rsidR="008965AB" w:rsidRDefault="008965AB"/>
    <w:p w14:paraId="3FA30201" w14:textId="365F6CC0" w:rsidR="008965AB" w:rsidRDefault="00000000">
      <w:pPr>
        <w:pStyle w:val="Heading2"/>
      </w:pPr>
      <w:bookmarkStart w:id="38" w:name="limitations"/>
      <w:bookmarkEnd w:id="37"/>
      <w:r>
        <w:t>1</w:t>
      </w:r>
      <w:r w:rsidR="00A94A79">
        <w:t>1</w:t>
      </w:r>
      <w:r>
        <w:t>. Limitations</w:t>
      </w:r>
    </w:p>
    <w:p w14:paraId="45B8CCE1" w14:textId="295D8B26" w:rsidR="00DC0153" w:rsidRPr="00D37974" w:rsidRDefault="00DC0153">
      <w:pPr>
        <w:pStyle w:val="Compact"/>
        <w:numPr>
          <w:ilvl w:val="0"/>
          <w:numId w:val="7"/>
        </w:numPr>
        <w:rPr>
          <w:b/>
          <w:bCs/>
        </w:rPr>
      </w:pPr>
      <w:r w:rsidRPr="00D37974">
        <w:rPr>
          <w:b/>
          <w:bCs/>
        </w:rPr>
        <w:t>No</w:t>
      </w:r>
      <w:r w:rsidR="00D37974" w:rsidRPr="00D37974">
        <w:rPr>
          <w:b/>
          <w:bCs/>
        </w:rPr>
        <w:t>wcasting window missing:</w:t>
      </w:r>
      <w:r w:rsidR="00D37974">
        <w:rPr>
          <w:b/>
          <w:bCs/>
        </w:rPr>
        <w:t xml:space="preserve"> </w:t>
      </w:r>
      <w:r w:rsidR="00D37974">
        <w:t xml:space="preserve">Neither PP1 nor PP2 </w:t>
      </w:r>
      <w:r w:rsidR="006E2EFE">
        <w:t>have estimates at the forecast horizon.</w:t>
      </w:r>
    </w:p>
    <w:p w14:paraId="3FA30202" w14:textId="691E2D32" w:rsidR="008965AB" w:rsidRDefault="00000000">
      <w:pPr>
        <w:pStyle w:val="Compact"/>
        <w:numPr>
          <w:ilvl w:val="0"/>
          <w:numId w:val="7"/>
        </w:numPr>
      </w:pPr>
      <w:r>
        <w:rPr>
          <w:b/>
          <w:bCs/>
        </w:rPr>
        <w:t>Time-invariant birth/death.</w:t>
      </w:r>
      <w:r>
        <w:t xml:space="preserve"> Cannot capture cyclical variation in net business formation at turning points.</w:t>
      </w:r>
    </w:p>
    <w:p w14:paraId="3FA30203" w14:textId="77777777" w:rsidR="008965AB" w:rsidRDefault="00000000">
      <w:pPr>
        <w:pStyle w:val="Compact"/>
        <w:numPr>
          <w:ilvl w:val="0"/>
          <w:numId w:val="7"/>
        </w:numPr>
      </w:pPr>
      <w:r>
        <w:rPr>
          <w:b/>
          <w:bCs/>
        </w:rPr>
        <w:t>Static seasonal.</w:t>
      </w:r>
      <w:r>
        <w:t xml:space="preserve"> Does not evolve across years (e.g., pandemic shifts).</w:t>
      </w:r>
    </w:p>
    <w:p w14:paraId="3FA30204" w14:textId="77777777" w:rsidR="008965AB" w:rsidRDefault="00000000">
      <w:pPr>
        <w:pStyle w:val="Compact"/>
        <w:numPr>
          <w:ilvl w:val="0"/>
          <w:numId w:val="7"/>
        </w:numPr>
      </w:pPr>
      <w:r>
        <w:rPr>
          <w:b/>
          <w:bCs/>
        </w:rPr>
        <w:t>No time-varying provider bias.</w:t>
      </w:r>
      <w:r>
        <w:t xml:space="preserve"> PP bias (</w:t>
      </w:r>
      <m:oMath>
        <m:sSub>
          <m:sSubPr>
            <m:ctrlPr>
              <w:rPr>
                <w:rFonts w:ascii="Cambria Math" w:hAnsi="Cambria Math"/>
              </w:rPr>
            </m:ctrlPr>
          </m:sSubPr>
          <m:e>
            <m:r>
              <w:rPr>
                <w:rFonts w:ascii="Cambria Math" w:hAnsi="Cambria Math"/>
              </w:rPr>
              <m:t>α</m:t>
            </m:r>
          </m:e>
          <m:sub>
            <m:r>
              <w:rPr>
                <w:rFonts w:ascii="Cambria Math" w:hAnsi="Cambria Math"/>
              </w:rPr>
              <m:t>p</m:t>
            </m:r>
          </m:sub>
        </m:sSub>
      </m:oMath>
      <w:r>
        <w:t>) is constant despite potential compositional drift.</w:t>
      </w:r>
    </w:p>
    <w:p w14:paraId="3FA30205" w14:textId="77777777" w:rsidR="008965AB" w:rsidRDefault="00000000">
      <w:pPr>
        <w:pStyle w:val="Compact"/>
        <w:numPr>
          <w:ilvl w:val="0"/>
          <w:numId w:val="7"/>
        </w:numPr>
      </w:pPr>
      <w:r>
        <w:rPr>
          <w:b/>
          <w:bCs/>
        </w:rPr>
        <w:t>Calibrated QCEW sigmas.</w:t>
      </w:r>
      <w:r>
        <w:t xml:space="preserve"> The 0.1% (M3) / 0.3% (M1–2) values reflect judgment, not estimation. Sensitivity analysis is recommended.</w:t>
      </w:r>
    </w:p>
    <w:p w14:paraId="3FA30206" w14:textId="77777777" w:rsidR="008965AB" w:rsidRDefault="00000000">
      <w:pPr>
        <w:pStyle w:val="Compact"/>
        <w:numPr>
          <w:ilvl w:val="0"/>
          <w:numId w:val="7"/>
        </w:numPr>
      </w:pPr>
      <w:r>
        <w:rPr>
          <w:b/>
          <w:bCs/>
        </w:rPr>
        <w:t>National level only.</w:t>
      </w:r>
      <w:r>
        <w:t xml:space="preserve"> No geographic or industry decomposition.</w:t>
      </w:r>
    </w:p>
    <w:p w14:paraId="3FA30207" w14:textId="77777777" w:rsidR="008965AB" w:rsidRDefault="00000000">
      <w:pPr>
        <w:pStyle w:val="Compact"/>
        <w:numPr>
          <w:ilvl w:val="0"/>
          <w:numId w:val="7"/>
        </w:numPr>
      </w:pPr>
      <w:r>
        <w:rPr>
          <w:b/>
          <w:bCs/>
        </w:rPr>
        <w:t>PP1</w:t>
      </w:r>
      <w:r>
        <w:t xml:space="preserve"> </w:t>
      </w:r>
      <m:oMath>
        <m:r>
          <w:rPr>
            <w:rFonts w:ascii="Cambria Math" w:hAnsi="Cambria Math"/>
          </w:rPr>
          <m:t>ρ</m:t>
        </m:r>
      </m:oMath>
      <w:r>
        <w:t>–</w:t>
      </w:r>
      <m:oMath>
        <m:r>
          <w:rPr>
            <w:rFonts w:ascii="Cambria Math" w:hAnsi="Cambria Math"/>
          </w:rPr>
          <m:t>σ</m:t>
        </m:r>
      </m:oMath>
      <w:r>
        <w:t xml:space="preserve"> ridge. The AR(1) parameters trade off in the posterior, producing the lowest ESS values. Not a substantive concern but a known sampling characteristic.</w:t>
      </w:r>
    </w:p>
    <w:p w14:paraId="3FA30208" w14:textId="77777777" w:rsidR="008965AB" w:rsidRDefault="00000000">
      <w:pPr>
        <w:pStyle w:val="Compact"/>
        <w:numPr>
          <w:ilvl w:val="0"/>
          <w:numId w:val="7"/>
        </w:numPr>
      </w:pPr>
      <w:r>
        <w:rPr>
          <w:b/>
          <w:bCs/>
        </w:rPr>
        <w:t>PP precision is low at national level.</w:t>
      </w:r>
      <w:r>
        <w:t xml:space="preserve"> PP contributes &lt;1% of total precision. Its value is primarily in the nowcasting window when CES is unavailable, and will grow substantially at state </w:t>
      </w:r>
      <m:oMath>
        <m:r>
          <m:rPr>
            <m:sty m:val="p"/>
          </m:rPr>
          <w:rPr>
            <w:rFonts w:ascii="Cambria Math" w:hAnsi="Cambria Math"/>
          </w:rPr>
          <m:t>×</m:t>
        </m:r>
      </m:oMath>
      <w:r>
        <w:t xml:space="preserve"> supersector where CES precision degrades.</w:t>
      </w:r>
    </w:p>
    <w:p w14:paraId="3FA30209" w14:textId="2CBEB184" w:rsidR="008965AB" w:rsidRDefault="008965AB"/>
    <w:p w14:paraId="3FA3020A" w14:textId="66EDE7DA" w:rsidR="008965AB" w:rsidRDefault="00000000">
      <w:pPr>
        <w:pStyle w:val="Heading2"/>
      </w:pPr>
      <w:bookmarkStart w:id="39" w:name="Xb011b812b7e2a63f058d8224c75d13bf3c179ac"/>
      <w:bookmarkEnd w:id="38"/>
      <w:r>
        <w:t>1</w:t>
      </w:r>
      <w:r w:rsidR="005E4FAD">
        <w:t>2</w:t>
      </w:r>
      <w:r>
        <w:t xml:space="preserve">.Experiments: Nowcast </w:t>
      </w:r>
      <w:proofErr w:type="spellStart"/>
      <w:r>
        <w:t>Backtest</w:t>
      </w:r>
      <w:proofErr w:type="spellEnd"/>
      <w:r>
        <w:t xml:space="preserve"> and QCEW Sigma Sensitivity</w:t>
      </w:r>
    </w:p>
    <w:p w14:paraId="3FA3020B" w14:textId="0E28A737" w:rsidR="008965AB" w:rsidRDefault="00000000">
      <w:pPr>
        <w:pStyle w:val="Heading3"/>
      </w:pPr>
      <w:bookmarkStart w:id="40" w:name="Xc59bbfdb8a1c7c73b00a49be1d97e1eac19120d"/>
      <w:r>
        <w:t>1</w:t>
      </w:r>
      <w:r w:rsidR="005E4FAD">
        <w:t>2</w:t>
      </w:r>
      <w:r>
        <w:t>.1 Operational value of payroll data (nowcast backtest)</w:t>
      </w:r>
    </w:p>
    <w:p w14:paraId="3FA3020C" w14:textId="5DFF1304" w:rsidR="008965AB" w:rsidRDefault="00000000">
      <w:pPr>
        <w:pStyle w:val="FirstParagraph"/>
      </w:pPr>
      <w:r>
        <w:t>The precision budget (Section 7.8) shows PP contributing &lt;1% of total information at the national level when CES an</w:t>
      </w:r>
      <w:r w:rsidRPr="0046436A">
        <w:t xml:space="preserve">d QCEW are available. That understates PP’s </w:t>
      </w:r>
      <w:r w:rsidRPr="0046436A">
        <w:rPr>
          <w:i/>
          <w:iCs/>
        </w:rPr>
        <w:t>operational</w:t>
      </w:r>
      <w:r w:rsidRPr="0046436A">
        <w:t xml:space="preserve"> value: in real time, CES is released with a lag, while PP can be available sooner. To quantify how much PP helps when CES is missing, a nowcast backtest was</w:t>
      </w:r>
      <w:r>
        <w:t xml:space="preserve"> run</w:t>
      </w:r>
      <w:r w:rsidR="0082464C">
        <w:t>.</w:t>
      </w:r>
    </w:p>
    <w:p w14:paraId="3FA3020D" w14:textId="77777777" w:rsidR="008965AB" w:rsidRDefault="00000000">
      <w:pPr>
        <w:pStyle w:val="BodyText"/>
      </w:pPr>
      <w:r>
        <w:rPr>
          <w:b/>
          <w:bCs/>
        </w:rPr>
        <w:lastRenderedPageBreak/>
        <w:t>Design.</w:t>
      </w:r>
      <w:r>
        <w:t xml:space="preserve"> For each of the last 12 months, CES was censored from that month onward; the v2 model was run with lighter sampling (2000 draws, 2 chains) using only QCEW, PP1, and PP2 as available. The model’s posterior mean for SA </w:t>
      </w:r>
      <w:r>
        <w:rPr>
          <w:i/>
          <w:iCs/>
        </w:rPr>
        <w:t>jobs added</w:t>
      </w:r>
      <w:r>
        <w:t xml:space="preserve"> (month-over-month change) and growth in that month was compared to the actual CES release. Months 2025-01–06 have QCEW, PP1, and PP2; months 2025-07–12 have only PP2 (QCEW and PP1 end in 2025-06 in the current data).</w:t>
      </w:r>
    </w:p>
    <w:p w14:paraId="3FA3020E" w14:textId="77777777" w:rsidR="008965AB" w:rsidRDefault="00000000">
      <w:pPr>
        <w:pStyle w:val="BodyText"/>
      </w:pPr>
      <w:r>
        <w:rPr>
          <w:b/>
          <w:bCs/>
        </w:rPr>
        <w:t>Results.</w:t>
      </w:r>
      <w:r>
        <w:t xml:space="preserve"> Primary metric: error in jobs added (thousands). Growth (pp) is secondary.</w:t>
      </w:r>
    </w:p>
    <w:tbl>
      <w:tblPr>
        <w:tblStyle w:val="Table"/>
        <w:tblW w:w="5000" w:type="pct"/>
        <w:tblLayout w:type="fixed"/>
        <w:tblLook w:val="0020" w:firstRow="1" w:lastRow="0" w:firstColumn="0" w:lastColumn="0" w:noHBand="0" w:noVBand="0"/>
      </w:tblPr>
      <w:tblGrid>
        <w:gridCol w:w="3579"/>
        <w:gridCol w:w="688"/>
        <w:gridCol w:w="2753"/>
        <w:gridCol w:w="2340"/>
      </w:tblGrid>
      <w:tr w:rsidR="008965AB" w14:paraId="3FA30213" w14:textId="77777777" w:rsidTr="008965AB">
        <w:trPr>
          <w:cnfStyle w:val="100000000000" w:firstRow="1" w:lastRow="0" w:firstColumn="0" w:lastColumn="0" w:oddVBand="0" w:evenVBand="0" w:oddHBand="0" w:evenHBand="0" w:firstRowFirstColumn="0" w:firstRowLastColumn="0" w:lastRowFirstColumn="0" w:lastRowLastColumn="0"/>
          <w:tblHeader/>
        </w:trPr>
        <w:tc>
          <w:tcPr>
            <w:tcW w:w="3028" w:type="dxa"/>
          </w:tcPr>
          <w:p w14:paraId="3FA3020F" w14:textId="77777777" w:rsidR="008965AB" w:rsidRDefault="00000000">
            <w:pPr>
              <w:pStyle w:val="Compact"/>
            </w:pPr>
            <w:r>
              <w:t>Setting</w:t>
            </w:r>
          </w:p>
        </w:tc>
        <w:tc>
          <w:tcPr>
            <w:tcW w:w="582" w:type="dxa"/>
          </w:tcPr>
          <w:p w14:paraId="3FA30210" w14:textId="77777777" w:rsidR="008965AB" w:rsidRDefault="00000000">
            <w:pPr>
              <w:pStyle w:val="Compact"/>
            </w:pPr>
            <w:r>
              <w:t>n</w:t>
            </w:r>
          </w:p>
        </w:tc>
        <w:tc>
          <w:tcPr>
            <w:tcW w:w="2329" w:type="dxa"/>
          </w:tcPr>
          <w:p w14:paraId="3FA30211" w14:textId="77777777" w:rsidR="008965AB" w:rsidRDefault="00000000">
            <w:pPr>
              <w:pStyle w:val="Compact"/>
            </w:pPr>
            <w:r>
              <w:t>MAE jobs added (k)</w:t>
            </w:r>
          </w:p>
        </w:tc>
        <w:tc>
          <w:tcPr>
            <w:tcW w:w="1980" w:type="dxa"/>
          </w:tcPr>
          <w:p w14:paraId="3FA30212" w14:textId="77777777" w:rsidR="008965AB" w:rsidRDefault="00000000">
            <w:pPr>
              <w:pStyle w:val="Compact"/>
            </w:pPr>
            <w:r>
              <w:t>MAE growth (pp)</w:t>
            </w:r>
          </w:p>
        </w:tc>
      </w:tr>
      <w:tr w:rsidR="008965AB" w14:paraId="3FA30218" w14:textId="77777777">
        <w:tc>
          <w:tcPr>
            <w:tcW w:w="3028" w:type="dxa"/>
          </w:tcPr>
          <w:p w14:paraId="3FA30214" w14:textId="77777777" w:rsidR="008965AB" w:rsidRDefault="00000000">
            <w:pPr>
              <w:pStyle w:val="Compact"/>
            </w:pPr>
            <w:r>
              <w:t>Overall</w:t>
            </w:r>
          </w:p>
        </w:tc>
        <w:tc>
          <w:tcPr>
            <w:tcW w:w="582" w:type="dxa"/>
          </w:tcPr>
          <w:p w14:paraId="3FA30215" w14:textId="77777777" w:rsidR="008965AB" w:rsidRDefault="00000000">
            <w:pPr>
              <w:pStyle w:val="Compact"/>
            </w:pPr>
            <w:r>
              <w:t>12</w:t>
            </w:r>
          </w:p>
        </w:tc>
        <w:tc>
          <w:tcPr>
            <w:tcW w:w="2329" w:type="dxa"/>
          </w:tcPr>
          <w:p w14:paraId="3FA30216" w14:textId="77777777" w:rsidR="008965AB" w:rsidRDefault="00000000">
            <w:pPr>
              <w:pStyle w:val="Compact"/>
            </w:pPr>
            <w:r>
              <w:t>255</w:t>
            </w:r>
          </w:p>
        </w:tc>
        <w:tc>
          <w:tcPr>
            <w:tcW w:w="1980" w:type="dxa"/>
          </w:tcPr>
          <w:p w14:paraId="3FA30217" w14:textId="77777777" w:rsidR="008965AB" w:rsidRDefault="00000000">
            <w:pPr>
              <w:pStyle w:val="Compact"/>
            </w:pPr>
            <w:r>
              <w:t>0.198</w:t>
            </w:r>
          </w:p>
        </w:tc>
      </w:tr>
      <w:tr w:rsidR="008965AB" w14:paraId="3FA3021D" w14:textId="77777777">
        <w:tc>
          <w:tcPr>
            <w:tcW w:w="3028" w:type="dxa"/>
          </w:tcPr>
          <w:p w14:paraId="3FA30219" w14:textId="77777777" w:rsidR="008965AB" w:rsidRDefault="00000000">
            <w:pPr>
              <w:pStyle w:val="Compact"/>
            </w:pPr>
            <w:r>
              <w:t>Data-rich (QCEW+PP1+PP2)</w:t>
            </w:r>
          </w:p>
        </w:tc>
        <w:tc>
          <w:tcPr>
            <w:tcW w:w="582" w:type="dxa"/>
          </w:tcPr>
          <w:p w14:paraId="3FA3021A" w14:textId="77777777" w:rsidR="008965AB" w:rsidRDefault="00000000">
            <w:pPr>
              <w:pStyle w:val="Compact"/>
            </w:pPr>
            <w:r>
              <w:t>6</w:t>
            </w:r>
          </w:p>
        </w:tc>
        <w:tc>
          <w:tcPr>
            <w:tcW w:w="2329" w:type="dxa"/>
          </w:tcPr>
          <w:p w14:paraId="3FA3021B" w14:textId="77777777" w:rsidR="008965AB" w:rsidRDefault="00000000">
            <w:pPr>
              <w:pStyle w:val="Compact"/>
            </w:pPr>
            <w:r>
              <w:t>166</w:t>
            </w:r>
          </w:p>
        </w:tc>
        <w:tc>
          <w:tcPr>
            <w:tcW w:w="1980" w:type="dxa"/>
          </w:tcPr>
          <w:p w14:paraId="3FA3021C" w14:textId="77777777" w:rsidR="008965AB" w:rsidRDefault="00000000">
            <w:pPr>
              <w:pStyle w:val="Compact"/>
            </w:pPr>
            <w:r>
              <w:t>0.127</w:t>
            </w:r>
          </w:p>
        </w:tc>
      </w:tr>
      <w:tr w:rsidR="008965AB" w14:paraId="3FA30222" w14:textId="77777777">
        <w:tc>
          <w:tcPr>
            <w:tcW w:w="3028" w:type="dxa"/>
          </w:tcPr>
          <w:p w14:paraId="3FA3021E" w14:textId="77777777" w:rsidR="008965AB" w:rsidRDefault="00000000">
            <w:pPr>
              <w:pStyle w:val="Compact"/>
            </w:pPr>
            <w:r>
              <w:t>PP2-only</w:t>
            </w:r>
          </w:p>
        </w:tc>
        <w:tc>
          <w:tcPr>
            <w:tcW w:w="582" w:type="dxa"/>
          </w:tcPr>
          <w:p w14:paraId="3FA3021F" w14:textId="77777777" w:rsidR="008965AB" w:rsidRDefault="00000000">
            <w:pPr>
              <w:pStyle w:val="Compact"/>
            </w:pPr>
            <w:r>
              <w:t>6</w:t>
            </w:r>
          </w:p>
        </w:tc>
        <w:tc>
          <w:tcPr>
            <w:tcW w:w="2329" w:type="dxa"/>
          </w:tcPr>
          <w:p w14:paraId="3FA30220" w14:textId="77777777" w:rsidR="008965AB" w:rsidRDefault="00000000">
            <w:pPr>
              <w:pStyle w:val="Compact"/>
            </w:pPr>
            <w:r>
              <w:t>344</w:t>
            </w:r>
          </w:p>
        </w:tc>
        <w:tc>
          <w:tcPr>
            <w:tcW w:w="1980" w:type="dxa"/>
          </w:tcPr>
          <w:p w14:paraId="3FA30221" w14:textId="77777777" w:rsidR="008965AB" w:rsidRDefault="00000000">
            <w:pPr>
              <w:pStyle w:val="Compact"/>
            </w:pPr>
            <w:r>
              <w:t>0.268</w:t>
            </w:r>
          </w:p>
        </w:tc>
      </w:tr>
    </w:tbl>
    <w:p w14:paraId="3FA30223" w14:textId="77777777" w:rsidR="008965AB" w:rsidRDefault="00000000">
      <w:pPr>
        <w:pStyle w:val="BodyText"/>
      </w:pPr>
      <w:r>
        <w:t>When only PP2 is available, nowcast error in jobs added is about twice as large (344k vs 166k) and growth error roughly twice as large (0.27 pp vs 0.13 pp). That directly quantifies PP’s value in the nowcasting window and supports the claim that PP matters most when CES (and at the national level, QCEW) is absent.</w:t>
      </w:r>
    </w:p>
    <w:p w14:paraId="3FA30224" w14:textId="77777777" w:rsidR="008965AB" w:rsidRDefault="00000000">
      <w:pPr>
        <w:pStyle w:val="BodyText"/>
      </w:pPr>
      <w:r>
        <w:rPr>
          <w:b/>
          <w:bCs/>
        </w:rPr>
        <w:t>Real-time nowcast.</w:t>
      </w:r>
      <w:r>
        <w:t xml:space="preserve"> The same procedure can be used operationally when CES for the latest month is delayed: run the backtest script with </w:t>
      </w:r>
      <w:r>
        <w:rPr>
          <w:rStyle w:val="VerbatimChar"/>
        </w:rPr>
        <w:t>censor_ces_from</w:t>
      </w:r>
      <w:r>
        <w:t xml:space="preserve"> set to that month’s reference date (e.g. the 12th). The script’s single-run output for that month is the model’s nowcast of SA jobs added and growth; the full 12-month backtest is only needed for evaluation, not for producing a single nowcast.</w:t>
      </w:r>
    </w:p>
    <w:p w14:paraId="3FA30225" w14:textId="4628A108" w:rsidR="008965AB" w:rsidRDefault="008965AB"/>
    <w:bookmarkEnd w:id="0"/>
    <w:bookmarkEnd w:id="39"/>
    <w:bookmarkEnd w:id="40"/>
    <w:p w14:paraId="3FA30244" w14:textId="6CCAE884" w:rsidR="008965AB" w:rsidRDefault="008965AB">
      <w:pPr>
        <w:pStyle w:val="BodyText"/>
      </w:pPr>
    </w:p>
    <w:p w14:paraId="39FFE85A" w14:textId="33BFC9BF" w:rsidR="00E139D4" w:rsidRDefault="00E139D4">
      <w:pPr>
        <w:pStyle w:val="BodyText"/>
      </w:pPr>
    </w:p>
    <w:p w14:paraId="5FAB72E9" w14:textId="77777777" w:rsidR="00E139D4" w:rsidRDefault="00E139D4">
      <w:r>
        <w:br w:type="page"/>
      </w:r>
    </w:p>
    <w:tbl>
      <w:tblPr>
        <w:tblStyle w:val="TableGrid"/>
        <w:tblW w:w="0" w:type="auto"/>
        <w:tblLook w:val="04A0" w:firstRow="1" w:lastRow="0" w:firstColumn="1" w:lastColumn="0" w:noHBand="0" w:noVBand="1"/>
      </w:tblPr>
      <w:tblGrid>
        <w:gridCol w:w="9350"/>
      </w:tblGrid>
      <w:tr w:rsidR="00FA6B6D" w14:paraId="6E675C29" w14:textId="77777777" w:rsidTr="00B15DE5">
        <w:tc>
          <w:tcPr>
            <w:tcW w:w="9350" w:type="dxa"/>
            <w:vAlign w:val="center"/>
          </w:tcPr>
          <w:p w14:paraId="188CD8D7" w14:textId="4A1F81F4" w:rsidR="00FA6B6D" w:rsidRPr="00B15DE5" w:rsidRDefault="00114892" w:rsidP="00B15DE5">
            <w:pPr>
              <w:pStyle w:val="BodyText"/>
              <w:jc w:val="center"/>
              <w:rPr>
                <w:b/>
                <w:bCs/>
                <w:noProof/>
              </w:rPr>
            </w:pPr>
            <w:r>
              <w:rPr>
                <w:b/>
                <w:bCs/>
                <w:noProof/>
              </w:rPr>
              <w:lastRenderedPageBreak/>
              <w:t xml:space="preserve">NFP </w:t>
            </w:r>
            <w:r w:rsidR="00B15DE5" w:rsidRPr="00B15DE5">
              <w:rPr>
                <w:b/>
                <w:bCs/>
                <w:noProof/>
              </w:rPr>
              <w:t>Jobs Added Forecast</w:t>
            </w:r>
          </w:p>
        </w:tc>
      </w:tr>
      <w:tr w:rsidR="00FA6B6D" w14:paraId="6976CAC2" w14:textId="77777777" w:rsidTr="00987D24">
        <w:tc>
          <w:tcPr>
            <w:tcW w:w="9350" w:type="dxa"/>
          </w:tcPr>
          <w:p w14:paraId="0E47899B" w14:textId="47D2C4E2" w:rsidR="00FA6B6D" w:rsidRDefault="005E4FAD" w:rsidP="00987D24">
            <w:pPr>
              <w:pStyle w:val="BodyText"/>
            </w:pPr>
            <w:r>
              <w:rPr>
                <w:noProof/>
              </w:rPr>
              <w:drawing>
                <wp:inline distT="0" distB="0" distL="0" distR="0" wp14:anchorId="7BD7E8A4" wp14:editId="39597FA4">
                  <wp:extent cx="5943600" cy="4260215"/>
                  <wp:effectExtent l="0" t="0" r="0" b="6985"/>
                  <wp:docPr id="120021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474" name="Picture 1200214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60215"/>
                          </a:xfrm>
                          <a:prstGeom prst="rect">
                            <a:avLst/>
                          </a:prstGeom>
                        </pic:spPr>
                      </pic:pic>
                    </a:graphicData>
                  </a:graphic>
                </wp:inline>
              </w:drawing>
            </w:r>
          </w:p>
        </w:tc>
      </w:tr>
    </w:tbl>
    <w:p w14:paraId="0AD3EA65" w14:textId="77777777" w:rsidR="00B15DE5" w:rsidRDefault="00872477" w:rsidP="00B15DE5">
      <w:r>
        <w:br w:type="page"/>
      </w:r>
    </w:p>
    <w:tbl>
      <w:tblPr>
        <w:tblStyle w:val="TableGrid"/>
        <w:tblW w:w="0" w:type="auto"/>
        <w:tblLook w:val="04A0" w:firstRow="1" w:lastRow="0" w:firstColumn="1" w:lastColumn="0" w:noHBand="0" w:noVBand="1"/>
      </w:tblPr>
      <w:tblGrid>
        <w:gridCol w:w="9350"/>
      </w:tblGrid>
      <w:tr w:rsidR="00B15DE5" w14:paraId="1EE24943" w14:textId="77777777" w:rsidTr="00987D24">
        <w:tc>
          <w:tcPr>
            <w:tcW w:w="9350" w:type="dxa"/>
            <w:vAlign w:val="center"/>
          </w:tcPr>
          <w:p w14:paraId="7ED3D012" w14:textId="4253D408" w:rsidR="00B15DE5" w:rsidRPr="00B15DE5" w:rsidRDefault="00DD6CCB" w:rsidP="00987D24">
            <w:pPr>
              <w:pStyle w:val="BodyText"/>
              <w:jc w:val="center"/>
              <w:rPr>
                <w:b/>
                <w:bCs/>
                <w:noProof/>
              </w:rPr>
            </w:pPr>
            <w:r>
              <w:rPr>
                <w:b/>
                <w:bCs/>
                <w:noProof/>
              </w:rPr>
              <w:lastRenderedPageBreak/>
              <w:t xml:space="preserve">SA and NSA Total Employment Index </w:t>
            </w:r>
            <w:r w:rsidR="00B15DE5" w:rsidRPr="00B15DE5">
              <w:rPr>
                <w:b/>
                <w:bCs/>
                <w:noProof/>
              </w:rPr>
              <w:t>Forecast</w:t>
            </w:r>
          </w:p>
        </w:tc>
      </w:tr>
      <w:tr w:rsidR="00B15DE5" w14:paraId="1C76F649" w14:textId="77777777" w:rsidTr="00987D24">
        <w:tc>
          <w:tcPr>
            <w:tcW w:w="9350" w:type="dxa"/>
          </w:tcPr>
          <w:p w14:paraId="6A215997" w14:textId="5A1D4B0E" w:rsidR="00B15DE5" w:rsidRDefault="00521F04" w:rsidP="00987D24">
            <w:pPr>
              <w:pStyle w:val="BodyText"/>
            </w:pPr>
            <w:r>
              <w:rPr>
                <w:noProof/>
              </w:rPr>
              <w:drawing>
                <wp:inline distT="0" distB="0" distL="0" distR="0" wp14:anchorId="30D5470E" wp14:editId="7EC5B5C7">
                  <wp:extent cx="5943600" cy="4231640"/>
                  <wp:effectExtent l="0" t="0" r="0" b="0"/>
                  <wp:docPr id="917748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48497" name="Picture 9177484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31640"/>
                          </a:xfrm>
                          <a:prstGeom prst="rect">
                            <a:avLst/>
                          </a:prstGeom>
                        </pic:spPr>
                      </pic:pic>
                    </a:graphicData>
                  </a:graphic>
                </wp:inline>
              </w:drawing>
            </w:r>
          </w:p>
        </w:tc>
      </w:tr>
    </w:tbl>
    <w:p w14:paraId="6A6159D2" w14:textId="728F9F01" w:rsidR="00E139D4" w:rsidRDefault="00E139D4" w:rsidP="00B15DE5"/>
    <w:p w14:paraId="5E5CA1EB" w14:textId="25ABAE08" w:rsidR="002534BB" w:rsidRDefault="002534BB">
      <w:r>
        <w:br w:type="page"/>
      </w:r>
    </w:p>
    <w:tbl>
      <w:tblPr>
        <w:tblStyle w:val="TableGrid"/>
        <w:tblW w:w="0" w:type="auto"/>
        <w:tblLook w:val="04A0" w:firstRow="1" w:lastRow="0" w:firstColumn="1" w:lastColumn="0" w:noHBand="0" w:noVBand="1"/>
      </w:tblPr>
      <w:tblGrid>
        <w:gridCol w:w="9350"/>
      </w:tblGrid>
      <w:tr w:rsidR="00D419D6" w14:paraId="07680963" w14:textId="77777777" w:rsidTr="00987D24">
        <w:tc>
          <w:tcPr>
            <w:tcW w:w="9350" w:type="dxa"/>
            <w:vAlign w:val="center"/>
          </w:tcPr>
          <w:p w14:paraId="3FB11464" w14:textId="76896B08" w:rsidR="00D419D6" w:rsidRPr="00B15DE5" w:rsidRDefault="000F3D19" w:rsidP="00987D24">
            <w:pPr>
              <w:pStyle w:val="BodyText"/>
              <w:jc w:val="center"/>
              <w:rPr>
                <w:b/>
                <w:bCs/>
                <w:noProof/>
              </w:rPr>
            </w:pPr>
            <w:r>
              <w:rPr>
                <w:b/>
                <w:bCs/>
                <w:noProof/>
              </w:rPr>
              <w:lastRenderedPageBreak/>
              <w:t>Seasonal Patterns</w:t>
            </w:r>
          </w:p>
        </w:tc>
      </w:tr>
      <w:tr w:rsidR="00D419D6" w14:paraId="615B3020" w14:textId="77777777" w:rsidTr="00987D24">
        <w:tc>
          <w:tcPr>
            <w:tcW w:w="9350" w:type="dxa"/>
          </w:tcPr>
          <w:p w14:paraId="3D3CD243" w14:textId="5DABAD73" w:rsidR="00D419D6" w:rsidRDefault="002534BB" w:rsidP="00987D24">
            <w:pPr>
              <w:pStyle w:val="BodyText"/>
            </w:pPr>
            <w:r>
              <w:rPr>
                <w:noProof/>
              </w:rPr>
              <w:drawing>
                <wp:inline distT="0" distB="0" distL="0" distR="0" wp14:anchorId="1E2A08B2" wp14:editId="1D6DC583">
                  <wp:extent cx="5943600" cy="5941060"/>
                  <wp:effectExtent l="0" t="0" r="0" b="2540"/>
                  <wp:docPr id="1034235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5157" name="Picture 10342351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41060"/>
                          </a:xfrm>
                          <a:prstGeom prst="rect">
                            <a:avLst/>
                          </a:prstGeom>
                        </pic:spPr>
                      </pic:pic>
                    </a:graphicData>
                  </a:graphic>
                </wp:inline>
              </w:drawing>
            </w:r>
          </w:p>
        </w:tc>
      </w:tr>
    </w:tbl>
    <w:p w14:paraId="38CD8697" w14:textId="77777777" w:rsidR="00D419D6" w:rsidRDefault="00D419D6" w:rsidP="00B15DE5"/>
    <w:p w14:paraId="70E20D64" w14:textId="2B289C6F" w:rsidR="000F3D19" w:rsidRDefault="000F3D19">
      <w:r>
        <w:br w:type="page"/>
      </w:r>
    </w:p>
    <w:tbl>
      <w:tblPr>
        <w:tblStyle w:val="TableGrid"/>
        <w:tblW w:w="0" w:type="auto"/>
        <w:tblLook w:val="04A0" w:firstRow="1" w:lastRow="0" w:firstColumn="1" w:lastColumn="0" w:noHBand="0" w:noVBand="1"/>
      </w:tblPr>
      <w:tblGrid>
        <w:gridCol w:w="9350"/>
      </w:tblGrid>
      <w:tr w:rsidR="000F3D19" w14:paraId="0061C67F" w14:textId="77777777" w:rsidTr="00987D24">
        <w:tc>
          <w:tcPr>
            <w:tcW w:w="9350" w:type="dxa"/>
            <w:vAlign w:val="center"/>
          </w:tcPr>
          <w:p w14:paraId="12DE975F" w14:textId="48EC9565" w:rsidR="000F3D19" w:rsidRPr="00B15DE5" w:rsidRDefault="000F3D19" w:rsidP="00987D24">
            <w:pPr>
              <w:pStyle w:val="BodyText"/>
              <w:jc w:val="center"/>
              <w:rPr>
                <w:b/>
                <w:bCs/>
                <w:noProof/>
              </w:rPr>
            </w:pPr>
            <w:r>
              <w:rPr>
                <w:b/>
                <w:bCs/>
                <w:noProof/>
              </w:rPr>
              <w:lastRenderedPageBreak/>
              <w:t>Reconstructed Index</w:t>
            </w:r>
          </w:p>
        </w:tc>
      </w:tr>
      <w:tr w:rsidR="000F3D19" w14:paraId="60BBE514" w14:textId="77777777" w:rsidTr="0086545F">
        <w:tc>
          <w:tcPr>
            <w:tcW w:w="9350" w:type="dxa"/>
            <w:vAlign w:val="center"/>
          </w:tcPr>
          <w:p w14:paraId="4208A557" w14:textId="09244E89" w:rsidR="000F3D19" w:rsidRDefault="000F3D19" w:rsidP="0086545F">
            <w:pPr>
              <w:pStyle w:val="BodyText"/>
            </w:pPr>
            <w:r>
              <w:rPr>
                <w:noProof/>
              </w:rPr>
              <w:drawing>
                <wp:inline distT="0" distB="0" distL="0" distR="0" wp14:anchorId="50E59A9C" wp14:editId="75196541">
                  <wp:extent cx="5943600" cy="2519680"/>
                  <wp:effectExtent l="0" t="0" r="0" b="0"/>
                  <wp:docPr id="919233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3582" name="Picture 9192335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19680"/>
                          </a:xfrm>
                          <a:prstGeom prst="rect">
                            <a:avLst/>
                          </a:prstGeom>
                        </pic:spPr>
                      </pic:pic>
                    </a:graphicData>
                  </a:graphic>
                </wp:inline>
              </w:drawing>
            </w:r>
          </w:p>
        </w:tc>
      </w:tr>
    </w:tbl>
    <w:p w14:paraId="50060AF1" w14:textId="77777777" w:rsidR="000F3D19" w:rsidRDefault="000F3D19" w:rsidP="00B15DE5"/>
    <w:sectPr w:rsidR="000F3D1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C5003" w14:textId="77777777" w:rsidR="00AC77DD" w:rsidRDefault="00AC77DD" w:rsidP="00672B34">
      <w:pPr>
        <w:spacing w:after="0"/>
      </w:pPr>
      <w:r>
        <w:separator/>
      </w:r>
    </w:p>
  </w:endnote>
  <w:endnote w:type="continuationSeparator" w:id="0">
    <w:p w14:paraId="01451F45" w14:textId="77777777" w:rsidR="00AC77DD" w:rsidRDefault="00AC77DD" w:rsidP="00672B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A85AF" w14:textId="77777777" w:rsidR="00AC77DD" w:rsidRDefault="00AC77DD" w:rsidP="00672B34">
      <w:pPr>
        <w:spacing w:after="0"/>
      </w:pPr>
      <w:r>
        <w:separator/>
      </w:r>
    </w:p>
  </w:footnote>
  <w:footnote w:type="continuationSeparator" w:id="0">
    <w:p w14:paraId="7FC6A7BB" w14:textId="77777777" w:rsidR="00AC77DD" w:rsidRDefault="00AC77DD" w:rsidP="00672B34">
      <w:pPr>
        <w:spacing w:after="0"/>
      </w:pPr>
      <w:r>
        <w:continuationSeparator/>
      </w:r>
    </w:p>
  </w:footnote>
  <w:footnote w:id="1">
    <w:p w14:paraId="25E49A41" w14:textId="6BE080C9" w:rsidR="00E77054" w:rsidRDefault="00E77054">
      <w:pPr>
        <w:pStyle w:val="FootnoteText"/>
      </w:pPr>
      <w:r>
        <w:rPr>
          <w:rStyle w:val="FootnoteReference"/>
        </w:rPr>
        <w:footnoteRef/>
      </w:r>
      <w:r>
        <w:t xml:space="preserve"> Th</w:t>
      </w:r>
      <w:r w:rsidR="006D2F20">
        <w:t>e</w:t>
      </w:r>
      <w:r>
        <w:t xml:space="preserve"> </w:t>
      </w:r>
      <w:r w:rsidR="006D2F20">
        <w:t>PP1 series are</w:t>
      </w:r>
      <w:r w:rsidR="00367DC3">
        <w:t xml:space="preserve"> provided under special circumstances and </w:t>
      </w:r>
      <w:r w:rsidR="007A21EF">
        <w:t>are</w:t>
      </w:r>
      <w:r w:rsidR="00367DC3">
        <w:t xml:space="preserve"> not available for </w:t>
      </w:r>
      <w:r w:rsidR="007C300E">
        <w:t xml:space="preserve">more current periods. </w:t>
      </w:r>
      <w:r w:rsidR="006D2F20">
        <w:t xml:space="preserve">The payroll provider microdata </w:t>
      </w:r>
      <w:r w:rsidR="007A21EF">
        <w:t xml:space="preserve">is expected to arrive shortly, however, in which case the </w:t>
      </w:r>
      <w:r w:rsidR="008267F5">
        <w:t>series</w:t>
      </w:r>
      <w:r w:rsidR="007A21EF">
        <w:t xml:space="preserve"> will be </w:t>
      </w:r>
      <w:r w:rsidR="00C2507C">
        <w:t>estimated</w:t>
      </w:r>
      <w:r w:rsidR="008267F5">
        <w:t xml:space="preserve"> for </w:t>
      </w:r>
      <w:r w:rsidR="00C2507C">
        <w:t>current periods.</w:t>
      </w:r>
    </w:p>
  </w:footnote>
  <w:footnote w:id="2">
    <w:p w14:paraId="1B12C878" w14:textId="21656D71" w:rsidR="00E77054" w:rsidRDefault="00E77054">
      <w:pPr>
        <w:pStyle w:val="FootnoteText"/>
      </w:pPr>
      <w:r>
        <w:rPr>
          <w:rStyle w:val="FootnoteReference"/>
        </w:rPr>
        <w:footnoteRef/>
      </w:r>
      <w:r>
        <w:t xml:space="preserve"> In general, payroll provider series are timelier than official statistics and would have one additional period at the end of the series. This is the period for which SA and NSA NFP </w:t>
      </w:r>
      <w:r w:rsidR="00C07F61">
        <w:t>are</w:t>
      </w:r>
      <w:r>
        <w:t xml:space="preserve"> to be forecast. For this exercise, that data is unavailable</w:t>
      </w:r>
      <w:r w:rsidR="00C07F61">
        <w:t xml:space="preserve"> for PP2</w:t>
      </w:r>
      <w:r>
        <w:t>. Hence, this document will need to be updated when it arrives.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D626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5415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75AD3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39521070">
    <w:abstractNumId w:val="0"/>
  </w:num>
  <w:num w:numId="2" w16cid:durableId="200292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8162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47354">
    <w:abstractNumId w:val="1"/>
  </w:num>
  <w:num w:numId="5" w16cid:durableId="1020473934">
    <w:abstractNumId w:val="1"/>
  </w:num>
  <w:num w:numId="6" w16cid:durableId="1142237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6589630">
    <w:abstractNumId w:val="1"/>
  </w:num>
  <w:num w:numId="8" w16cid:durableId="2033534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AB"/>
    <w:rsid w:val="000A6042"/>
    <w:rsid w:val="000E5020"/>
    <w:rsid w:val="000F3D19"/>
    <w:rsid w:val="00114892"/>
    <w:rsid w:val="00194E24"/>
    <w:rsid w:val="001B5315"/>
    <w:rsid w:val="00217DEC"/>
    <w:rsid w:val="00236F8B"/>
    <w:rsid w:val="002534BB"/>
    <w:rsid w:val="00296CC9"/>
    <w:rsid w:val="003444A3"/>
    <w:rsid w:val="00353F16"/>
    <w:rsid w:val="00367DC3"/>
    <w:rsid w:val="00391E49"/>
    <w:rsid w:val="003D09FE"/>
    <w:rsid w:val="003E4D27"/>
    <w:rsid w:val="003E5177"/>
    <w:rsid w:val="0046436A"/>
    <w:rsid w:val="004D553D"/>
    <w:rsid w:val="00521F04"/>
    <w:rsid w:val="00530CD6"/>
    <w:rsid w:val="00581902"/>
    <w:rsid w:val="005C6473"/>
    <w:rsid w:val="005D63B4"/>
    <w:rsid w:val="005E4FAD"/>
    <w:rsid w:val="005F663F"/>
    <w:rsid w:val="00651DE3"/>
    <w:rsid w:val="00672B34"/>
    <w:rsid w:val="006947F7"/>
    <w:rsid w:val="006A4C4B"/>
    <w:rsid w:val="006B0B4A"/>
    <w:rsid w:val="006B0D19"/>
    <w:rsid w:val="006D00F9"/>
    <w:rsid w:val="006D1539"/>
    <w:rsid w:val="006D2F20"/>
    <w:rsid w:val="006D7EC1"/>
    <w:rsid w:val="006E2EFE"/>
    <w:rsid w:val="006F4A07"/>
    <w:rsid w:val="006F628C"/>
    <w:rsid w:val="0070051A"/>
    <w:rsid w:val="007317C2"/>
    <w:rsid w:val="0076116C"/>
    <w:rsid w:val="007717E9"/>
    <w:rsid w:val="007A21EF"/>
    <w:rsid w:val="007C300E"/>
    <w:rsid w:val="0082464C"/>
    <w:rsid w:val="008267F5"/>
    <w:rsid w:val="0086545F"/>
    <w:rsid w:val="00872477"/>
    <w:rsid w:val="008965AB"/>
    <w:rsid w:val="008B28D3"/>
    <w:rsid w:val="008B3A6B"/>
    <w:rsid w:val="008C0876"/>
    <w:rsid w:val="009074D1"/>
    <w:rsid w:val="00981F57"/>
    <w:rsid w:val="009901A4"/>
    <w:rsid w:val="00993CE3"/>
    <w:rsid w:val="009D2462"/>
    <w:rsid w:val="009F37C3"/>
    <w:rsid w:val="00A47301"/>
    <w:rsid w:val="00A606C8"/>
    <w:rsid w:val="00A67B8A"/>
    <w:rsid w:val="00A80C8C"/>
    <w:rsid w:val="00A86B13"/>
    <w:rsid w:val="00A94A79"/>
    <w:rsid w:val="00AC77DD"/>
    <w:rsid w:val="00B12955"/>
    <w:rsid w:val="00B15DE5"/>
    <w:rsid w:val="00BB19EA"/>
    <w:rsid w:val="00BB3C10"/>
    <w:rsid w:val="00BE1A81"/>
    <w:rsid w:val="00C002A5"/>
    <w:rsid w:val="00C07F61"/>
    <w:rsid w:val="00C1749D"/>
    <w:rsid w:val="00C2507C"/>
    <w:rsid w:val="00C441E3"/>
    <w:rsid w:val="00C96342"/>
    <w:rsid w:val="00CE7B13"/>
    <w:rsid w:val="00CF24D6"/>
    <w:rsid w:val="00D01C3F"/>
    <w:rsid w:val="00D11863"/>
    <w:rsid w:val="00D37974"/>
    <w:rsid w:val="00D419D6"/>
    <w:rsid w:val="00DC0153"/>
    <w:rsid w:val="00DD6CCB"/>
    <w:rsid w:val="00DF549C"/>
    <w:rsid w:val="00E038DF"/>
    <w:rsid w:val="00E139D4"/>
    <w:rsid w:val="00E204B9"/>
    <w:rsid w:val="00E32694"/>
    <w:rsid w:val="00E529F8"/>
    <w:rsid w:val="00E75D69"/>
    <w:rsid w:val="00E77054"/>
    <w:rsid w:val="00EA4B87"/>
    <w:rsid w:val="00EB0924"/>
    <w:rsid w:val="00EB5FA9"/>
    <w:rsid w:val="00EE75C7"/>
    <w:rsid w:val="00F0617C"/>
    <w:rsid w:val="00F36BC5"/>
    <w:rsid w:val="00F82BFC"/>
    <w:rsid w:val="00FA3AB5"/>
    <w:rsid w:val="00FA6B6D"/>
    <w:rsid w:val="00FC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FFDC"/>
  <w15:docId w15:val="{79962B8C-4463-411A-A0B2-5447D470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dnoteText">
    <w:name w:val="endnote text"/>
    <w:basedOn w:val="Normal"/>
    <w:link w:val="EndnoteTextChar"/>
    <w:rsid w:val="00672B34"/>
    <w:pPr>
      <w:spacing w:after="0"/>
    </w:pPr>
    <w:rPr>
      <w:sz w:val="20"/>
      <w:szCs w:val="20"/>
    </w:rPr>
  </w:style>
  <w:style w:type="character" w:customStyle="1" w:styleId="EndnoteTextChar">
    <w:name w:val="Endnote Text Char"/>
    <w:basedOn w:val="DefaultParagraphFont"/>
    <w:link w:val="EndnoteText"/>
    <w:rsid w:val="00672B34"/>
    <w:rPr>
      <w:sz w:val="20"/>
      <w:szCs w:val="20"/>
    </w:rPr>
  </w:style>
  <w:style w:type="character" w:styleId="EndnoteReference">
    <w:name w:val="endnote reference"/>
    <w:basedOn w:val="DefaultParagraphFont"/>
    <w:rsid w:val="00672B34"/>
    <w:rPr>
      <w:vertAlign w:val="superscript"/>
    </w:rPr>
  </w:style>
  <w:style w:type="table" w:styleId="TableGrid">
    <w:name w:val="Table Grid"/>
    <w:basedOn w:val="TableNormal"/>
    <w:rsid w:val="006D00F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C96CB-BA44-46A2-8A5B-A720E072E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17</Pages>
  <Words>3128</Words>
  <Characters>19085</Characters>
  <Application>Microsoft Office Word</Application>
  <DocSecurity>0</DocSecurity>
  <Lines>681</Lines>
  <Paragraphs>516</Paragraphs>
  <ScaleCrop>false</ScaleCrop>
  <Company>Bloomberg LP</Company>
  <LinksUpToDate>false</LinksUpToDate>
  <CharactersWithSpaces>21697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Mason, Lowell</dc:creator>
  <cp:keywords/>
  <cp:lastModifiedBy>Mason, Lowell</cp:lastModifiedBy>
  <cp:revision>41</cp:revision>
  <dcterms:created xsi:type="dcterms:W3CDTF">2026-02-11T13:06:00Z</dcterms:created>
  <dcterms:modified xsi:type="dcterms:W3CDTF">2026-02-11T17:56:00Z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