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4ec9a1253d031707776f5afaf299b635a69f3b6"/>
    <w:p>
      <w:pPr>
        <w:pStyle w:val="Heading1"/>
      </w:pPr>
      <w:r>
        <w:t xml:space="preserve">QCEW-Anchored Growth-Rate Model: Methodology and Results (v2 — Gold Standard)</w:t>
      </w:r>
    </w:p>
    <w:bookmarkStart w:id="20" w:name="overview"/>
    <w:p>
      <w:pPr>
        <w:pStyle w:val="Heading2"/>
      </w:pPr>
      <w:r>
        <w:t xml:space="preserve">1. Overview</w:t>
      </w:r>
    </w:p>
    <w:p>
      <w:pPr>
        <w:pStyle w:val="FirstParagraph"/>
      </w:pPr>
      <w:r>
        <w:t xml:space="preserve">This document describes the econometric methodology and empirical results for the QCEW-anchored Bayesian state space model implemented in</w:t>
      </w:r>
      <w:r>
        <w:t xml:space="preserve"> </w:t>
      </w:r>
      <w:r>
        <w:rPr>
          <w:rStyle w:val="VerbatimChar"/>
        </w:rPr>
        <w:t xml:space="preserve">pp_estimation_v2.py</w:t>
      </w:r>
      <w:r>
        <w:t xml:space="preserve">. This is the</w:t>
      </w:r>
      <w:r>
        <w:t xml:space="preserve"> </w:t>
      </w:r>
      <w:r>
        <w:rPr>
          <w:b/>
          <w:bCs/>
        </w:rPr>
        <w:t xml:space="preserve">gold standard</w:t>
      </w:r>
      <w:r>
        <w:t xml:space="preserve"> </w:t>
      </w:r>
      <w:r>
        <w:t xml:space="preserve">specification against which all subsequent model variants (v3+) should be evaluated. The gold-standard run uses a</w:t>
      </w:r>
      <w:r>
        <w:t xml:space="preserve"> </w:t>
      </w:r>
      <w:r>
        <w:rPr>
          <w:b/>
          <w:bCs/>
        </w:rPr>
        <w:t xml:space="preserve">fixed</w:t>
      </w:r>
      <w:r>
        <w:t xml:space="preserve"> </w:t>
      </w:r>
      <w:r>
        <w:t xml:space="preserve">birth/death offset,</w:t>
      </w:r>
      <w:r>
        <w:t xml:space="preserve"> </w:t>
      </w:r>
      <w:r>
        <w:rPr>
          <w:b/>
          <w:bCs/>
        </w:rPr>
        <w:t xml:space="preserve">Gaussian</w:t>
      </w:r>
      <w:r>
        <w:t xml:space="preserve"> </w:t>
      </w:r>
      <w:r>
        <w:t xml:space="preserve">observation errors, the nutpie sampler (8k draws, 6k tune), and reports 0 divergences.</w:t>
      </w:r>
    </w:p>
    <w:p>
      <w:pPr>
        <w:pStyle w:val="BodyText"/>
      </w:pPr>
      <w:r>
        <w:t xml:space="preserve">The model extracts a latent national employment growth signal from four data sources—monthly QCEW (truth anchor), CES (SA and NSA, noisy observations), and two payroll provider (PP) continuing-units series from independent providers—operating entirely in monthly log growth rates.</w:t>
      </w:r>
    </w:p>
    <w:p>
      <w:pPr>
        <w:pStyle w:val="BodyText"/>
      </w:pPr>
      <w:r>
        <w:rPr>
          <w:b/>
          <w:bCs/>
        </w:rPr>
        <w:t xml:space="preserve">Core design principles:</w:t>
      </w:r>
    </w:p>
    <w:p>
      <w:pPr>
        <w:numPr>
          <w:ilvl w:val="0"/>
          <w:numId w:val="1001"/>
        </w:numPr>
      </w:pPr>
      <w:r>
        <w:rPr>
          <w:b/>
          <w:bCs/>
        </w:rPr>
        <w:t xml:space="preserve">QCEW is truth.</w:t>
      </w:r>
      <w:r>
        <w:t xml:space="preserve"> </w:t>
      </w:r>
      <w:r>
        <w:t xml:space="preserve">The near-census Quarterly Census of Employment and Wages defines the measurement scale (</w:t>
      </w:r>
      <m:oMath>
        <m:r>
          <m:t>α</m:t>
        </m:r>
        <m:r>
          <m:rPr>
            <m:sty m:val="p"/>
          </m:rPr>
          <m:t>=</m:t>
        </m:r>
        <m:r>
          <m:t>0</m:t>
        </m:r>
      </m:oMath>
      <w:r>
        <w:t xml:space="preserve">,</w:t>
      </w:r>
      <w:r>
        <w:t xml:space="preserve"> </w:t>
      </w:r>
      <m:oMath>
        <m:r>
          <m:t>λ</m:t>
        </m:r>
        <m:r>
          <m:rPr>
            <m:sty m:val="p"/>
          </m:rPr>
          <m:t>=</m:t>
        </m:r>
        <m:r>
          <m:t>1</m:t>
        </m:r>
      </m:oMath>
      <w:r>
        <w:t xml:space="preserve">, fixed</w:t>
      </w:r>
      <w:r>
        <w:t xml:space="preserve"> </w:t>
      </w:r>
      <m:oMath>
        <m:r>
          <m:t>σ</m:t>
        </m:r>
      </m:oMath>
      <w:r>
        <w:t xml:space="preserve">). This choice is motivated by planned extension to state</w:t>
      </w:r>
      <w:r>
        <w:t xml:space="preserve"> </w:t>
      </w:r>
      <m:oMath>
        <m:r>
          <m:rPr>
            <m:sty m:val="p"/>
          </m:rPr>
          <m:t>×</m:t>
        </m:r>
      </m:oMath>
      <w:r>
        <w:t xml:space="preserve"> </w:t>
      </w:r>
      <w:r>
        <w:t xml:space="preserve">supersector estimation, where CES precision degrades but QCEW coverage remains scale-invariant.</w:t>
      </w:r>
    </w:p>
    <w:p>
      <w:pPr>
        <w:numPr>
          <w:ilvl w:val="0"/>
          <w:numId w:val="1001"/>
        </w:numPr>
      </w:pPr>
      <w:r>
        <w:rPr>
          <w:b/>
          <w:bCs/>
        </w:rPr>
        <w:t xml:space="preserve">CES is a noisy observer.</w:t>
      </w:r>
      <w:r>
        <w:t xml:space="preserve"> </w:t>
      </w:r>
      <w:r>
        <w:t xml:space="preserve">CES measures total employment with estimated bias (</w:t>
      </w:r>
      <m:oMath>
        <m:sSub>
          <m:e>
            <m:r>
              <m:t>α</m:t>
            </m:r>
          </m:e>
          <m:sub>
            <m:r>
              <m:rPr>
                <m:nor/>
                <m:sty m:val="p"/>
              </m:rPr>
              <m:t>CES</m:t>
            </m:r>
          </m:sub>
        </m:sSub>
      </m:oMath>
      <w:r>
        <w:t xml:space="preserve">), loading (</w:t>
      </w:r>
      <m:oMath>
        <m:sSub>
          <m:e>
            <m:r>
              <m:t>λ</m:t>
            </m:r>
          </m:e>
          <m:sub>
            <m:r>
              <m:rPr>
                <m:nor/>
                <m:sty m:val="p"/>
              </m:rPr>
              <m:t>CES</m:t>
            </m:r>
          </m:sub>
        </m:sSub>
      </m:oMath>
      <w:r>
        <w:t xml:space="preserve">), and noise (</w:t>
      </w:r>
      <m:oMath>
        <m:sSub>
          <m:e>
            <m:r>
              <m:t>σ</m:t>
            </m:r>
          </m:e>
          <m:sub>
            <m:r>
              <m:rPr>
                <m:nor/>
                <m:sty m:val="p"/>
              </m:rPr>
              <m:t>CES</m:t>
            </m:r>
          </m:sub>
        </m:sSub>
      </m:oMath>
      <w:r>
        <w:t xml:space="preserve">). The model learns how CES relates to truth rather than assuming it.</w:t>
      </w:r>
    </w:p>
    <w:p>
      <w:pPr>
        <w:numPr>
          <w:ilvl w:val="0"/>
          <w:numId w:val="1001"/>
        </w:numPr>
      </w:pPr>
      <w:r>
        <w:rPr>
          <w:b/>
          <w:bCs/>
        </w:rPr>
        <w:t xml:space="preserve">PP providers are independent.</w:t>
      </w:r>
      <w:r>
        <w:t xml:space="preserve"> </w:t>
      </w:r>
      <w:r>
        <w:t xml:space="preserve">PP1 and PP2 come from different payroll companies with independent measurement systems. No common factor is imposed across providers; cross-provider correlation is fully explained by the shared latent signal.</w:t>
      </w:r>
    </w:p>
    <w:p>
      <w:pPr>
        <w:numPr>
          <w:ilvl w:val="0"/>
          <w:numId w:val="1001"/>
        </w:numPr>
      </w:pPr>
      <w:r>
        <w:rPr>
          <w:b/>
          <w:bCs/>
        </w:rPr>
        <w:t xml:space="preserve">PP1 has autocorrelated errors.</w:t>
      </w:r>
      <w:r>
        <w:t xml:space="preserve"> </w:t>
      </w:r>
      <w:r>
        <w:t xml:space="preserve">PP1’s large multi-establishment clients create persistent measurement artifacts modeled as AR(1) errors.</w:t>
      </w:r>
    </w:p>
    <w:p>
      <w:pPr>
        <w:pStyle w:val="FirstParagraph"/>
      </w:pPr>
      <w:r>
        <w:t xml:space="preserve">The model is estimated on 119 months of data (February 2016 – December 2025). All indices are rebased to 100 at March 12, 2020.</w:t>
      </w:r>
    </w:p>
    <w:p>
      <w:pPr>
        <w:pStyle w:val="BodyText"/>
      </w:pPr>
      <w:r>
        <w:rPr>
          <w:b/>
          <w:bCs/>
        </w:rPr>
        <w:t xml:space="preserve">Presentation of results.</w:t>
      </w:r>
      <w:r>
        <w:t xml:space="preserve"> </w:t>
      </w:r>
      <w:r>
        <w:t xml:space="preserve">For NFP-style communication, the model reports</w:t>
      </w:r>
      <w:r>
        <w:t xml:space="preserve"> </w:t>
      </w:r>
      <w:r>
        <w:rPr>
          <w:b/>
          <w:bCs/>
        </w:rPr>
        <w:t xml:space="preserve">change</w:t>
      </w:r>
      <w:r>
        <w:t xml:space="preserve"> </w:t>
      </w:r>
      <w:r>
        <w:t xml:space="preserve">(jobs added or lost, thousands) as the primary output rather than employment levels. Forecasts and nowcasts are expressed as month-over-month change, e.g. </w:t>
      </w:r>
      <w:r>
        <w:t xml:space="preserve">“The economy added 138k jobs on a seasonally adjusted basis (−259k not seasonally adjusted).”</w:t>
      </w:r>
      <w:r>
        <w:t xml:space="preserve"> </w:t>
      </w:r>
      <w:r>
        <w:t xml:space="preserve">Levels are available for reference but are secondary.</w:t>
      </w:r>
    </w:p>
    <w:p>
      <w:r>
        <w:pict>
          <v:rect style="width:0;height:1.5pt" o:hralign="center" o:hrstd="t" o:hr="t"/>
        </w:pict>
      </w:r>
    </w:p>
    <w:bookmarkEnd w:id="20"/>
    <w:bookmarkStart w:id="24" w:name="data-sources-and-transformation"/>
    <w:p>
      <w:pPr>
        <w:pStyle w:val="Heading2"/>
      </w:pPr>
      <w:r>
        <w:t xml:space="preserve">2. Data Sources and Transformation</w:t>
      </w:r>
    </w:p>
    <w:bookmarkStart w:id="21" w:name="data-sources"/>
    <w:p>
      <w:pPr>
        <w:pStyle w:val="Heading3"/>
      </w:pPr>
      <w:r>
        <w:t xml:space="preserve">2.1 Data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Type</w:t>
            </w:r>
          </w:p>
        </w:tc>
        <w:tc>
          <w:tcPr/>
          <w:p>
            <w:pPr>
              <w:pStyle w:val="Compact"/>
            </w:pPr>
            <w:r>
              <w:t xml:space="preserve">Coverage</w:t>
            </w:r>
          </w:p>
        </w:tc>
        <w:tc>
          <w:tcPr/>
          <w:p>
            <w:pPr>
              <w:pStyle w:val="Compact"/>
            </w:pPr>
            <w:r>
              <w:t xml:space="preserve">Frequency</w:t>
            </w:r>
          </w:p>
        </w:tc>
        <w:tc>
          <w:tcPr/>
          <w:p>
            <w:pPr>
              <w:pStyle w:val="Compact"/>
            </w:pPr>
            <w:r>
              <w:t xml:space="preserve">Concept</w:t>
            </w:r>
          </w:p>
        </w:tc>
      </w:tr>
      <w:tr>
        <w:tc>
          <w:tcPr/>
          <w:p>
            <w:pPr>
              <w:pStyle w:val="Compact"/>
            </w:pPr>
            <w:r>
              <w:t xml:space="preserve">CES SA</w:t>
            </w:r>
          </w:p>
        </w:tc>
        <w:tc>
          <w:tcPr/>
          <w:p>
            <w:pPr>
              <w:pStyle w:val="Compact"/>
            </w:pPr>
            <w:r>
              <w:t xml:space="preserve">Survey</w:t>
            </w:r>
          </w:p>
        </w:tc>
        <w:tc>
          <w:tcPr/>
          <w:p>
            <w:pPr>
              <w:pStyle w:val="Compact"/>
            </w:pPr>
            <w:r>
              <w:t xml:space="preserve">~145,000 establishments</w:t>
            </w:r>
          </w:p>
        </w:tc>
        <w:tc>
          <w:tcPr/>
          <w:p>
            <w:pPr>
              <w:pStyle w:val="Compact"/>
            </w:pPr>
            <w:r>
              <w:t xml:space="preserve">Monthly</w:t>
            </w:r>
          </w:p>
        </w:tc>
        <w:tc>
          <w:tcPr/>
          <w:p>
            <w:pPr>
              <w:pStyle w:val="Compact"/>
            </w:pPr>
            <w:r>
              <w:t xml:space="preserve">Total private employment (seasonally adjusted)</w:t>
            </w:r>
          </w:p>
        </w:tc>
      </w:tr>
      <w:tr>
        <w:tc>
          <w:tcPr/>
          <w:p>
            <w:pPr>
              <w:pStyle w:val="Compact"/>
            </w:pPr>
            <w:r>
              <w:t xml:space="preserve">CES NSA</w:t>
            </w:r>
          </w:p>
        </w:tc>
        <w:tc>
          <w:tcPr/>
          <w:p>
            <w:pPr>
              <w:pStyle w:val="Compact"/>
            </w:pPr>
            <w:r>
              <w:t xml:space="preserve">Survey</w:t>
            </w:r>
          </w:p>
        </w:tc>
        <w:tc>
          <w:tcPr/>
          <w:p>
            <w:pPr>
              <w:pStyle w:val="Compact"/>
            </w:pPr>
            <w:r>
              <w:t xml:space="preserve">~145,000 establishments</w:t>
            </w:r>
          </w:p>
        </w:tc>
        <w:tc>
          <w:tcPr/>
          <w:p>
            <w:pPr>
              <w:pStyle w:val="Compact"/>
            </w:pPr>
            <w:r>
              <w:t xml:space="preserve">Monthly</w:t>
            </w:r>
          </w:p>
        </w:tc>
        <w:tc>
          <w:tcPr/>
          <w:p>
            <w:pPr>
              <w:pStyle w:val="Compact"/>
            </w:pPr>
            <w:r>
              <w:t xml:space="preserve">Total private employment (not seasonally adjusted)</w:t>
            </w:r>
          </w:p>
        </w:tc>
      </w:tr>
      <w:tr>
        <w:tc>
          <w:tcPr/>
          <w:p>
            <w:pPr>
              <w:pStyle w:val="Compact"/>
            </w:pPr>
            <w:r>
              <w:t xml:space="preserve">QCEW</w:t>
            </w:r>
          </w:p>
        </w:tc>
        <w:tc>
          <w:tcPr/>
          <w:p>
            <w:pPr>
              <w:pStyle w:val="Compact"/>
            </w:pPr>
            <w:r>
              <w:t xml:space="preserve">Administrative (UI tax records)</w:t>
            </w:r>
          </w:p>
        </w:tc>
        <w:tc>
          <w:tcPr/>
          <w:p>
            <w:pPr>
              <w:pStyle w:val="Compact"/>
            </w:pPr>
            <w:r>
              <w:t xml:space="preserve">Near-census (~10M establishments)</w:t>
            </w:r>
          </w:p>
        </w:tc>
        <w:tc>
          <w:tcPr/>
          <w:p>
            <w:pPr>
              <w:pStyle w:val="Compact"/>
            </w:pPr>
            <w:r>
              <w:t xml:space="preserve">Monthly</w:t>
            </w:r>
          </w:p>
        </w:tc>
        <w:tc>
          <w:tcPr/>
          <w:p>
            <w:pPr>
              <w:pStyle w:val="Compact"/>
            </w:pPr>
            <w:r>
              <w:t xml:space="preserve">Total private employment (NSA)</w:t>
            </w:r>
          </w:p>
        </w:tc>
      </w:tr>
      <w:tr>
        <w:tc>
          <w:tcPr/>
          <w:p>
            <w:pPr>
              <w:pStyle w:val="Compact"/>
            </w:pPr>
            <w:r>
              <w:t xml:space="preserve">PP1</w:t>
            </w:r>
          </w:p>
        </w:tc>
        <w:tc>
          <w:tcPr/>
          <w:p>
            <w:pPr>
              <w:pStyle w:val="Compact"/>
            </w:pPr>
            <w:r>
              <w:t xml:space="preserve">Payroll microdata (Provider 1)</w:t>
            </w:r>
          </w:p>
        </w:tc>
        <w:tc>
          <w:tcPr/>
          <w:p>
            <w:pPr>
              <w:pStyle w:val="Compact"/>
            </w:pPr>
            <w:r>
              <w:t xml:space="preserve">Large multi-establishment firms</w:t>
            </w:r>
          </w:p>
        </w:tc>
        <w:tc>
          <w:tcPr/>
          <w:p>
            <w:pPr>
              <w:pStyle w:val="Compact"/>
            </w:pPr>
            <w:r>
              <w:t xml:space="preserve">Monthly</w:t>
            </w:r>
          </w:p>
        </w:tc>
        <w:tc>
          <w:tcPr/>
          <w:p>
            <w:pPr>
              <w:pStyle w:val="Compact"/>
            </w:pPr>
            <w:r>
              <w:t xml:space="preserve">Continuing-units employment (NSA)</w:t>
            </w:r>
          </w:p>
        </w:tc>
      </w:tr>
      <w:tr>
        <w:tc>
          <w:tcPr/>
          <w:p>
            <w:pPr>
              <w:pStyle w:val="Compact"/>
            </w:pPr>
            <w:r>
              <w:t xml:space="preserve">PP2</w:t>
            </w:r>
          </w:p>
        </w:tc>
        <w:tc>
          <w:tcPr/>
          <w:p>
            <w:pPr>
              <w:pStyle w:val="Compact"/>
            </w:pPr>
            <w:r>
              <w:t xml:space="preserve">Payroll microdata (Provider 2)</w:t>
            </w:r>
          </w:p>
        </w:tc>
        <w:tc>
          <w:tcPr/>
          <w:p>
            <w:pPr>
              <w:pStyle w:val="Compact"/>
            </w:pPr>
            <w:r>
              <w:t xml:space="preserve">Small single-establishment firms</w:t>
            </w:r>
          </w:p>
        </w:tc>
        <w:tc>
          <w:tcPr/>
          <w:p>
            <w:pPr>
              <w:pStyle w:val="Compact"/>
            </w:pPr>
            <w:r>
              <w:t xml:space="preserve">Monthly</w:t>
            </w:r>
          </w:p>
        </w:tc>
        <w:tc>
          <w:tcPr/>
          <w:p>
            <w:pPr>
              <w:pStyle w:val="Compact"/>
            </w:pPr>
            <w:r>
              <w:t xml:space="preserve">Continuing-units employment (NSA)</w:t>
            </w:r>
          </w:p>
        </w:tc>
      </w:tr>
    </w:tbl>
    <w:p>
      <w:pPr>
        <w:pStyle w:val="BodyText"/>
      </w:pPr>
      <w:r>
        <w:rPr>
          <w:b/>
          <w:bCs/>
        </w:rPr>
        <w:t xml:space="preserve">QCEW data quality.</w:t>
      </w:r>
      <w:r>
        <w:t xml:space="preserve"> </w:t>
      </w:r>
      <w:r>
        <w:t xml:space="preserve">Employers file UI tax reports quarterly. BLS publishes monthly employment counts, but only the quarter-end month (March, June, September, December) is derived directly from current-period tax filings. Months 1 and 2 within each quarter come from UI tax records that are reported retrospectively — they are not BLS interpolations, but they are not available in real time for the active reference period. The model reflects this quality gradient through month-dependent fixed sigmas (Section 4.4).</w:t>
      </w:r>
    </w:p>
    <w:p>
      <w:pPr>
        <w:pStyle w:val="BodyText"/>
      </w:pPr>
      <w:r>
        <w:rPr>
          <w:b/>
          <w:bCs/>
        </w:rPr>
        <w:t xml:space="preserve">PP series selection.</w:t>
      </w:r>
      <w:r>
        <w:t xml:space="preserve"> </w:t>
      </w:r>
      <w:r>
        <w:t xml:space="preserve">Provider 2 originally supplied three series: PP2_0 (basic continuing-units), PP2_1, and PP2_2 (matched-panel variants). All three were 0.999+ correlated (Section 7.1), providing near-zero marginal information. Retaining all three triple-counted Provider 2’s information and inflated its precision share to 44%. Only PP2_0 is retained, renamed PP2.</w:t>
      </w:r>
    </w:p>
    <w:p>
      <w:pPr>
        <w:pStyle w:val="BodyText"/>
      </w:pPr>
      <w:r>
        <w:rPr>
          <w:b/>
          <w:bCs/>
        </w:rPr>
        <w:t xml:space="preserve">No common provider factor.</w:t>
      </w:r>
      <w:r>
        <w:t xml:space="preserve"> </w:t>
      </w:r>
      <w:r>
        <w:t xml:space="preserve">A common factor</w:t>
      </w:r>
      <w:r>
        <w:t xml:space="preserve"> </w:t>
      </w:r>
      <m:oMath>
        <m:sSub>
          <m:e>
            <m:r>
              <m:t>f</m:t>
            </m:r>
          </m:e>
          <m:sub>
            <m:r>
              <m:t>t</m:t>
            </m:r>
          </m:sub>
        </m:sSub>
      </m:oMath>
      <w:r>
        <w:t xml:space="preserve"> </w:t>
      </w:r>
      <w:r>
        <w:t xml:space="preserve">was previously shared across all PP series. This was appropriate when multiple series from the same provider needed their shared artifacts absorbed. With two series from independent providers, a common factor is inappropriate: PP1 and PP2 use different payroll systems, different client bases, and different processing pipelines. Their measurement errors should be independent. Cross-provider correlation (empirically ~0.97) is fully explained by the shared latent employment signal through their respective loadings.</w:t>
      </w:r>
    </w:p>
    <w:bookmarkEnd w:id="21"/>
    <w:bookmarkStart w:id="22" w:name="growth-rate-specification"/>
    <w:p>
      <w:pPr>
        <w:pStyle w:val="Heading3"/>
      </w:pPr>
      <w:r>
        <w:t xml:space="preserve">2.2 Growth-Rate Specification</w:t>
      </w:r>
    </w:p>
    <w:p>
      <w:pPr>
        <w:pStyle w:val="FirstParagraph"/>
      </w:pPr>
      <w:r>
        <w:t xml:space="preserve">All series enter the model as monthly log growth rates:</w:t>
      </w:r>
    </w:p>
    <w:p>
      <w:pPr>
        <w:pStyle w:val="BodyText"/>
      </w:pPr>
      <m:oMathPara>
        <m:oMathParaPr>
          <m:jc m:val="center"/>
        </m:oMathParaPr>
        <m:oMath>
          <m:sSubSup>
            <m:e>
              <m:r>
                <m:t>g</m:t>
              </m:r>
            </m:e>
            <m:sub>
              <m:r>
                <m:t>t</m:t>
              </m:r>
            </m:sub>
            <m:sup>
              <m:r>
                <m:t>x</m:t>
              </m:r>
            </m:sup>
          </m:sSubSup>
          <m:r>
            <m:rPr>
              <m:sty m:val="p"/>
            </m:rPr>
            <m:t>=</m:t>
          </m:r>
          <m:r>
            <m:rPr>
              <m:sty m:val="p"/>
            </m:rPr>
            <m:t>ln</m:t>
          </m:r>
          <m:d>
            <m:dPr>
              <m:begChr m:val="("/>
              <m:sepChr m:val=""/>
              <m:endChr m:val=")"/>
              <m:grow/>
            </m:dPr>
            <m:e>
              <m:sSub>
                <m:e>
                  <m:r>
                    <m:t>x</m:t>
                  </m:r>
                </m:e>
                <m:sub>
                  <m:r>
                    <m:t>t</m:t>
                  </m:r>
                </m:sub>
              </m:sSub>
            </m:e>
          </m:d>
          <m:r>
            <m:rPr>
              <m:sty m:val="p"/>
            </m:rPr>
            <m:t>−</m:t>
          </m:r>
          <m:r>
            <m:rPr>
              <m:sty m:val="p"/>
            </m:rPr>
            <m:t>ln</m:t>
          </m:r>
          <m:d>
            <m:dPr>
              <m:begChr m:val="("/>
              <m:sepChr m:val=""/>
              <m:endChr m:val=")"/>
              <m:grow/>
            </m:dPr>
            <m:e>
              <m:sSub>
                <m:e>
                  <m:r>
                    <m:t>x</m:t>
                  </m:r>
                </m:e>
                <m:sub>
                  <m:r>
                    <m:t>t</m:t>
                  </m:r>
                  <m:r>
                    <m:rPr>
                      <m:sty m:val="p"/>
                    </m:rPr>
                    <m:t>−</m:t>
                  </m:r>
                  <m:r>
                    <m:t>1</m:t>
                  </m:r>
                </m:sub>
              </m:sSub>
            </m:e>
          </m:d>
        </m:oMath>
      </m:oMathPara>
    </w:p>
    <w:p>
      <w:pPr>
        <w:pStyle w:val="FirstParagraph"/>
      </w:pPr>
      <w:r>
        <w:t xml:space="preserve">The first observation is dropped since differencing consumes one period, yielding</w:t>
      </w:r>
      <w:r>
        <w:t xml:space="preserve"> </w:t>
      </w:r>
      <m:oMath>
        <m:r>
          <m:t>T</m:t>
        </m:r>
        <m:r>
          <m:rPr>
            <m:sty m:val="p"/>
          </m:rPr>
          <m:t>=</m:t>
        </m:r>
        <m:r>
          <m:t>119</m:t>
        </m:r>
      </m:oMath>
      <w:r>
        <w:t xml:space="preserve"> </w:t>
      </w:r>
      <w:r>
        <w:t xml:space="preserve">monthly observations.</w:t>
      </w:r>
    </w:p>
    <w:bookmarkEnd w:id="22"/>
    <w:bookmarkStart w:id="23" w:name="sample-summary"/>
    <w:p>
      <w:pPr>
        <w:pStyle w:val="Heading3"/>
      </w:pPr>
      <w:r>
        <w:t xml:space="preserve">2.3 Sample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Series</w:t>
            </w:r>
          </w:p>
        </w:tc>
        <w:tc>
          <w:tcPr/>
          <w:p>
            <w:pPr>
              <w:pStyle w:val="Compact"/>
              <w:jc w:val="center"/>
            </w:pPr>
            <w:r>
              <w:t xml:space="preserve">Observations</w:t>
            </w:r>
          </w:p>
        </w:tc>
        <w:tc>
          <w:tcPr/>
          <w:p>
            <w:pPr>
              <w:pStyle w:val="Compact"/>
              <w:jc w:val="right"/>
            </w:pPr>
            <w:r>
              <w:t xml:space="preserve">Mean growth (%/mo)</w:t>
            </w:r>
          </w:p>
        </w:tc>
      </w:tr>
      <w:tr>
        <w:tc>
          <w:tcPr/>
          <w:p>
            <w:pPr>
              <w:pStyle w:val="Compact"/>
            </w:pPr>
            <w:r>
              <w:t xml:space="preserve">CES SA</w:t>
            </w:r>
          </w:p>
        </w:tc>
        <w:tc>
          <w:tcPr/>
          <w:p>
            <w:pPr>
              <w:pStyle w:val="Compact"/>
              <w:jc w:val="center"/>
            </w:pPr>
            <w:r>
              <w:t xml:space="preserve">119</w:t>
            </w:r>
          </w:p>
        </w:tc>
        <w:tc>
          <w:tcPr/>
          <w:p>
            <w:pPr>
              <w:pStyle w:val="Compact"/>
              <w:jc w:val="right"/>
            </w:pPr>
            <w:r>
              <w:t xml:space="preserve">+0.098</w:t>
            </w:r>
          </w:p>
        </w:tc>
      </w:tr>
      <w:tr>
        <w:tc>
          <w:tcPr/>
          <w:p>
            <w:pPr>
              <w:pStyle w:val="Compact"/>
            </w:pPr>
            <w:r>
              <w:t xml:space="preserve">CES NSA</w:t>
            </w:r>
          </w:p>
        </w:tc>
        <w:tc>
          <w:tcPr/>
          <w:p>
            <w:pPr>
              <w:pStyle w:val="Compact"/>
              <w:jc w:val="center"/>
            </w:pPr>
            <w:r>
              <w:t xml:space="preserve">119</w:t>
            </w:r>
          </w:p>
        </w:tc>
        <w:tc>
          <w:tcPr/>
          <w:p>
            <w:pPr>
              <w:pStyle w:val="Compact"/>
              <w:jc w:val="right"/>
            </w:pPr>
            <w:r>
              <w:t xml:space="preserve">+0.116</w:t>
            </w:r>
          </w:p>
        </w:tc>
      </w:tr>
      <w:tr>
        <w:tc>
          <w:tcPr/>
          <w:p>
            <w:pPr>
              <w:pStyle w:val="Compact"/>
            </w:pPr>
            <w:r>
              <w:t xml:space="preserve">QCEW (all monthly)</w:t>
            </w:r>
          </w:p>
        </w:tc>
        <w:tc>
          <w:tcPr/>
          <w:p>
            <w:pPr>
              <w:pStyle w:val="Compact"/>
              <w:jc w:val="center"/>
            </w:pPr>
            <w:r>
              <w:t xml:space="preserve">113</w:t>
            </w:r>
          </w:p>
        </w:tc>
        <w:tc>
          <w:tcPr/>
          <w:p>
            <w:pPr>
              <w:pStyle w:val="Compact"/>
              <w:jc w:val="right"/>
            </w:pPr>
            <w:r>
              <w:t xml:space="preserve">+0.116</w:t>
            </w:r>
          </w:p>
        </w:tc>
      </w:tr>
      <w:tr>
        <w:tc>
          <w:tcPr/>
          <w:p>
            <w:pPr>
              <w:pStyle w:val="Compact"/>
            </w:pPr>
            <w:r>
              <w:t xml:space="preserve">— Quarter-end (M3)</w:t>
            </w:r>
          </w:p>
        </w:tc>
        <w:tc>
          <w:tcPr/>
          <w:p>
            <w:pPr>
              <w:pStyle w:val="Compact"/>
              <w:jc w:val="center"/>
            </w:pPr>
            <w:r>
              <w:t xml:space="preserve">38</w:t>
            </w:r>
          </w:p>
        </w:tc>
        <w:tc>
          <w:tcPr/>
          <w:p>
            <w:pPr>
              <w:pStyle w:val="Compact"/>
              <w:jc w:val="right"/>
            </w:pPr>
            <w:r>
              <w:t xml:space="preserve">—</w:t>
            </w:r>
          </w:p>
        </w:tc>
      </w:tr>
      <w:tr>
        <w:tc>
          <w:tcPr/>
          <w:p>
            <w:pPr>
              <w:pStyle w:val="Compact"/>
            </w:pPr>
            <w:r>
              <w:t xml:space="preserve">— Retrospective UI (M1–2)</w:t>
            </w:r>
          </w:p>
        </w:tc>
        <w:tc>
          <w:tcPr/>
          <w:p>
            <w:pPr>
              <w:pStyle w:val="Compact"/>
              <w:jc w:val="center"/>
            </w:pPr>
            <w:r>
              <w:t xml:space="preserve">75</w:t>
            </w:r>
          </w:p>
        </w:tc>
        <w:tc>
          <w:tcPr/>
          <w:p>
            <w:pPr>
              <w:pStyle w:val="Compact"/>
              <w:jc w:val="right"/>
            </w:pPr>
            <w:r>
              <w:t xml:space="preserve">—</w:t>
            </w:r>
          </w:p>
        </w:tc>
      </w:tr>
      <w:tr>
        <w:tc>
          <w:tcPr/>
          <w:p>
            <w:pPr>
              <w:pStyle w:val="Compact"/>
            </w:pPr>
            <w:r>
              <w:t xml:space="preserve">PP1</w:t>
            </w:r>
          </w:p>
        </w:tc>
        <w:tc>
          <w:tcPr/>
          <w:p>
            <w:pPr>
              <w:pStyle w:val="Compact"/>
              <w:jc w:val="center"/>
            </w:pPr>
            <w:r>
              <w:t xml:space="preserve">113</w:t>
            </w:r>
          </w:p>
        </w:tc>
        <w:tc>
          <w:tcPr/>
          <w:p>
            <w:pPr>
              <w:pStyle w:val="Compact"/>
              <w:jc w:val="right"/>
            </w:pPr>
            <w:r>
              <w:t xml:space="preserve">+0.184</w:t>
            </w:r>
          </w:p>
        </w:tc>
      </w:tr>
      <w:tr>
        <w:tc>
          <w:tcPr/>
          <w:p>
            <w:pPr>
              <w:pStyle w:val="Compact"/>
            </w:pPr>
            <w:r>
              <w:t xml:space="preserve">PP2</w:t>
            </w:r>
          </w:p>
        </w:tc>
        <w:tc>
          <w:tcPr/>
          <w:p>
            <w:pPr>
              <w:pStyle w:val="Compact"/>
              <w:jc w:val="center"/>
            </w:pPr>
            <w:r>
              <w:t xml:space="preserve">82</w:t>
            </w:r>
          </w:p>
        </w:tc>
        <w:tc>
          <w:tcPr/>
          <w:p>
            <w:pPr>
              <w:pStyle w:val="Compact"/>
              <w:jc w:val="right"/>
            </w:pPr>
            <w:r>
              <w:t xml:space="preserve">+0.313</w:t>
            </w:r>
          </w:p>
        </w:tc>
      </w:tr>
    </w:tbl>
    <w:p>
      <w:pPr>
        <w:pStyle w:val="BodyText"/>
      </w:pPr>
      <w:r>
        <w:t xml:space="preserve">CES NSA and QCEW mean growth agree at +0.116%/mo, confirming they measure the same concept. PP1 and PP2 show higher mean growth due to survivorship bias in continuing-units panels.</w:t>
      </w:r>
    </w:p>
    <w:p>
      <w:r>
        <w:pict>
          <v:rect style="width:0;height:1.5pt" o:hralign="center" o:hrstd="t" o:hr="t"/>
        </w:pict>
      </w:r>
    </w:p>
    <w:bookmarkEnd w:id="23"/>
    <w:bookmarkEnd w:id="24"/>
    <w:bookmarkStart w:id="27" w:name="X46f62f954a436d526c3247b67ff93d2f2537861"/>
    <w:p>
      <w:pPr>
        <w:pStyle w:val="Heading2"/>
      </w:pPr>
      <w:r>
        <w:t xml:space="preserve">3. Latent State: Continuing-Units Employment Growth</w:t>
      </w:r>
    </w:p>
    <w:bookmarkStart w:id="25" w:name="ar1-dynamics"/>
    <w:p>
      <w:pPr>
        <w:pStyle w:val="Heading3"/>
      </w:pPr>
      <w:r>
        <w:t xml:space="preserve">3.1 AR(1) Dynamics</w:t>
      </w:r>
    </w:p>
    <w:p>
      <w:pPr>
        <w:pStyle w:val="FirstParagraph"/>
      </w:pPr>
      <w:r>
        <w:t xml:space="preserve">The latent process is seasonally adjusted continuing-units employment growth:</w:t>
      </w:r>
    </w:p>
    <w:p>
      <w:pPr>
        <w:pStyle w:val="BodyText"/>
      </w:pPr>
      <m:oMathPara>
        <m:oMathParaPr>
          <m:jc m:val="center"/>
        </m:oMathParaPr>
        <m:oMath>
          <m:sSubSup>
            <m:e>
              <m:r>
                <m:t>g</m:t>
              </m:r>
            </m:e>
            <m:sub>
              <m:r>
                <m:t>t</m:t>
              </m:r>
            </m:sub>
            <m:sup>
              <m:r>
                <m:rPr>
                  <m:nor/>
                  <m:sty m:val="p"/>
                </m:rPr>
                <m:t>cont</m:t>
              </m:r>
            </m:sup>
          </m:sSubSup>
          <m:r>
            <m:rPr>
              <m:sty m:val="p"/>
            </m:rPr>
            <m:t>=</m:t>
          </m:r>
          <m:sSub>
            <m:e>
              <m:r>
                <m:t>μ</m:t>
              </m:r>
            </m:e>
            <m:sub>
              <m:r>
                <m:t>g</m:t>
              </m:r>
            </m:sub>
          </m:sSub>
          <m:r>
            <m:rPr>
              <m:sty m:val="p"/>
            </m:rPr>
            <m:t>+</m:t>
          </m:r>
          <m:r>
            <m:t>ϕ</m:t>
          </m:r>
          <m:d>
            <m:dPr>
              <m:begChr m:val="("/>
              <m:sepChr m:val=""/>
              <m:endChr m:val=")"/>
              <m:grow/>
            </m:dPr>
            <m:e>
              <m:sSubSup>
                <m:e>
                  <m:r>
                    <m:t>g</m:t>
                  </m:r>
                </m:e>
                <m:sub>
                  <m:r>
                    <m:t>t</m:t>
                  </m:r>
                  <m:r>
                    <m:rPr>
                      <m:sty m:val="p"/>
                    </m:rPr>
                    <m:t>−</m:t>
                  </m:r>
                  <m:r>
                    <m:t>1</m:t>
                  </m:r>
                </m:sub>
                <m:sup>
                  <m:r>
                    <m:rPr>
                      <m:nor/>
                      <m:sty m:val="p"/>
                    </m:rPr>
                    <m:t>cont</m:t>
                  </m:r>
                </m:sup>
              </m:sSubSup>
              <m:r>
                <m:rPr>
                  <m:sty m:val="p"/>
                </m:rPr>
                <m:t>−</m:t>
              </m:r>
              <m:sSub>
                <m:e>
                  <m:r>
                    <m:t>μ</m:t>
                  </m:r>
                </m:e>
                <m:sub>
                  <m:r>
                    <m:t>g</m:t>
                  </m:r>
                </m:sub>
              </m:sSub>
            </m:e>
          </m:d>
          <m:r>
            <m:rPr>
              <m:sty m:val="p"/>
            </m:rPr>
            <m:t>+</m:t>
          </m:r>
          <m:sSub>
            <m:e>
              <m:r>
                <m:t>σ</m:t>
              </m:r>
            </m:e>
            <m:sub>
              <m:r>
                <m:t>g</m:t>
              </m:r>
            </m:sub>
          </m:sSub>
          <m:r>
            <m:t> </m:t>
          </m:r>
          <m:sSub>
            <m:e>
              <m:r>
                <m:t>ε</m:t>
              </m:r>
            </m:e>
            <m:sub>
              <m:r>
                <m:t>t</m:t>
              </m:r>
            </m:sub>
          </m:sSub>
          <m:r>
            <m:rPr>
              <m:sty m:val="p"/>
            </m:rPr>
            <m:t>,</m:t>
          </m:r>
          <m:r>
            <m:t>  </m:t>
          </m:r>
          <m:sSub>
            <m:e>
              <m:r>
                <m:t>ε</m:t>
              </m:r>
            </m:e>
            <m:sub>
              <m:r>
                <m:t>t</m:t>
              </m:r>
            </m:sub>
          </m:sSub>
          <m:r>
            <m:rPr>
              <m:sty m:val="p"/>
            </m:rPr>
            <m:t>∼</m:t>
          </m:r>
          <m:r>
            <m:rPr>
              <m:sty m:val="p"/>
              <m:scr m:val="script"/>
            </m:rPr>
            <m:t>N</m:t>
          </m:r>
          <m:d>
            <m:dPr>
              <m:begChr m:val="("/>
              <m:sepChr m:val=""/>
              <m:endChr m:val=")"/>
              <m:grow/>
            </m:dPr>
            <m:e>
              <m:r>
                <m:t>0</m:t>
              </m:r>
              <m:r>
                <m:rPr>
                  <m:sty m:val="p"/>
                </m:rPr>
                <m:t>,</m:t>
              </m:r>
              <m:r>
                <m:t>1</m:t>
              </m:r>
            </m:e>
          </m:d>
        </m:oMath>
      </m:oMathPara>
    </w:p>
    <w:p>
      <w:pPr>
        <w:pStyle w:val="FirstParagraph"/>
      </w:pPr>
      <w:r>
        <w:t xml:space="preserve">Initialized at</w:t>
      </w:r>
      <w:r>
        <w:t xml:space="preserve"> </w:t>
      </w:r>
      <m:oMath>
        <m:sSubSup>
          <m:e>
            <m:r>
              <m:t>g</m:t>
            </m:r>
          </m:e>
          <m:sub>
            <m:r>
              <m:t>0</m:t>
            </m:r>
          </m:sub>
          <m:sup>
            <m:r>
              <m:rPr>
                <m:nor/>
                <m:sty m:val="p"/>
              </m:rPr>
              <m:t>cont</m:t>
            </m:r>
          </m:sup>
        </m:sSubSup>
        <m:r>
          <m:rPr>
            <m:sty m:val="p"/>
          </m:rPr>
          <m:t>=</m:t>
        </m:r>
        <m:sSub>
          <m:e>
            <m:r>
              <m:t>μ</m:t>
            </m:r>
          </m:e>
          <m:sub>
            <m:r>
              <m:t>g</m:t>
            </m:r>
          </m:sub>
        </m:sSub>
        <m:r>
          <m:rPr>
            <m:sty m:val="p"/>
          </m:rPr>
          <m:t>+</m:t>
        </m:r>
        <m:sSub>
          <m:e>
            <m:r>
              <m:t>σ</m:t>
            </m:r>
          </m:e>
          <m:sub>
            <m:r>
              <m:t>g</m:t>
            </m:r>
          </m:sub>
        </m:sSub>
        <m:r>
          <m:t> </m:t>
        </m:r>
        <m:sSub>
          <m:e>
            <m:r>
              <m:t>ε</m:t>
            </m:r>
          </m:e>
          <m:sub>
            <m:r>
              <m:t>0</m:t>
            </m:r>
          </m:sub>
        </m:sSub>
      </m:oMath>
      <w:r>
        <w:t xml:space="preserve"> </w:t>
      </w:r>
      <w:r>
        <w:t xml:space="preserve">and evolved via</w:t>
      </w:r>
      <w:r>
        <w:t xml:space="preserve"> </w:t>
      </w:r>
      <w:r>
        <w:rPr>
          <w:rStyle w:val="VerbatimChar"/>
        </w:rPr>
        <w:t xml:space="preserve">pytensor.scan</w:t>
      </w:r>
      <w:r>
        <w:t xml:space="preserve">. The non-centered parameterization (sampling</w:t>
      </w:r>
      <w:r>
        <w:t xml:space="preserve"> </w:t>
      </w:r>
      <m:oMath>
        <m:sSub>
          <m:e>
            <m:r>
              <m:t>ε</m:t>
            </m:r>
          </m:e>
          <m:sub>
            <m:r>
              <m:t>t</m:t>
            </m:r>
          </m:sub>
        </m:sSub>
      </m:oMath>
      <w:r>
        <w:t xml:space="preserve"> </w:t>
      </w:r>
      <w:r>
        <w:t xml:space="preserve">and scaling by</w:t>
      </w:r>
      <w:r>
        <w:t xml:space="preserve"> </w:t>
      </w:r>
      <m:oMath>
        <m:sSub>
          <m:e>
            <m:r>
              <m:t>σ</m:t>
            </m:r>
          </m:e>
          <m:sub>
            <m:r>
              <m:t>g</m:t>
            </m:r>
          </m:sub>
        </m:sSub>
      </m:oMath>
      <w:r>
        <w:t xml:space="preserve">) improves MCMC geometry.</w:t>
      </w:r>
    </w:p>
    <w:bookmarkEnd w:id="25"/>
    <w:bookmarkStart w:id="26" w:name="priors"/>
    <w:p>
      <w:pPr>
        <w:pStyle w:val="Heading3"/>
      </w:pPr>
      <w:r>
        <w:t xml:space="preserve">3.2 Priors</w:t>
      </w:r>
    </w:p>
    <w:tbl>
      <w:tblPr>
        <w:tblStyle w:val="Table"/>
        <w:tblW w:type="pct" w:w="5000"/>
        <w:tblLayout w:type="fixed"/>
        <w:tblLook w:firstRow="1" w:lastRow="0" w:firstColumn="0" w:lastColumn="0" w:noHBand="0" w:noVBand="0" w:val="0020"/>
      </w:tblPr>
      <w:tblGrid>
        <w:gridCol w:w="2860"/>
        <w:gridCol w:w="2200"/>
        <w:gridCol w:w="2860"/>
      </w:tblGrid>
      <w:tr>
        <w:trPr>
          <w:tblHeader w:val="on"/>
        </w:trPr>
        <w:tc>
          <w:tcPr/>
          <w:p>
            <w:pPr>
              <w:pStyle w:val="Compact"/>
            </w:pPr>
            <w:r>
              <w:t xml:space="preserve">Parameter</w:t>
            </w:r>
          </w:p>
        </w:tc>
        <w:tc>
          <w:tcPr/>
          <w:p>
            <w:pPr>
              <w:pStyle w:val="Compact"/>
            </w:pPr>
            <w:r>
              <w:t xml:space="preserve">Prior</w:t>
            </w:r>
          </w:p>
        </w:tc>
        <w:tc>
          <w:tcPr/>
          <w:p>
            <w:pPr>
              <w:pStyle w:val="Compact"/>
            </w:pPr>
            <w:r>
              <w:t xml:space="preserve">Rationale</w:t>
            </w:r>
          </w:p>
        </w:tc>
      </w:tr>
      <w:tr>
        <w:tc>
          <w:tcPr/>
          <w:p>
            <w:pPr>
              <w:pStyle w:val="Compact"/>
            </w:pPr>
            <m:oMath>
              <m:sSub>
                <m:e>
                  <m:r>
                    <m:t>μ</m:t>
                  </m:r>
                </m:e>
                <m:sub>
                  <m:r>
                    <m:t>g</m:t>
                  </m:r>
                </m:sub>
              </m:sSub>
            </m:oMath>
          </w:p>
        </w:tc>
        <w:tc>
          <w:tcPr/>
          <w:p>
            <w:pPr>
              <w:pStyle w:val="Compact"/>
            </w:pPr>
            <m:oMath>
              <m:r>
                <m:rPr>
                  <m:sty m:val="p"/>
                  <m:scr m:val="script"/>
                </m:rPr>
                <m:t>N</m:t>
              </m:r>
              <m:d>
                <m:dPr>
                  <m:begChr m:val="("/>
                  <m:sepChr m:val=""/>
                  <m:endChr m:val=")"/>
                  <m:grow/>
                </m:dPr>
                <m:e>
                  <m:r>
                    <m:t>0.001</m:t>
                  </m:r>
                  <m:r>
                    <m:rPr>
                      <m:sty m:val="p"/>
                    </m:rPr>
                    <m:t>,</m:t>
                  </m:r>
                  <m:sSup>
                    <m:e>
                      <m:r>
                        <m:t>0.005</m:t>
                      </m:r>
                    </m:e>
                    <m:sup>
                      <m:r>
                        <m:t>2</m:t>
                      </m:r>
                    </m:sup>
                  </m:sSup>
                </m:e>
              </m:d>
            </m:oMath>
          </w:p>
        </w:tc>
        <w:tc>
          <w:tcPr/>
          <w:p>
            <w:pPr>
              <w:pStyle w:val="Compact"/>
            </w:pPr>
            <w:r>
              <w:t xml:space="preserve">~0.1%/mo (~1.2% annualized); wide for recession/expansion</w:t>
            </w:r>
          </w:p>
        </w:tc>
      </w:tr>
      <w:tr>
        <w:tc>
          <w:tcPr/>
          <w:p>
            <w:pPr>
              <w:pStyle w:val="Compact"/>
            </w:pPr>
            <m:oMath>
              <m:r>
                <m:t>ϕ</m:t>
              </m:r>
            </m:oMath>
          </w:p>
        </w:tc>
        <w:tc>
          <w:tcPr/>
          <w:p>
            <w:pPr>
              <w:pStyle w:val="Compact"/>
            </w:pPr>
            <m:oMath>
              <m:r>
                <m:rPr>
                  <m:nor/>
                  <m:sty m:val="p"/>
                </m:rPr>
                <m:t>Uniform</m:t>
              </m:r>
              <m:d>
                <m:dPr>
                  <m:begChr m:val="("/>
                  <m:sepChr m:val=""/>
                  <m:endChr m:val=")"/>
                  <m:grow/>
                </m:dPr>
                <m:e>
                  <m:r>
                    <m:t>0</m:t>
                  </m:r>
                  <m:r>
                    <m:rPr>
                      <m:sty m:val="p"/>
                    </m:rPr>
                    <m:t>,</m:t>
                  </m:r>
                  <m:r>
                    <m:t>0.99</m:t>
                  </m:r>
                </m:e>
              </m:d>
            </m:oMath>
          </w:p>
        </w:tc>
        <w:tc>
          <w:tcPr/>
          <w:p>
            <w:pPr>
              <w:pStyle w:val="Compact"/>
            </w:pPr>
            <w:r>
              <w:t xml:space="preserve">Uninformative over the stationary region</w:t>
            </w:r>
          </w:p>
        </w:tc>
      </w:tr>
      <w:tr>
        <w:tc>
          <w:tcPr/>
          <w:p>
            <w:pPr>
              <w:pStyle w:val="Compact"/>
            </w:pPr>
            <m:oMath>
              <m:sSub>
                <m:e>
                  <m:r>
                    <m:t>σ</m:t>
                  </m:r>
                </m:e>
                <m:sub>
                  <m:r>
                    <m:t>g</m:t>
                  </m:r>
                </m:sub>
              </m:sSub>
            </m:oMath>
          </w:p>
        </w:tc>
        <w:tc>
          <w:tcPr/>
          <w:p>
            <w:pPr>
              <w:pStyle w:val="Compact"/>
            </w:pPr>
            <m:oMath>
              <m:r>
                <m:rPr>
                  <m:nor/>
                  <m:sty m:val="p"/>
                </m:rPr>
                <m:t>Half-</m:t>
              </m:r>
              <m:r>
                <m:rPr>
                  <m:sty m:val="p"/>
                  <m:scr m:val="script"/>
                </m:rPr>
                <m:t>N</m:t>
              </m:r>
              <m:d>
                <m:dPr>
                  <m:begChr m:val="("/>
                  <m:sepChr m:val=""/>
                  <m:endChr m:val=")"/>
                  <m:grow/>
                </m:dPr>
                <m:e>
                  <m:r>
                    <m:t>0</m:t>
                  </m:r>
                  <m:r>
                    <m:rPr>
                      <m:sty m:val="p"/>
                    </m:rPr>
                    <m:t>,</m:t>
                  </m:r>
                  <m:r>
                    <m:t>0.008</m:t>
                  </m:r>
                </m:e>
              </m:d>
            </m:oMath>
          </w:p>
        </w:tc>
        <w:tc>
          <w:tcPr/>
          <w:p>
            <w:pPr>
              <w:pStyle w:val="Compact"/>
            </w:pPr>
            <w:r>
              <w:t xml:space="preserve">Scaled to observed monthly growth volatility</w:t>
            </w:r>
          </w:p>
        </w:tc>
      </w:tr>
    </w:tbl>
    <w:p>
      <w:r>
        <w:pict>
          <v:rect style="width:0;height:1.5pt" o:hralign="center" o:hrstd="t" o:hr="t"/>
        </w:pict>
      </w:r>
    </w:p>
    <w:bookmarkEnd w:id="26"/>
    <w:bookmarkEnd w:id="27"/>
    <w:bookmarkStart w:id="37" w:name="measurement-equations"/>
    <w:p>
      <w:pPr>
        <w:pStyle w:val="Heading2"/>
      </w:pPr>
      <w:r>
        <w:t xml:space="preserve">4. Measurement Equations</w:t>
      </w:r>
    </w:p>
    <w:bookmarkStart w:id="28" w:name="seasonal-component"/>
    <w:p>
      <w:pPr>
        <w:pStyle w:val="Heading3"/>
      </w:pPr>
      <w:r>
        <w:t xml:space="preserve">4.1 Seasonal Component</w:t>
      </w:r>
    </w:p>
    <w:p>
      <w:pPr>
        <w:pStyle w:val="FirstParagraph"/>
      </w:pPr>
      <w:r>
        <w:t xml:space="preserve">Deterministic monthly seasonal with 11 free parameters and a sum-to-zero constraint:</w:t>
      </w:r>
    </w:p>
    <w:p>
      <w:pPr>
        <w:pStyle w:val="BodyText"/>
      </w:pPr>
      <m:oMathPara>
        <m:oMathParaPr>
          <m:jc m:val="center"/>
        </m:oMathParaPr>
        <m:oMath>
          <m:sSub>
            <m:e>
              <m:r>
                <m:t>s</m:t>
              </m:r>
            </m:e>
            <m:sub>
              <m:r>
                <m:t>m</m:t>
              </m:r>
            </m:sub>
          </m:sSub>
          <m:r>
            <m:rPr>
              <m:nor/>
              <m:sty m:val="p"/>
            </m:rPr>
            <m:t> for </m:t>
          </m:r>
          <m:r>
            <m:t>m</m:t>
          </m:r>
          <m:r>
            <m:rPr>
              <m:sty m:val="p"/>
            </m:rPr>
            <m:t>=</m:t>
          </m:r>
          <m:r>
            <m:t>1</m:t>
          </m:r>
          <m:r>
            <m:rPr>
              <m:sty m:val="p"/>
            </m:rPr>
            <m:t>,</m:t>
          </m:r>
          <m:r>
            <m:rPr>
              <m:sty m:val="p"/>
            </m:rPr>
            <m:t>…</m:t>
          </m:r>
          <m:r>
            <m:rPr>
              <m:sty m:val="p"/>
            </m:rPr>
            <m:t>,</m:t>
          </m:r>
          <m:r>
            <m:t>11</m:t>
          </m:r>
          <m:r>
            <m:rPr>
              <m:sty m:val="p"/>
            </m:rPr>
            <m:t>,</m:t>
          </m:r>
          <m:r>
            <m:t>  </m:t>
          </m:r>
          <m:sSub>
            <m:e>
              <m:r>
                <m:t>s</m:t>
              </m:r>
            </m:e>
            <m:sub>
              <m:r>
                <m:t>12</m:t>
              </m:r>
            </m:sub>
          </m:sSub>
          <m:r>
            <m:rPr>
              <m:sty m:val="p"/>
            </m:rPr>
            <m:t>=</m:t>
          </m:r>
          <m:r>
            <m:rPr>
              <m:sty m:val="p"/>
            </m:rPr>
            <m:t>−</m:t>
          </m:r>
          <m:nary>
            <m:naryPr>
              <m:chr m:val="∑"/>
              <m:limLoc m:val="undOvr"/>
              <m:subHide m:val="off"/>
              <m:supHide m:val="off"/>
            </m:naryPr>
            <m:sub>
              <m:r>
                <m:t>m</m:t>
              </m:r>
              <m:r>
                <m:rPr>
                  <m:sty m:val="p"/>
                </m:rPr>
                <m:t>=</m:t>
              </m:r>
              <m:r>
                <m:t>1</m:t>
              </m:r>
            </m:sub>
            <m:sup>
              <m:r>
                <m:t>11</m:t>
              </m:r>
            </m:sup>
            <m:e>
              <m:sSub>
                <m:e>
                  <m:r>
                    <m:t>s</m:t>
                  </m:r>
                </m:e>
                <m:sub>
                  <m:r>
                    <m:t>m</m:t>
                  </m:r>
                </m:sub>
              </m:sSub>
            </m:e>
          </m:nary>
        </m:oMath>
      </m:oMathPara>
    </w:p>
    <w:p>
      <w:pPr>
        <w:pStyle w:val="FirstParagraph"/>
      </w:pPr>
      <w:r>
        <w:t xml:space="preserve">Prior:</w:t>
      </w:r>
      <w:r>
        <w:t xml:space="preserve"> </w:t>
      </w:r>
      <m:oMath>
        <m:sSub>
          <m:e>
            <m:r>
              <m:t>s</m:t>
            </m:r>
          </m:e>
          <m:sub>
            <m:r>
              <m:t>m</m:t>
            </m:r>
          </m:sub>
        </m:sSub>
        <m:r>
          <m:rPr>
            <m:sty m:val="p"/>
          </m:rPr>
          <m:t>∼</m:t>
        </m:r>
        <m:r>
          <m:rPr>
            <m:sty m:val="p"/>
            <m:scr m:val="script"/>
          </m:rPr>
          <m:t>N</m:t>
        </m:r>
        <m:d>
          <m:dPr>
            <m:begChr m:val="("/>
            <m:sepChr m:val=""/>
            <m:endChr m:val=")"/>
            <m:grow/>
          </m:dPr>
          <m:e>
            <m:r>
              <m:t>0</m:t>
            </m:r>
            <m:r>
              <m:rPr>
                <m:sty m:val="p"/>
              </m:rPr>
              <m:t>,</m:t>
            </m:r>
            <m:sSup>
              <m:e>
                <m:r>
                  <m:t>0.015</m:t>
                </m:r>
              </m:e>
              <m:sup>
                <m:r>
                  <m:t>2</m:t>
                </m:r>
              </m:sup>
            </m:sSup>
          </m:e>
        </m:d>
      </m:oMath>
      <w:r>
        <w:t xml:space="preserve">.</w:t>
      </w:r>
    </w:p>
    <w:bookmarkEnd w:id="28"/>
    <w:bookmarkStart w:id="29" w:name="birthdeath-offset"/>
    <w:p>
      <w:pPr>
        <w:pStyle w:val="Heading3"/>
      </w:pPr>
      <w:r>
        <w:t xml:space="preserve">4.2 Birth/Death Offset</w:t>
      </w:r>
    </w:p>
    <w:p>
      <w:pPr>
        <w:pStyle w:val="FirstParagraph"/>
      </w:pPr>
      <m:oMathPara>
        <m:oMathParaPr>
          <m:jc m:val="center"/>
        </m:oMathParaPr>
        <m:oMath>
          <m:r>
            <m:rPr>
              <m:nor/>
              <m:sty m:val="p"/>
            </m:rPr>
            <m:t>bd</m:t>
          </m:r>
          <m:r>
            <m:rPr>
              <m:sty m:val="p"/>
            </m:rPr>
            <m:t>∼</m:t>
          </m:r>
          <m:r>
            <m:rPr>
              <m:sty m:val="p"/>
              <m:scr m:val="script"/>
            </m:rPr>
            <m:t>N</m:t>
          </m:r>
          <m:d>
            <m:dPr>
              <m:begChr m:val="("/>
              <m:sepChr m:val=""/>
              <m:endChr m:val=")"/>
              <m:grow/>
            </m:dPr>
            <m:e>
              <m:r>
                <m:t>0.001</m:t>
              </m:r>
              <m:r>
                <m:rPr>
                  <m:sty m:val="p"/>
                </m:rPr>
                <m:t>,</m:t>
              </m:r>
              <m:sSup>
                <m:e>
                  <m:r>
                    <m:t>0.002</m:t>
                  </m:r>
                </m:e>
                <m:sup>
                  <m:r>
                    <m:t>2</m:t>
                  </m:r>
                </m:sup>
              </m:sSup>
            </m:e>
          </m:d>
        </m:oMath>
      </m:oMathPara>
    </w:p>
    <w:p>
      <w:pPr>
        <w:pStyle w:val="FirstParagraph"/>
      </w:pPr>
      <w:r>
        <w:t xml:space="preserve">Time-invariant, capturing the systematic difference between continuing-units growth and total employment growth.</w:t>
      </w:r>
    </w:p>
    <w:bookmarkEnd w:id="29"/>
    <w:bookmarkStart w:id="30" w:name="composite-growth-signals"/>
    <w:p>
      <w:pPr>
        <w:pStyle w:val="Heading3"/>
      </w:pPr>
      <w:r>
        <w:t xml:space="preserve">4.3 Composite Growth Signals</w:t>
      </w:r>
    </w:p>
    <w:tbl>
      <w:tblPr>
        <w:tblStyle w:val="Table"/>
        <w:tblW w:type="pct" w:w="5000"/>
        <w:tblLayout w:type="fixed"/>
        <w:tblLook w:firstRow="1" w:lastRow="0" w:firstColumn="0" w:lastColumn="0" w:noHBand="0" w:noVBand="0" w:val="0020"/>
      </w:tblPr>
      <w:tblGrid>
        <w:gridCol w:w="2200"/>
        <w:gridCol w:w="2420"/>
        <w:gridCol w:w="3300"/>
      </w:tblGrid>
      <w:tr>
        <w:trPr>
          <w:tblHeader w:val="on"/>
        </w:trPr>
        <w:tc>
          <w:tcPr/>
          <w:p>
            <w:pPr>
              <w:pStyle w:val="Compact"/>
            </w:pPr>
            <w:r>
              <w:t xml:space="preserve">Signal</w:t>
            </w:r>
          </w:p>
        </w:tc>
        <w:tc>
          <w:tcPr/>
          <w:p>
            <w:pPr>
              <w:pStyle w:val="Compact"/>
            </w:pPr>
            <w:r>
              <w:t xml:space="preserve">Formula</w:t>
            </w:r>
          </w:p>
        </w:tc>
        <w:tc>
          <w:tcPr/>
          <w:p>
            <w:pPr>
              <w:pStyle w:val="Compact"/>
            </w:pPr>
            <w:r>
              <w:t xml:space="preserve">Observed by</w:t>
            </w:r>
          </w:p>
        </w:tc>
      </w:tr>
      <w:tr>
        <w:tc>
          <w:tcPr/>
          <w:p>
            <w:pPr>
              <w:pStyle w:val="Compact"/>
            </w:pPr>
            <w:r>
              <w:t xml:space="preserve">NSA continuing-units</w:t>
            </w:r>
          </w:p>
        </w:tc>
        <w:tc>
          <w:tcPr/>
          <w:p>
            <w:pPr>
              <w:pStyle w:val="Compact"/>
            </w:pPr>
            <m:oMath>
              <m:sSubSup>
                <m:e>
                  <m:r>
                    <m:t>g</m:t>
                  </m:r>
                </m:e>
                <m:sub>
                  <m:r>
                    <m:t>t</m:t>
                  </m:r>
                </m:sub>
                <m:sup>
                  <m:r>
                    <m:rPr>
                      <m:nor/>
                      <m:sty m:val="p"/>
                    </m:rPr>
                    <m:t>cont,nsa</m:t>
                  </m:r>
                </m:sup>
              </m:sSubSup>
              <m:r>
                <m:rPr>
                  <m:sty m:val="p"/>
                </m:rPr>
                <m:t>=</m:t>
              </m:r>
              <m:sSubSup>
                <m:e>
                  <m:r>
                    <m:t>g</m:t>
                  </m:r>
                </m:e>
                <m:sub>
                  <m:r>
                    <m:t>t</m:t>
                  </m:r>
                </m:sub>
                <m:sup>
                  <m:r>
                    <m:rPr>
                      <m:nor/>
                      <m:sty m:val="p"/>
                    </m:rPr>
                    <m:t>cont</m:t>
                  </m:r>
                </m:sup>
              </m:sSubSup>
              <m:r>
                <m:rPr>
                  <m:sty m:val="p"/>
                </m:rPr>
                <m:t>+</m:t>
              </m:r>
              <m:sSub>
                <m:e>
                  <m:r>
                    <m:t>s</m:t>
                  </m:r>
                </m:e>
                <m:sub>
                  <m:r>
                    <m:t>t</m:t>
                  </m:r>
                </m:sub>
              </m:sSub>
            </m:oMath>
          </w:p>
        </w:tc>
        <w:tc>
          <w:tcPr/>
          <w:p>
            <w:pPr>
              <w:pStyle w:val="Compact"/>
            </w:pPr>
            <w:r>
              <w:t xml:space="preserve">PP1, PP2</w:t>
            </w:r>
          </w:p>
        </w:tc>
      </w:tr>
      <w:tr>
        <w:tc>
          <w:tcPr/>
          <w:p>
            <w:pPr>
              <w:pStyle w:val="Compact"/>
            </w:pPr>
            <w:r>
              <w:t xml:space="preserve">SA total employment</w:t>
            </w:r>
          </w:p>
        </w:tc>
        <w:tc>
          <w:tcPr/>
          <w:p>
            <w:pPr>
              <w:pStyle w:val="Compact"/>
            </w:pPr>
            <m:oMath>
              <m:sSubSup>
                <m:e>
                  <m:r>
                    <m:t>g</m:t>
                  </m:r>
                </m:e>
                <m:sub>
                  <m:r>
                    <m:t>t</m:t>
                  </m:r>
                </m:sub>
                <m:sup>
                  <m:r>
                    <m:rPr>
                      <m:nor/>
                      <m:sty m:val="p"/>
                    </m:rPr>
                    <m:t>total,sa</m:t>
                  </m:r>
                </m:sup>
              </m:sSubSup>
              <m:r>
                <m:rPr>
                  <m:sty m:val="p"/>
                </m:rPr>
                <m:t>=</m:t>
              </m:r>
              <m:sSubSup>
                <m:e>
                  <m:r>
                    <m:t>g</m:t>
                  </m:r>
                </m:e>
                <m:sub>
                  <m:r>
                    <m:t>t</m:t>
                  </m:r>
                </m:sub>
                <m:sup>
                  <m:r>
                    <m:rPr>
                      <m:nor/>
                      <m:sty m:val="p"/>
                    </m:rPr>
                    <m:t>cont</m:t>
                  </m:r>
                </m:sup>
              </m:sSubSup>
              <m:r>
                <m:rPr>
                  <m:sty m:val="p"/>
                </m:rPr>
                <m:t>+</m:t>
              </m:r>
              <m:r>
                <m:rPr>
                  <m:nor/>
                  <m:sty m:val="p"/>
                </m:rPr>
                <m:t>bd</m:t>
              </m:r>
            </m:oMath>
          </w:p>
        </w:tc>
        <w:tc>
          <w:tcPr/>
          <w:p>
            <w:pPr>
              <w:pStyle w:val="Compact"/>
            </w:pPr>
            <w:r>
              <w:t xml:space="preserve">CES SA</w:t>
            </w:r>
          </w:p>
        </w:tc>
      </w:tr>
      <w:tr>
        <w:tc>
          <w:tcPr/>
          <w:p>
            <w:pPr>
              <w:pStyle w:val="Compact"/>
            </w:pPr>
            <w:r>
              <w:t xml:space="preserve">NSA total employment</w:t>
            </w:r>
          </w:p>
        </w:tc>
        <w:tc>
          <w:tcPr/>
          <w:p>
            <w:pPr>
              <w:pStyle w:val="Compact"/>
            </w:pPr>
            <m:oMath>
              <m:sSubSup>
                <m:e>
                  <m:r>
                    <m:t>g</m:t>
                  </m:r>
                </m:e>
                <m:sub>
                  <m:r>
                    <m:t>t</m:t>
                  </m:r>
                </m:sub>
                <m:sup>
                  <m:r>
                    <m:rPr>
                      <m:nor/>
                      <m:sty m:val="p"/>
                    </m:rPr>
                    <m:t>total,nsa</m:t>
                  </m:r>
                </m:sup>
              </m:sSubSup>
              <m:r>
                <m:rPr>
                  <m:sty m:val="p"/>
                </m:rPr>
                <m:t>=</m:t>
              </m:r>
              <m:sSubSup>
                <m:e>
                  <m:r>
                    <m:t>g</m:t>
                  </m:r>
                </m:e>
                <m:sub>
                  <m:r>
                    <m:t>t</m:t>
                  </m:r>
                </m:sub>
                <m:sup>
                  <m:r>
                    <m:rPr>
                      <m:nor/>
                      <m:sty m:val="p"/>
                    </m:rPr>
                    <m:t>cont</m:t>
                  </m:r>
                </m:sup>
              </m:sSubSup>
              <m:r>
                <m:rPr>
                  <m:sty m:val="p"/>
                </m:rPr>
                <m:t>+</m:t>
              </m:r>
              <m:sSub>
                <m:e>
                  <m:r>
                    <m:t>s</m:t>
                  </m:r>
                </m:e>
                <m:sub>
                  <m:r>
                    <m:t>t</m:t>
                  </m:r>
                </m:sub>
              </m:sSub>
              <m:r>
                <m:rPr>
                  <m:sty m:val="p"/>
                </m:rPr>
                <m:t>+</m:t>
              </m:r>
              <m:r>
                <m:rPr>
                  <m:nor/>
                  <m:sty m:val="p"/>
                </m:rPr>
                <m:t>bd</m:t>
              </m:r>
            </m:oMath>
          </w:p>
        </w:tc>
        <w:tc>
          <w:tcPr/>
          <w:p>
            <w:pPr>
              <w:pStyle w:val="Compact"/>
            </w:pPr>
            <w:r>
              <w:t xml:space="preserve">CES NSA, QCEW</w:t>
            </w:r>
          </w:p>
        </w:tc>
      </w:tr>
    </w:tbl>
    <w:bookmarkEnd w:id="30"/>
    <w:bookmarkStart w:id="31" w:name="qcew-likelihood-truth-anchor"/>
    <w:p>
      <w:pPr>
        <w:pStyle w:val="Heading3"/>
      </w:pPr>
      <w:r>
        <w:t xml:space="preserve">4.4 QCEW Likelihood — Truth Anchor</w:t>
      </w:r>
    </w:p>
    <w:p>
      <w:pPr>
        <w:pStyle w:val="FirstParagraph"/>
      </w:pPr>
      <w:r>
        <w:t xml:space="preserve">QCEW defines the measurement scale with</w:t>
      </w:r>
      <w:r>
        <w:t xml:space="preserve"> </w:t>
      </w:r>
      <m:oMath>
        <m:r>
          <m:t>α</m:t>
        </m:r>
        <m:r>
          <m:rPr>
            <m:sty m:val="p"/>
          </m:rPr>
          <m:t>=</m:t>
        </m:r>
        <m:r>
          <m:t>0</m:t>
        </m:r>
      </m:oMath>
      <w:r>
        <w:t xml:space="preserve">,</w:t>
      </w:r>
      <w:r>
        <w:t xml:space="preserve"> </w:t>
      </w:r>
      <m:oMath>
        <m:r>
          <m:t>λ</m:t>
        </m:r>
        <m:r>
          <m:rPr>
            <m:sty m:val="p"/>
          </m:rPr>
          <m:t>=</m:t>
        </m:r>
        <m:r>
          <m:t>1</m:t>
        </m:r>
      </m:oMath>
      <w:r>
        <w:t xml:space="preserve">, and fixed noise that varies by month-in-quarter:</w:t>
      </w:r>
    </w:p>
    <w:p>
      <w:pPr>
        <w:pStyle w:val="BodyText"/>
      </w:pPr>
      <m:oMathPara>
        <m:oMathParaPr>
          <m:jc m:val="center"/>
        </m:oMathParaPr>
        <m:oMath>
          <m:sSubSup>
            <m:e>
              <m:r>
                <m:t>y</m:t>
              </m:r>
            </m:e>
            <m:sub>
              <m:r>
                <m:t>t</m:t>
              </m:r>
            </m:sub>
            <m:sup>
              <m:r>
                <m:rPr>
                  <m:nor/>
                  <m:sty m:val="p"/>
                </m:rPr>
                <m:t>QCEW</m:t>
              </m:r>
            </m:sup>
          </m:sSubSup>
          <m:r>
            <m:rPr>
              <m:sty m:val="p"/>
            </m:rPr>
            <m:t>=</m:t>
          </m:r>
          <m:sSubSup>
            <m:e>
              <m:r>
                <m:t>g</m:t>
              </m:r>
            </m:e>
            <m:sub>
              <m:r>
                <m:t>t</m:t>
              </m:r>
            </m:sub>
            <m:sup>
              <m:r>
                <m:rPr>
                  <m:nor/>
                  <m:sty m:val="p"/>
                </m:rPr>
                <m:t>total,nsa</m:t>
              </m:r>
            </m:sup>
          </m:sSubSup>
          <m:r>
            <m:rPr>
              <m:sty m:val="p"/>
            </m:rPr>
            <m:t>+</m:t>
          </m:r>
          <m:sSubSup>
            <m:e>
              <m:r>
                <m:t>ε</m:t>
              </m:r>
            </m:e>
            <m:sub>
              <m:r>
                <m:t>t</m:t>
              </m:r>
            </m:sub>
            <m:sup>
              <m:r>
                <m:rPr>
                  <m:nor/>
                  <m:sty m:val="p"/>
                </m:rPr>
                <m:t>QCEW</m:t>
              </m:r>
            </m:sup>
          </m:sSubSup>
          <m:r>
            <m:rPr>
              <m:sty m:val="p"/>
            </m:rPr>
            <m:t>,</m:t>
          </m:r>
          <m:r>
            <m:t>  </m:t>
          </m:r>
          <m:sSubSup>
            <m:e>
              <m:r>
                <m:t>ε</m:t>
              </m:r>
            </m:e>
            <m:sub>
              <m:r>
                <m:t>t</m:t>
              </m:r>
            </m:sub>
            <m:sup>
              <m:r>
                <m:rPr>
                  <m:nor/>
                  <m:sty m:val="p"/>
                </m:rPr>
                <m:t>QCEW</m:t>
              </m:r>
            </m:sup>
          </m:sSubSup>
          <m:r>
            <m:rPr>
              <m:sty m:val="p"/>
            </m:rPr>
            <m:t>∼</m:t>
          </m:r>
          <m:r>
            <m:rPr>
              <m:sty m:val="p"/>
              <m:scr m:val="script"/>
            </m:rPr>
            <m:t>N</m:t>
          </m:r>
          <m:d>
            <m:dPr>
              <m:begChr m:val="("/>
              <m:sepChr m:val=""/>
              <m:endChr m:val=")"/>
              <m:grow/>
            </m:dPr>
            <m:e>
              <m:r>
                <m:t>0</m:t>
              </m:r>
              <m:r>
                <m:rPr>
                  <m:sty m:val="p"/>
                </m:rPr>
                <m:t>,</m:t>
              </m:r>
              <m:sSubSup>
                <m:e>
                  <m:r>
                    <m:t>σ</m:t>
                  </m:r>
                </m:e>
                <m:sub>
                  <m:r>
                    <m:rPr>
                      <m:nor/>
                      <m:sty m:val="p"/>
                    </m:rPr>
                    <m:t>QCEW</m:t>
                  </m:r>
                  <m:r>
                    <m:rPr>
                      <m:sty m:val="p"/>
                    </m:rPr>
                    <m:t>,</m:t>
                  </m:r>
                  <m:r>
                    <m:t>t</m:t>
                  </m:r>
                </m:sub>
                <m:sup>
                  <m:r>
                    <m:t>2</m:t>
                  </m:r>
                </m:sup>
              </m:sSubSup>
            </m:e>
          </m:d>
        </m:oMath>
      </m:oMathPara>
    </w:p>
    <w:p>
      <w:pPr>
        <w:pStyle w:val="FirstParagraph"/>
      </w:pPr>
      <m:oMathPara>
        <m:oMathParaPr>
          <m:jc m:val="center"/>
        </m:oMathParaPr>
        <m:oMath>
          <m:sSub>
            <m:e>
              <m:r>
                <m:t>σ</m:t>
              </m:r>
            </m:e>
            <m:sub>
              <m:r>
                <m:rPr>
                  <m:nor/>
                  <m:sty m:val="p"/>
                </m:rPr>
                <m:t>QCEW</m:t>
              </m:r>
              <m:r>
                <m:rPr>
                  <m:sty m:val="p"/>
                </m:rPr>
                <m:t>,</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0.0005</m:t>
                    </m:r>
                  </m:e>
                  <m:e>
                    <m:r>
                      <m:rPr>
                        <m:nor/>
                        <m:sty m:val="p"/>
                      </m:rPr>
                      <m:t>quarter-end month (M3: Mar, Jun, Sep, Dec)</m:t>
                    </m:r>
                  </m:e>
                </m:mr>
                <m:mr>
                  <m:e>
                    <m:r>
                      <m:t>0.0015</m:t>
                    </m:r>
                  </m:e>
                  <m:e>
                    <m:r>
                      <m:rPr>
                        <m:nor/>
                        <m:sty m:val="p"/>
                      </m:rPr>
                      <m:t>mid-quarter month (M1–2)</m:t>
                    </m:r>
                  </m:e>
                </m:mr>
              </m:m>
            </m:e>
          </m:d>
        </m:oMath>
      </m:oMathPara>
    </w:p>
    <w:p>
      <w:pPr>
        <w:pStyle w:val="FirstParagraph"/>
      </w:pPr>
      <w:r>
        <w:rPr>
          <w:b/>
          <w:bCs/>
        </w:rPr>
        <w:t xml:space="preserve">Why fixed sigma.</w:t>
      </w:r>
      <w:r>
        <w:t xml:space="preserve"> </w:t>
      </w:r>
      <w:r>
        <w:t xml:space="preserve">Estimating</w:t>
      </w:r>
      <w:r>
        <w:t xml:space="preserve"> </w:t>
      </w:r>
      <m:oMath>
        <m:sSub>
          <m:e>
            <m:r>
              <m:t>σ</m:t>
            </m:r>
          </m:e>
          <m:sub>
            <m:r>
              <m:rPr>
                <m:nor/>
                <m:sty m:val="p"/>
              </m:rPr>
              <m:t>QCEW</m:t>
            </m:r>
          </m:sub>
        </m:sSub>
      </m:oMath>
      <w:r>
        <w:t xml:space="preserve"> </w:t>
      </w:r>
      <w:r>
        <w:t xml:space="preserve">would allow the model to discount QCEW, undermining its anchor role. The fixed values are calibrated: 0.05%/mo for M3 reflects near-census quality (</w:t>
      </w:r>
      <m:oMath>
        <m:r>
          <m:rPr>
            <m:sty m:val="p"/>
          </m:rPr>
          <m:t>±</m:t>
        </m:r>
      </m:oMath>
      <w:r>
        <w:t xml:space="preserve">~6,500 jobs at current levels); 0.15%/mo for M1–2 reflects the additional uncertainty from retrospective UI reporting (these months are not from the current reference period’s filing). These values were tightened from an earlier calibration (0.1% / 0.3%) after diagnostics revealed the looser values gave QCEW only ~4% of the precision budget—insufficient for the anchor to actually constrain the latent trajectory, which drifted systematically below QCEW observations as CES (95% precision share) dominated month-to-month filtering.</w:t>
      </w:r>
    </w:p>
    <w:p>
      <w:pPr>
        <w:pStyle w:val="BodyText"/>
      </w:pPr>
      <w:r>
        <w:rPr>
          <w:b/>
          <w:bCs/>
        </w:rPr>
        <w:t xml:space="preserve">Why QCEW over CES as anchor.</w:t>
      </w:r>
      <w:r>
        <w:t xml:space="preserve"> </w:t>
      </w:r>
      <w:r>
        <w:t xml:space="preserve">At the national level, CES is highly precise, but the architecture must scale to state</w:t>
      </w:r>
      <w:r>
        <w:t xml:space="preserve"> </w:t>
      </w:r>
      <m:oMath>
        <m:r>
          <m:rPr>
            <m:sty m:val="p"/>
          </m:rPr>
          <m:t>×</m:t>
        </m:r>
      </m:oMath>
      <w:r>
        <w:t xml:space="preserve"> </w:t>
      </w:r>
      <w:r>
        <w:t xml:space="preserve">supersector where CES sample sizes shrink by 1–2 orders of magnitude. QCEW’s administrative coverage is scale-invariant.</w:t>
      </w:r>
    </w:p>
    <w:bookmarkEnd w:id="31"/>
    <w:bookmarkStart w:id="32" w:name="ces-likelihood-noisy-observation"/>
    <w:p>
      <w:pPr>
        <w:pStyle w:val="Heading3"/>
      </w:pPr>
      <w:r>
        <w:t xml:space="preserve">4.5 CES Likelihood — Noisy Observation</w:t>
      </w:r>
    </w:p>
    <w:p>
      <w:pPr>
        <w:pStyle w:val="FirstParagraph"/>
      </w:pPr>
      <m:oMathPara>
        <m:oMathParaPr>
          <m:jc m:val="center"/>
        </m:oMathParaPr>
        <m:oMath>
          <m:sSubSup>
            <m:e>
              <m:r>
                <m:t>y</m:t>
              </m:r>
            </m:e>
            <m:sub>
              <m:r>
                <m:t>t</m:t>
              </m:r>
            </m:sub>
            <m:sup>
              <m:r>
                <m:rPr>
                  <m:nor/>
                  <m:sty m:val="p"/>
                </m:rPr>
                <m:t>CES,SA</m:t>
              </m:r>
            </m:sup>
          </m:sSubSup>
          <m:r>
            <m:rPr>
              <m:sty m:val="p"/>
            </m:rPr>
            <m:t>=</m:t>
          </m:r>
          <m:sSub>
            <m:e>
              <m:r>
                <m:t>α</m:t>
              </m:r>
            </m:e>
            <m:sub>
              <m:r>
                <m:rPr>
                  <m:nor/>
                  <m:sty m:val="p"/>
                </m:rPr>
                <m:t>CES</m:t>
              </m:r>
            </m:sub>
          </m:sSub>
          <m:r>
            <m:rPr>
              <m:sty m:val="p"/>
            </m:rPr>
            <m:t>+</m:t>
          </m:r>
          <m:sSub>
            <m:e>
              <m:r>
                <m:t>λ</m:t>
              </m:r>
            </m:e>
            <m:sub>
              <m:r>
                <m:rPr>
                  <m:nor/>
                  <m:sty m:val="p"/>
                </m:rPr>
                <m:t>CES</m:t>
              </m:r>
            </m:sub>
          </m:sSub>
          <m:r>
            <m:rPr>
              <m:sty m:val="p"/>
            </m:rPr>
            <m:t>⋅</m:t>
          </m:r>
          <m:sSubSup>
            <m:e>
              <m:r>
                <m:t>g</m:t>
              </m:r>
            </m:e>
            <m:sub>
              <m:r>
                <m:t>t</m:t>
              </m:r>
            </m:sub>
            <m:sup>
              <m:r>
                <m:rPr>
                  <m:nor/>
                  <m:sty m:val="p"/>
                </m:rPr>
                <m:t>total,sa</m:t>
              </m:r>
            </m:sup>
          </m:sSubSup>
          <m:r>
            <m:rPr>
              <m:sty m:val="p"/>
            </m:rPr>
            <m:t>+</m:t>
          </m:r>
          <m:sSubSup>
            <m:e>
              <m:r>
                <m:t>ε</m:t>
              </m:r>
            </m:e>
            <m:sub>
              <m:r>
                <m:t>t</m:t>
              </m:r>
            </m:sub>
            <m:sup>
              <m:r>
                <m:rPr>
                  <m:nor/>
                  <m:sty m:val="p"/>
                </m:rPr>
                <m:t>SA</m:t>
              </m:r>
            </m:sup>
          </m:sSubSup>
          <m:r>
            <m:rPr>
              <m:sty m:val="p"/>
            </m:rPr>
            <m:t>,</m:t>
          </m:r>
          <m:r>
            <m:t>  </m:t>
          </m:r>
          <m:sSubSup>
            <m:e>
              <m:r>
                <m:t>ε</m:t>
              </m:r>
            </m:e>
            <m:sub>
              <m:r>
                <m:t>t</m:t>
              </m:r>
            </m:sub>
            <m:sup>
              <m:r>
                <m:rPr>
                  <m:nor/>
                  <m:sty m:val="p"/>
                </m:rPr>
                <m:t>SA</m:t>
              </m:r>
            </m:sup>
          </m:sSubSup>
          <m:r>
            <m:rPr>
              <m:sty m:val="p"/>
            </m:rPr>
            <m:t>∼</m:t>
          </m:r>
          <m:r>
            <m:rPr>
              <m:sty m:val="p"/>
              <m:scr m:val="script"/>
            </m:rPr>
            <m:t>N</m:t>
          </m:r>
          <m:d>
            <m:dPr>
              <m:begChr m:val="("/>
              <m:sepChr m:val=""/>
              <m:endChr m:val=")"/>
              <m:grow/>
            </m:dPr>
            <m:e>
              <m:r>
                <m:t>0</m:t>
              </m:r>
              <m:r>
                <m:rPr>
                  <m:sty m:val="p"/>
                </m:rPr>
                <m:t>,</m:t>
              </m:r>
              <m:sSubSup>
                <m:e>
                  <m:r>
                    <m:t>σ</m:t>
                  </m:r>
                </m:e>
                <m:sub>
                  <m:r>
                    <m:rPr>
                      <m:nor/>
                      <m:sty m:val="p"/>
                    </m:rPr>
                    <m:t>CES,SA</m:t>
                  </m:r>
                </m:sub>
                <m:sup>
                  <m:r>
                    <m:t>2</m:t>
                  </m:r>
                </m:sup>
              </m:sSubSup>
            </m:e>
          </m:d>
        </m:oMath>
      </m:oMathPara>
    </w:p>
    <w:p>
      <w:pPr>
        <w:pStyle w:val="FirstParagraph"/>
      </w:pPr>
      <m:oMathPara>
        <m:oMathParaPr>
          <m:jc m:val="center"/>
        </m:oMathParaPr>
        <m:oMath>
          <m:sSubSup>
            <m:e>
              <m:r>
                <m:t>y</m:t>
              </m:r>
            </m:e>
            <m:sub>
              <m:r>
                <m:t>t</m:t>
              </m:r>
            </m:sub>
            <m:sup>
              <m:r>
                <m:rPr>
                  <m:nor/>
                  <m:sty m:val="p"/>
                </m:rPr>
                <m:t>CES,NSA</m:t>
              </m:r>
            </m:sup>
          </m:sSubSup>
          <m:r>
            <m:rPr>
              <m:sty m:val="p"/>
            </m:rPr>
            <m:t>=</m:t>
          </m:r>
          <m:sSub>
            <m:e>
              <m:r>
                <m:t>α</m:t>
              </m:r>
            </m:e>
            <m:sub>
              <m:r>
                <m:rPr>
                  <m:nor/>
                  <m:sty m:val="p"/>
                </m:rPr>
                <m:t>CES</m:t>
              </m:r>
            </m:sub>
          </m:sSub>
          <m:r>
            <m:rPr>
              <m:sty m:val="p"/>
            </m:rPr>
            <m:t>+</m:t>
          </m:r>
          <m:sSub>
            <m:e>
              <m:r>
                <m:t>λ</m:t>
              </m:r>
            </m:e>
            <m:sub>
              <m:r>
                <m:rPr>
                  <m:nor/>
                  <m:sty m:val="p"/>
                </m:rPr>
                <m:t>CES</m:t>
              </m:r>
            </m:sub>
          </m:sSub>
          <m:r>
            <m:rPr>
              <m:sty m:val="p"/>
            </m:rPr>
            <m:t>⋅</m:t>
          </m:r>
          <m:sSubSup>
            <m:e>
              <m:r>
                <m:t>g</m:t>
              </m:r>
            </m:e>
            <m:sub>
              <m:r>
                <m:t>t</m:t>
              </m:r>
            </m:sub>
            <m:sup>
              <m:r>
                <m:rPr>
                  <m:nor/>
                  <m:sty m:val="p"/>
                </m:rPr>
                <m:t>total,nsa</m:t>
              </m:r>
            </m:sup>
          </m:sSubSup>
          <m:r>
            <m:rPr>
              <m:sty m:val="p"/>
            </m:rPr>
            <m:t>+</m:t>
          </m:r>
          <m:sSubSup>
            <m:e>
              <m:r>
                <m:t>ε</m:t>
              </m:r>
            </m:e>
            <m:sub>
              <m:r>
                <m:t>t</m:t>
              </m:r>
            </m:sub>
            <m:sup>
              <m:r>
                <m:rPr>
                  <m:nor/>
                  <m:sty m:val="p"/>
                </m:rPr>
                <m:t>NSA</m:t>
              </m:r>
            </m:sup>
          </m:sSubSup>
          <m:r>
            <m:rPr>
              <m:sty m:val="p"/>
            </m:rPr>
            <m:t>,</m:t>
          </m:r>
          <m:r>
            <m:t>  </m:t>
          </m:r>
          <m:sSubSup>
            <m:e>
              <m:r>
                <m:t>ε</m:t>
              </m:r>
            </m:e>
            <m:sub>
              <m:r>
                <m:t>t</m:t>
              </m:r>
            </m:sub>
            <m:sup>
              <m:r>
                <m:rPr>
                  <m:nor/>
                  <m:sty m:val="p"/>
                </m:rPr>
                <m:t>NSA</m:t>
              </m:r>
            </m:sup>
          </m:sSubSup>
          <m:r>
            <m:rPr>
              <m:sty m:val="p"/>
            </m:rPr>
            <m:t>∼</m:t>
          </m:r>
          <m:r>
            <m:rPr>
              <m:sty m:val="p"/>
              <m:scr m:val="script"/>
            </m:rPr>
            <m:t>N</m:t>
          </m:r>
          <m:d>
            <m:dPr>
              <m:begChr m:val="("/>
              <m:sepChr m:val=""/>
              <m:endChr m:val=")"/>
              <m:grow/>
            </m:dPr>
            <m:e>
              <m:r>
                <m:t>0</m:t>
              </m:r>
              <m:r>
                <m:rPr>
                  <m:sty m:val="p"/>
                </m:rPr>
                <m:t>,</m:t>
              </m:r>
              <m:sSubSup>
                <m:e>
                  <m:r>
                    <m:t>σ</m:t>
                  </m:r>
                </m:e>
                <m:sub>
                  <m:r>
                    <m:rPr>
                      <m:nor/>
                      <m:sty m:val="p"/>
                    </m:rPr>
                    <m:t>CES,NSA</m:t>
                  </m:r>
                </m:sub>
                <m:sup>
                  <m:r>
                    <m:t>2</m:t>
                  </m:r>
                </m:sup>
              </m:sSubSup>
            </m:e>
          </m:d>
        </m:oMath>
      </m:oMathPara>
    </w:p>
    <w:p>
      <w:pPr>
        <w:pStyle w:val="FirstParagraph"/>
      </w:pPr>
      <w:r>
        <w:t xml:space="preserve">SA and NSA share</w:t>
      </w:r>
      <w:r>
        <w:t xml:space="preserve"> </w:t>
      </w:r>
      <m:oMath>
        <m:sSub>
          <m:e>
            <m:r>
              <m:t>α</m:t>
            </m:r>
          </m:e>
          <m:sub>
            <m:r>
              <m:rPr>
                <m:nor/>
                <m:sty m:val="p"/>
              </m:rPr>
              <m:t>CES</m:t>
            </m:r>
          </m:sub>
        </m:sSub>
      </m:oMath>
      <w:r>
        <w:t xml:space="preserve"> </w:t>
      </w:r>
      <w:r>
        <w:t xml:space="preserve">and</w:t>
      </w:r>
      <w:r>
        <w:t xml:space="preserve"> </w:t>
      </w:r>
      <m:oMath>
        <m:sSub>
          <m:e>
            <m:r>
              <m:t>λ</m:t>
            </m:r>
          </m:e>
          <m:sub>
            <m:r>
              <m:rPr>
                <m:nor/>
                <m:sty m:val="p"/>
              </m:rPr>
              <m:t>CES</m:t>
            </m:r>
          </m:sub>
        </m:sSub>
      </m:oMath>
      <w:r>
        <w:t xml:space="preserve"> </w:t>
      </w:r>
      <w:r>
        <w:t xml:space="preserve">but have separate noise parameters.</w:t>
      </w:r>
    </w:p>
    <w:tbl>
      <w:tblPr>
        <w:tblStyle w:val="Table"/>
        <w:tblW w:type="pct" w:w="5000"/>
        <w:tblLayout w:type="fixed"/>
        <w:tblLook w:firstRow="1" w:lastRow="0" w:firstColumn="0" w:lastColumn="0" w:noHBand="0" w:noVBand="0" w:val="0020"/>
      </w:tblPr>
      <w:tblGrid>
        <w:gridCol w:w="2860"/>
        <w:gridCol w:w="2200"/>
        <w:gridCol w:w="2860"/>
      </w:tblGrid>
      <w:tr>
        <w:trPr>
          <w:tblHeader w:val="on"/>
        </w:trPr>
        <w:tc>
          <w:tcPr/>
          <w:p>
            <w:pPr>
              <w:pStyle w:val="Compact"/>
            </w:pPr>
            <w:r>
              <w:t xml:space="preserve">Parameter</w:t>
            </w:r>
          </w:p>
        </w:tc>
        <w:tc>
          <w:tcPr/>
          <w:p>
            <w:pPr>
              <w:pStyle w:val="Compact"/>
            </w:pPr>
            <w:r>
              <w:t xml:space="preserve">Prior</w:t>
            </w:r>
          </w:p>
        </w:tc>
        <w:tc>
          <w:tcPr/>
          <w:p>
            <w:pPr>
              <w:pStyle w:val="Compact"/>
            </w:pPr>
            <w:r>
              <w:t xml:space="preserve">Rationale</w:t>
            </w:r>
          </w:p>
        </w:tc>
      </w:tr>
      <w:tr>
        <w:tc>
          <w:tcPr/>
          <w:p>
            <w:pPr>
              <w:pStyle w:val="Compact"/>
            </w:pPr>
            <m:oMath>
              <m:sSub>
                <m:e>
                  <m:r>
                    <m:t>α</m:t>
                  </m:r>
                </m:e>
                <m:sub>
                  <m:r>
                    <m:rPr>
                      <m:nor/>
                      <m:sty m:val="p"/>
                    </m:rPr>
                    <m:t>CES</m:t>
                  </m:r>
                </m:sub>
              </m:sSub>
            </m:oMath>
          </w:p>
        </w:tc>
        <w:tc>
          <w:tcPr/>
          <w:p>
            <w:pPr>
              <w:pStyle w:val="Compact"/>
            </w:pPr>
            <m:oMath>
              <m:r>
                <m:rPr>
                  <m:sty m:val="p"/>
                  <m:scr m:val="script"/>
                </m:rPr>
                <m:t>N</m:t>
              </m:r>
              <m:d>
                <m:dPr>
                  <m:begChr m:val="("/>
                  <m:sepChr m:val=""/>
                  <m:endChr m:val=")"/>
                  <m:grow/>
                </m:dPr>
                <m:e>
                  <m:r>
                    <m:t>0</m:t>
                  </m:r>
                  <m:r>
                    <m:rPr>
                      <m:sty m:val="p"/>
                    </m:rPr>
                    <m:t>,</m:t>
                  </m:r>
                  <m:sSup>
                    <m:e>
                      <m:r>
                        <m:t>0.005</m:t>
                      </m:r>
                    </m:e>
                    <m:sup>
                      <m:r>
                        <m:t>2</m:t>
                      </m:r>
                    </m:sup>
                  </m:sSup>
                </m:e>
              </m:d>
            </m:oMath>
          </w:p>
        </w:tc>
        <w:tc>
          <w:tcPr/>
          <w:p>
            <w:pPr>
              <w:pStyle w:val="Compact"/>
            </w:pPr>
            <w:r>
              <w:t xml:space="preserve">Small bias allowed</w:t>
            </w:r>
          </w:p>
        </w:tc>
      </w:tr>
      <w:tr>
        <w:tc>
          <w:tcPr/>
          <w:p>
            <w:pPr>
              <w:pStyle w:val="Compact"/>
            </w:pPr>
            <m:oMath>
              <m:sSub>
                <m:e>
                  <m:r>
                    <m:t>λ</m:t>
                  </m:r>
                </m:e>
                <m:sub>
                  <m:r>
                    <m:rPr>
                      <m:nor/>
                      <m:sty m:val="p"/>
                    </m:rPr>
                    <m:t>CES</m:t>
                  </m:r>
                </m:sub>
              </m:sSub>
            </m:oMath>
          </w:p>
        </w:tc>
        <w:tc>
          <w:tcPr/>
          <w:p>
            <w:pPr>
              <w:pStyle w:val="Compact"/>
            </w:pPr>
            <m:oMath>
              <m:r>
                <m:rPr>
                  <m:sty m:val="p"/>
                  <m:scr m:val="script"/>
                </m:rPr>
                <m:t>N</m:t>
              </m:r>
              <m:d>
                <m:dPr>
                  <m:begChr m:val="("/>
                  <m:sepChr m:val=""/>
                  <m:endChr m:val=")"/>
                  <m:grow/>
                </m:dPr>
                <m:e>
                  <m:r>
                    <m:t>1.0</m:t>
                  </m:r>
                  <m:r>
                    <m:rPr>
                      <m:sty m:val="p"/>
                    </m:rPr>
                    <m:t>,</m:t>
                  </m:r>
                  <m:sSup>
                    <m:e>
                      <m:r>
                        <m:t>0.25</m:t>
                      </m:r>
                    </m:e>
                    <m:sup>
                      <m:r>
                        <m:t>2</m:t>
                      </m:r>
                    </m:sup>
                  </m:sSup>
                </m:e>
              </m:d>
            </m:oMath>
          </w:p>
        </w:tc>
        <w:tc>
          <w:tcPr/>
          <w:p>
            <w:pPr>
              <w:pStyle w:val="Compact"/>
            </w:pPr>
            <w:r>
              <w:t xml:space="preserve">Centered on unit loading</w:t>
            </w:r>
          </w:p>
        </w:tc>
      </w:tr>
      <w:tr>
        <w:tc>
          <w:tcPr/>
          <w:p>
            <w:pPr>
              <w:pStyle w:val="Compact"/>
            </w:pPr>
            <m:oMath>
              <m:sSub>
                <m:e>
                  <m:r>
                    <m:t>σ</m:t>
                  </m:r>
                </m:e>
                <m:sub>
                  <m:r>
                    <m:rPr>
                      <m:nor/>
                      <m:sty m:val="p"/>
                    </m:rPr>
                    <m:t>CES,SA</m:t>
                  </m:r>
                </m:sub>
              </m:sSub>
            </m:oMath>
          </w:p>
        </w:tc>
        <w:tc>
          <w:tcPr/>
          <w:p>
            <w:pPr>
              <w:pStyle w:val="Compact"/>
            </w:pPr>
            <m:oMath>
              <m:r>
                <m:rPr>
                  <m:nor/>
                  <m:sty m:val="p"/>
                </m:rPr>
                <m:t>InverseGamma</m:t>
              </m:r>
              <m:d>
                <m:dPr>
                  <m:begChr m:val="("/>
                  <m:sepChr m:val=""/>
                  <m:endChr m:val=")"/>
                  <m:grow/>
                </m:dPr>
                <m:e>
                  <m:r>
                    <m:t>3.0</m:t>
                  </m:r>
                  <m:r>
                    <m:rPr>
                      <m:sty m:val="p"/>
                    </m:rPr>
                    <m:t>,</m:t>
                  </m:r>
                  <m:r>
                    <m:t>0.004</m:t>
                  </m:r>
                </m:e>
              </m:d>
            </m:oMath>
          </w:p>
        </w:tc>
        <w:tc>
          <w:tcPr/>
          <w:p>
            <w:pPr>
              <w:pStyle w:val="Compact"/>
            </w:pPr>
            <w:r>
              <w:t xml:space="preserve">Mode</w:t>
            </w:r>
            <w:r>
              <w:t xml:space="preserve"> </w:t>
            </w:r>
            <m:oMath>
              <m:r>
                <m:rPr>
                  <m:sty m:val="p"/>
                </m:rPr>
                <m:t>≈</m:t>
              </m:r>
              <m:r>
                <m:t>0.001</m:t>
              </m:r>
            </m:oMath>
            <w:r>
              <w:t xml:space="preserve">; prevents zero-collapse</w:t>
            </w:r>
          </w:p>
        </w:tc>
      </w:tr>
      <w:tr>
        <w:tc>
          <w:tcPr/>
          <w:p>
            <w:pPr>
              <w:pStyle w:val="Compact"/>
            </w:pPr>
            <m:oMath>
              <m:sSub>
                <m:e>
                  <m:r>
                    <m:t>σ</m:t>
                  </m:r>
                </m:e>
                <m:sub>
                  <m:r>
                    <m:rPr>
                      <m:nor/>
                      <m:sty m:val="p"/>
                    </m:rPr>
                    <m:t>CES,NSA</m:t>
                  </m:r>
                </m:sub>
              </m:sSub>
            </m:oMath>
          </w:p>
        </w:tc>
        <w:tc>
          <w:tcPr/>
          <w:p>
            <w:pPr>
              <w:pStyle w:val="Compact"/>
            </w:pPr>
            <m:oMath>
              <m:r>
                <m:rPr>
                  <m:nor/>
                  <m:sty m:val="p"/>
                </m:rPr>
                <m:t>InverseGamma</m:t>
              </m:r>
              <m:d>
                <m:dPr>
                  <m:begChr m:val="("/>
                  <m:sepChr m:val=""/>
                  <m:endChr m:val=")"/>
                  <m:grow/>
                </m:dPr>
                <m:e>
                  <m:r>
                    <m:t>3.0</m:t>
                  </m:r>
                  <m:r>
                    <m:rPr>
                      <m:sty m:val="p"/>
                    </m:rPr>
                    <m:t>,</m:t>
                  </m:r>
                  <m:r>
                    <m:t>0.004</m:t>
                  </m:r>
                </m:e>
              </m:d>
            </m:oMath>
          </w:p>
        </w:tc>
        <w:tc>
          <w:tcPr/>
          <w:p>
            <w:pPr>
              <w:pStyle w:val="Compact"/>
            </w:pPr>
            <w:r>
              <w:t xml:space="preserve">Mode</w:t>
            </w:r>
            <w:r>
              <w:t xml:space="preserve"> </w:t>
            </w:r>
            <m:oMath>
              <m:r>
                <m:rPr>
                  <m:sty m:val="p"/>
                </m:rPr>
                <m:t>≈</m:t>
              </m:r>
              <m:r>
                <m:t>0.001</m:t>
              </m:r>
            </m:oMath>
            <w:r>
              <w:t xml:space="preserve">; prevents zero-collapse</w:t>
            </w:r>
          </w:p>
        </w:tc>
      </w:tr>
    </w:tbl>
    <w:bookmarkEnd w:id="32"/>
    <w:bookmarkStart w:id="36" w:name="pp-likelihood-independent-providers"/>
    <w:p>
      <w:pPr>
        <w:pStyle w:val="Heading3"/>
      </w:pPr>
      <w:r>
        <w:t xml:space="preserve">4.6 PP Likelihood — Independent Providers</w:t>
      </w:r>
    </w:p>
    <w:p>
      <w:pPr>
        <w:pStyle w:val="FirstParagraph"/>
      </w:pPr>
      <w:r>
        <w:t xml:space="preserve">Each PP series observes NSA continuing-units growth with provider-specific parameters and independent measurement errors:</w:t>
      </w:r>
    </w:p>
    <w:bookmarkStart w:id="33" w:name="pp1-ar1-measurement-error"/>
    <w:p>
      <w:pPr>
        <w:pStyle w:val="Heading4"/>
      </w:pPr>
      <w:r>
        <w:t xml:space="preserve">4.6.1 PP1: AR(1) Measurement Error</w:t>
      </w:r>
    </w:p>
    <w:p>
      <w:pPr>
        <w:pStyle w:val="FirstParagraph"/>
      </w:pPr>
      <w:r>
        <w:t xml:space="preserve">PP1 clients are large multi-establishment firms. Within-client restructuring creates autocorrelated residuals:</w:t>
      </w:r>
    </w:p>
    <w:p>
      <w:pPr>
        <w:pStyle w:val="BodyText"/>
      </w:pPr>
      <m:oMathPara>
        <m:oMathParaPr>
          <m:jc m:val="center"/>
        </m:oMathParaPr>
        <m:oMath>
          <m:sSub>
            <m:e>
              <m:r>
                <m:t>u</m:t>
              </m:r>
            </m:e>
            <m:sub>
              <m:r>
                <m:t>t</m:t>
              </m:r>
            </m:sub>
          </m:sSub>
          <m:r>
            <m:rPr>
              <m:sty m:val="p"/>
            </m:rPr>
            <m:t>=</m:t>
          </m:r>
          <m:r>
            <m:t>ρ</m:t>
          </m:r>
          <m:r>
            <m:t> </m:t>
          </m:r>
          <m:sSub>
            <m:e>
              <m:r>
                <m:t>u</m:t>
              </m:r>
            </m:e>
            <m:sub>
              <m:r>
                <m:t>t</m:t>
              </m:r>
              <m:r>
                <m:rPr>
                  <m:sty m:val="p"/>
                </m:rPr>
                <m:t>−</m:t>
              </m:r>
              <m:r>
                <m:t>1</m:t>
              </m:r>
            </m:sub>
          </m:sSub>
          <m:r>
            <m:rPr>
              <m:sty m:val="p"/>
            </m:rPr>
            <m:t>+</m:t>
          </m:r>
          <m:sSub>
            <m:e>
              <m:r>
                <m:t>η</m:t>
              </m:r>
            </m:e>
            <m:sub>
              <m:r>
                <m:t>t</m:t>
              </m:r>
            </m:sub>
          </m:sSub>
          <m:r>
            <m:rPr>
              <m:sty m:val="p"/>
            </m:rPr>
            <m:t>,</m:t>
          </m:r>
          <m:r>
            <m:t>  </m:t>
          </m:r>
          <m:sSub>
            <m:e>
              <m:r>
                <m:t>η</m:t>
              </m:r>
            </m:e>
            <m:sub>
              <m:r>
                <m:t>t</m:t>
              </m:r>
            </m:sub>
          </m:sSub>
          <m:r>
            <m:rPr>
              <m:sty m:val="p"/>
            </m:rPr>
            <m:t>∼</m:t>
          </m:r>
          <m:r>
            <m:rPr>
              <m:sty m:val="p"/>
              <m:scr m:val="script"/>
            </m:rPr>
            <m:t>N</m:t>
          </m:r>
          <m:d>
            <m:dPr>
              <m:begChr m:val="("/>
              <m:sepChr m:val=""/>
              <m:endChr m:val=")"/>
              <m:grow/>
            </m:dPr>
            <m:e>
              <m:r>
                <m:t>0</m:t>
              </m:r>
              <m:r>
                <m:rPr>
                  <m:sty m:val="p"/>
                </m:rPr>
                <m:t>,</m:t>
              </m:r>
              <m:sSubSup>
                <m:e>
                  <m:r>
                    <m:t>σ</m:t>
                  </m:r>
                </m:e>
                <m:sub>
                  <m:r>
                    <m:t>1</m:t>
                  </m:r>
                </m:sub>
                <m:sup>
                  <m:r>
                    <m:t>2</m:t>
                  </m:r>
                </m:sup>
              </m:sSubSup>
            </m:e>
          </m:d>
        </m:oMath>
      </m:oMathPara>
    </w:p>
    <w:p>
      <w:pPr>
        <w:pStyle w:val="FirstParagraph"/>
      </w:pPr>
      <w:r>
        <w:t xml:space="preserve">Implemented as a conditional likelihood:</w:t>
      </w:r>
    </w:p>
    <w:p>
      <w:pPr>
        <w:pStyle w:val="BodyText"/>
      </w:pPr>
      <m:oMathPara>
        <m:oMathParaPr>
          <m:jc m:val="center"/>
        </m:oMathParaPr>
        <m:oMath>
          <m:sSubSup>
            <m:e>
              <m:r>
                <m:t>y</m:t>
              </m:r>
            </m:e>
            <m:sub>
              <m:r>
                <m:t>1</m:t>
              </m:r>
              <m:r>
                <m:rPr>
                  <m:sty m:val="p"/>
                </m:rPr>
                <m:t>,</m:t>
              </m:r>
              <m:r>
                <m:t>t</m:t>
              </m:r>
            </m:sub>
            <m:sup>
              <m:r>
                <m:rPr>
                  <m:nor/>
                  <m:sty m:val="p"/>
                </m:rPr>
                <m:t>PP</m:t>
              </m:r>
            </m:sup>
          </m:sSubSup>
          <m:r>
            <m:rPr>
              <m:sty m:val="p"/>
            </m:rPr>
            <m:t>∣</m:t>
          </m:r>
          <m:sSubSup>
            <m:e>
              <m:r>
                <m:t>y</m:t>
              </m:r>
            </m:e>
            <m:sub>
              <m:r>
                <m:t>1</m:t>
              </m:r>
              <m:r>
                <m:rPr>
                  <m:sty m:val="p"/>
                </m:rPr>
                <m:t>,</m:t>
              </m:r>
              <m:r>
                <m:t>t</m:t>
              </m:r>
              <m:r>
                <m:rPr>
                  <m:sty m:val="p"/>
                </m:rPr>
                <m:t>−</m:t>
              </m:r>
              <m:r>
                <m:t>1</m:t>
              </m:r>
            </m:sub>
            <m:sup>
              <m:r>
                <m:rPr>
                  <m:nor/>
                  <m:sty m:val="p"/>
                </m:rPr>
                <m:t>PP</m:t>
              </m:r>
            </m:sup>
          </m:sSubSup>
          <m:r>
            <m:rPr>
              <m:sty m:val="p"/>
            </m:rPr>
            <m:t>∼</m:t>
          </m:r>
          <m:r>
            <m:rPr>
              <m:sty m:val="p"/>
              <m:scr m:val="script"/>
            </m:rPr>
            <m:t>N</m:t>
          </m:r>
          <m:r>
            <m:t>​</m:t>
          </m:r>
          <m:d>
            <m:dPr>
              <m:begChr m:val="("/>
              <m:sepChr m:val=""/>
              <m:endChr m:val=")"/>
              <m:grow/>
            </m:dPr>
            <m:e>
              <m:sSub>
                <m:e>
                  <m:r>
                    <m:t>μ</m:t>
                  </m:r>
                </m:e>
                <m:sub>
                  <m:r>
                    <m:t>1</m:t>
                  </m:r>
                  <m:r>
                    <m:rPr>
                      <m:sty m:val="p"/>
                    </m:rPr>
                    <m:t>,</m:t>
                  </m:r>
                  <m:r>
                    <m:t>t</m:t>
                  </m:r>
                </m:sub>
              </m:sSub>
              <m:r>
                <m:rPr>
                  <m:sty m:val="p"/>
                </m:rPr>
                <m:t>+</m:t>
              </m:r>
              <m:r>
                <m:t>ρ</m:t>
              </m:r>
              <m:d>
                <m:dPr>
                  <m:begChr m:val="("/>
                  <m:sepChr m:val=""/>
                  <m:endChr m:val=")"/>
                  <m:grow/>
                </m:dPr>
                <m:e>
                  <m:sSubSup>
                    <m:e>
                      <m:r>
                        <m:t>y</m:t>
                      </m:r>
                    </m:e>
                    <m:sub>
                      <m:r>
                        <m:t>1</m:t>
                      </m:r>
                      <m:r>
                        <m:rPr>
                          <m:sty m:val="p"/>
                        </m:rPr>
                        <m:t>,</m:t>
                      </m:r>
                      <m:r>
                        <m:t>t</m:t>
                      </m:r>
                      <m:r>
                        <m:rPr>
                          <m:sty m:val="p"/>
                        </m:rPr>
                        <m:t>−</m:t>
                      </m:r>
                      <m:r>
                        <m:t>1</m:t>
                      </m:r>
                    </m:sub>
                    <m:sup>
                      <m:r>
                        <m:rPr>
                          <m:nor/>
                          <m:sty m:val="p"/>
                        </m:rPr>
                        <m:t>PP</m:t>
                      </m:r>
                    </m:sup>
                  </m:sSubSup>
                  <m:r>
                    <m:rPr>
                      <m:sty m:val="p"/>
                    </m:rPr>
                    <m:t>−</m:t>
                  </m:r>
                  <m:sSub>
                    <m:e>
                      <m:r>
                        <m:t>μ</m:t>
                      </m:r>
                    </m:e>
                    <m:sub>
                      <m:r>
                        <m:t>1</m:t>
                      </m:r>
                      <m:r>
                        <m:rPr>
                          <m:sty m:val="p"/>
                        </m:rPr>
                        <m:t>,</m:t>
                      </m:r>
                      <m:r>
                        <m:t>t</m:t>
                      </m:r>
                      <m:r>
                        <m:rPr>
                          <m:sty m:val="p"/>
                        </m:rPr>
                        <m:t>−</m:t>
                      </m:r>
                      <m:r>
                        <m:t>1</m:t>
                      </m:r>
                    </m:sub>
                  </m:sSub>
                </m:e>
              </m:d>
              <m:r>
                <m:rPr>
                  <m:sty m:val="p"/>
                </m:rPr>
                <m:t>,</m:t>
              </m:r>
              <m:r>
                <m:t> </m:t>
              </m:r>
              <m:sSubSup>
                <m:e>
                  <m:r>
                    <m:t>σ</m:t>
                  </m:r>
                </m:e>
                <m:sub>
                  <m:r>
                    <m:t>1</m:t>
                  </m:r>
                </m:sub>
                <m:sup>
                  <m:r>
                    <m:t>2</m:t>
                  </m:r>
                </m:sup>
              </m:sSubSup>
            </m:e>
          </m:d>
        </m:oMath>
      </m:oMathPara>
    </w:p>
    <w:p>
      <w:pPr>
        <w:pStyle w:val="FirstParagraph"/>
      </w:pPr>
      <w:r>
        <w:t xml:space="preserve">where</w:t>
      </w:r>
      <w:r>
        <w:t xml:space="preserve"> </w:t>
      </w:r>
      <m:oMath>
        <m:sSub>
          <m:e>
            <m:r>
              <m:t>μ</m:t>
            </m:r>
          </m:e>
          <m:sub>
            <m:r>
              <m:t>1</m:t>
            </m:r>
            <m:r>
              <m:rPr>
                <m:sty m:val="p"/>
              </m:rPr>
              <m:t>,</m:t>
            </m:r>
            <m:r>
              <m:t>t</m:t>
            </m:r>
          </m:sub>
        </m:sSub>
        <m:r>
          <m:rPr>
            <m:sty m:val="p"/>
          </m:rPr>
          <m:t>=</m:t>
        </m:r>
        <m:sSub>
          <m:e>
            <m:r>
              <m:t>α</m:t>
            </m:r>
          </m:e>
          <m:sub>
            <m:r>
              <m:t>1</m:t>
            </m:r>
          </m:sub>
        </m:sSub>
        <m:r>
          <m:rPr>
            <m:sty m:val="p"/>
          </m:rPr>
          <m:t>+</m:t>
        </m:r>
        <m:sSub>
          <m:e>
            <m:r>
              <m:t>λ</m:t>
            </m:r>
          </m:e>
          <m:sub>
            <m:r>
              <m:t>1</m:t>
            </m:r>
          </m:sub>
        </m:sSub>
        <m:r>
          <m:t> </m:t>
        </m:r>
        <m:sSubSup>
          <m:e>
            <m:r>
              <m:t>g</m:t>
            </m:r>
          </m:e>
          <m:sub>
            <m:r>
              <m:t>t</m:t>
            </m:r>
          </m:sub>
          <m:sup>
            <m:r>
              <m:rPr>
                <m:nor/>
                <m:sty m:val="p"/>
              </m:rPr>
              <m:t>cont,nsa</m:t>
            </m:r>
          </m:sup>
        </m:sSubSup>
      </m:oMath>
      <w:r>
        <w:t xml:space="preserve">, with marginal variance</w:t>
      </w:r>
      <w:r>
        <w:t xml:space="preserve"> </w:t>
      </w:r>
      <m:oMath>
        <m:sSubSup>
          <m:e>
            <m:r>
              <m:t>σ</m:t>
            </m:r>
          </m:e>
          <m:sub>
            <m:r>
              <m:t>1</m:t>
            </m:r>
          </m:sub>
          <m:sup>
            <m:r>
              <m:t>2</m:t>
            </m:r>
          </m:sup>
        </m:sSubSup>
        <m:r>
          <m:rPr>
            <m:sty m:val="p"/>
          </m:rPr>
          <m:t>/</m:t>
        </m:r>
        <m:d>
          <m:dPr>
            <m:begChr m:val="("/>
            <m:sepChr m:val=""/>
            <m:endChr m:val=")"/>
            <m:grow/>
          </m:dPr>
          <m:e>
            <m:r>
              <m:t>1</m:t>
            </m:r>
            <m:r>
              <m:rPr>
                <m:sty m:val="p"/>
              </m:rPr>
              <m:t>−</m:t>
            </m:r>
            <m:sSup>
              <m:e>
                <m:r>
                  <m:t>ρ</m:t>
                </m:r>
              </m:e>
              <m:sup>
                <m:r>
                  <m:t>2</m:t>
                </m:r>
              </m:sup>
            </m:sSup>
          </m:e>
        </m:d>
      </m:oMath>
      <w:r>
        <w:t xml:space="preserve"> </w:t>
      </w:r>
      <w:r>
        <w:t xml:space="preserve">at</w:t>
      </w:r>
      <w:r>
        <w:t xml:space="preserve"> </w:t>
      </w:r>
      <m:oMath>
        <m:r>
          <m:t>t</m:t>
        </m:r>
        <m:r>
          <m:rPr>
            <m:sty m:val="p"/>
          </m:rPr>
          <m:t>=</m:t>
        </m:r>
        <m:r>
          <m:t>0</m:t>
        </m:r>
      </m:oMath>
      <w:r>
        <w:t xml:space="preserve">.</w:t>
      </w:r>
    </w:p>
    <w:bookmarkEnd w:id="33"/>
    <w:bookmarkStart w:id="34" w:name="pp2-iid-measurement-error"/>
    <w:p>
      <w:pPr>
        <w:pStyle w:val="Heading4"/>
      </w:pPr>
      <w:r>
        <w:t xml:space="preserve">4.6.2 PP2: iid Measurement Error</w:t>
      </w:r>
    </w:p>
    <w:p>
      <w:pPr>
        <w:pStyle w:val="FirstParagraph"/>
      </w:pPr>
      <w:r>
        <w:t xml:space="preserve">PP2 clients are predominantly single-establishment firms with clean client-establishment alignment:</w:t>
      </w:r>
    </w:p>
    <w:p>
      <w:pPr>
        <w:pStyle w:val="BodyText"/>
      </w:pPr>
      <m:oMathPara>
        <m:oMathParaPr>
          <m:jc m:val="center"/>
        </m:oMathParaPr>
        <m:oMath>
          <m:sSubSup>
            <m:e>
              <m:r>
                <m:t>y</m:t>
              </m:r>
            </m:e>
            <m:sub>
              <m:r>
                <m:t>2</m:t>
              </m:r>
              <m:r>
                <m:rPr>
                  <m:sty m:val="p"/>
                </m:rPr>
                <m:t>,</m:t>
              </m:r>
              <m:r>
                <m:t>t</m:t>
              </m:r>
            </m:sub>
            <m:sup>
              <m:r>
                <m:rPr>
                  <m:nor/>
                  <m:sty m:val="p"/>
                </m:rPr>
                <m:t>PP</m:t>
              </m:r>
            </m:sup>
          </m:sSubSup>
          <m:r>
            <m:rPr>
              <m:sty m:val="p"/>
            </m:rPr>
            <m:t>=</m:t>
          </m:r>
          <m:sSub>
            <m:e>
              <m:r>
                <m:t>α</m:t>
              </m:r>
            </m:e>
            <m:sub>
              <m:r>
                <m:t>2</m:t>
              </m:r>
            </m:sub>
          </m:sSub>
          <m:r>
            <m:rPr>
              <m:sty m:val="p"/>
            </m:rPr>
            <m:t>+</m:t>
          </m:r>
          <m:sSub>
            <m:e>
              <m:r>
                <m:t>λ</m:t>
              </m:r>
            </m:e>
            <m:sub>
              <m:r>
                <m:t>2</m:t>
              </m:r>
            </m:sub>
          </m:sSub>
          <m:r>
            <m:t> </m:t>
          </m:r>
          <m:sSubSup>
            <m:e>
              <m:r>
                <m:t>g</m:t>
              </m:r>
            </m:e>
            <m:sub>
              <m:r>
                <m:t>t</m:t>
              </m:r>
            </m:sub>
            <m:sup>
              <m:r>
                <m:rPr>
                  <m:nor/>
                  <m:sty m:val="p"/>
                </m:rPr>
                <m:t>cont,nsa</m:t>
              </m:r>
            </m:sup>
          </m:sSubSup>
          <m:r>
            <m:rPr>
              <m:sty m:val="p"/>
            </m:rPr>
            <m:t>+</m:t>
          </m:r>
          <m:sSub>
            <m:e>
              <m:r>
                <m:t>ε</m:t>
              </m:r>
            </m:e>
            <m:sub>
              <m:r>
                <m:t>2</m:t>
              </m:r>
              <m:r>
                <m:rPr>
                  <m:sty m:val="p"/>
                </m:rPr>
                <m:t>,</m:t>
              </m:r>
              <m:r>
                <m:t>t</m:t>
              </m:r>
            </m:sub>
          </m:sSub>
          <m:r>
            <m:rPr>
              <m:sty m:val="p"/>
            </m:rPr>
            <m:t>,</m:t>
          </m:r>
          <m:r>
            <m:t>  </m:t>
          </m:r>
          <m:sSub>
            <m:e>
              <m:r>
                <m:t>ε</m:t>
              </m:r>
            </m:e>
            <m:sub>
              <m:r>
                <m:t>2</m:t>
              </m:r>
              <m:r>
                <m:rPr>
                  <m:sty m:val="p"/>
                </m:rPr>
                <m:t>,</m:t>
              </m:r>
              <m:r>
                <m:t>t</m:t>
              </m:r>
            </m:sub>
          </m:sSub>
          <m:r>
            <m:rPr>
              <m:sty m:val="p"/>
            </m:rPr>
            <m:t>∼</m:t>
          </m:r>
          <m:r>
            <m:rPr>
              <m:sty m:val="p"/>
              <m:scr m:val="script"/>
            </m:rPr>
            <m:t>N</m:t>
          </m:r>
          <m:d>
            <m:dPr>
              <m:begChr m:val="("/>
              <m:sepChr m:val=""/>
              <m:endChr m:val=")"/>
              <m:grow/>
            </m:dPr>
            <m:e>
              <m:r>
                <m:t>0</m:t>
              </m:r>
              <m:r>
                <m:rPr>
                  <m:sty m:val="p"/>
                </m:rPr>
                <m:t>,</m:t>
              </m:r>
              <m:sSubSup>
                <m:e>
                  <m:r>
                    <m:t>σ</m:t>
                  </m:r>
                </m:e>
                <m:sub>
                  <m:r>
                    <m:t>2</m:t>
                  </m:r>
                </m:sub>
                <m:sup>
                  <m:r>
                    <m:t>2</m:t>
                  </m:r>
                </m:sup>
              </m:sSubSup>
            </m:e>
          </m:d>
        </m:oMath>
      </m:oMathPara>
    </w:p>
    <w:bookmarkEnd w:id="34"/>
    <w:bookmarkStart w:id="35" w:name="pp-priors"/>
    <w:p>
      <w:pPr>
        <w:pStyle w:val="Heading4"/>
      </w:pPr>
      <w:r>
        <w:t xml:space="preserve">4.6.3 PP Priors</w:t>
      </w:r>
    </w:p>
    <w:tbl>
      <w:tblPr>
        <w:tblStyle w:val="Table"/>
        <w:tblW w:type="pct" w:w="5000"/>
        <w:tblLayout w:type="fixed"/>
        <w:tblLook w:firstRow="1" w:lastRow="0" w:firstColumn="0" w:lastColumn="0" w:noHBand="0" w:noVBand="0" w:val="0020"/>
      </w:tblPr>
      <w:tblGrid>
        <w:gridCol w:w="2860"/>
        <w:gridCol w:w="2200"/>
        <w:gridCol w:w="2860"/>
      </w:tblGrid>
      <w:tr>
        <w:trPr>
          <w:tblHeader w:val="on"/>
        </w:trPr>
        <w:tc>
          <w:tcPr/>
          <w:p>
            <w:pPr>
              <w:pStyle w:val="Compact"/>
            </w:pPr>
            <w:r>
              <w:t xml:space="preserve">Parameter</w:t>
            </w:r>
          </w:p>
        </w:tc>
        <w:tc>
          <w:tcPr/>
          <w:p>
            <w:pPr>
              <w:pStyle w:val="Compact"/>
            </w:pPr>
            <w:r>
              <w:t xml:space="preserve">Prior</w:t>
            </w:r>
          </w:p>
        </w:tc>
        <w:tc>
          <w:tcPr/>
          <w:p>
            <w:pPr>
              <w:pStyle w:val="Compact"/>
            </w:pPr>
            <w:r>
              <w:t xml:space="preserve">Rationale</w:t>
            </w:r>
          </w:p>
        </w:tc>
      </w:tr>
      <w:tr>
        <w:tc>
          <w:tcPr/>
          <w:p>
            <w:pPr>
              <w:pStyle w:val="Compact"/>
            </w:pPr>
            <m:oMath>
              <m:sSub>
                <m:e>
                  <m:r>
                    <m:t>α</m:t>
                  </m:r>
                </m:e>
                <m:sub>
                  <m:r>
                    <m:t>p</m:t>
                  </m:r>
                </m:sub>
              </m:sSub>
            </m:oMath>
          </w:p>
        </w:tc>
        <w:tc>
          <w:tcPr/>
          <w:p>
            <w:pPr>
              <w:pStyle w:val="Compact"/>
            </w:pPr>
            <m:oMath>
              <m:r>
                <m:rPr>
                  <m:sty m:val="p"/>
                  <m:scr m:val="script"/>
                </m:rPr>
                <m:t>N</m:t>
              </m:r>
              <m:d>
                <m:dPr>
                  <m:begChr m:val="("/>
                  <m:sepChr m:val=""/>
                  <m:endChr m:val=")"/>
                  <m:grow/>
                </m:dPr>
                <m:e>
                  <m:r>
                    <m:t>0</m:t>
                  </m:r>
                  <m:r>
                    <m:rPr>
                      <m:sty m:val="p"/>
                    </m:rPr>
                    <m:t>,</m:t>
                  </m:r>
                  <m:sSup>
                    <m:e>
                      <m:r>
                        <m:t>0.005</m:t>
                      </m:r>
                    </m:e>
                    <m:sup>
                      <m:r>
                        <m:t>2</m:t>
                      </m:r>
                    </m:sup>
                  </m:sSup>
                </m:e>
              </m:d>
            </m:oMath>
          </w:p>
        </w:tc>
        <w:tc>
          <w:tcPr/>
          <w:p>
            <w:pPr>
              <w:pStyle w:val="Compact"/>
            </w:pPr>
            <w:r>
              <w:t xml:space="preserve">Small systematic bias allowed</w:t>
            </w:r>
          </w:p>
        </w:tc>
      </w:tr>
      <w:tr>
        <w:tc>
          <w:tcPr/>
          <w:p>
            <w:pPr>
              <w:pStyle w:val="Compact"/>
            </w:pPr>
            <m:oMath>
              <m:sSub>
                <m:e>
                  <m:r>
                    <m:t>λ</m:t>
                  </m:r>
                </m:e>
                <m:sub>
                  <m:r>
                    <m:t>p</m:t>
                  </m:r>
                </m:sub>
              </m:sSub>
            </m:oMath>
          </w:p>
        </w:tc>
        <w:tc>
          <w:tcPr/>
          <w:p>
            <w:pPr>
              <w:pStyle w:val="Compact"/>
            </w:pPr>
            <m:oMath>
              <m:r>
                <m:rPr>
                  <m:sty m:val="p"/>
                  <m:scr m:val="script"/>
                </m:rPr>
                <m:t>N</m:t>
              </m:r>
              <m:d>
                <m:dPr>
                  <m:begChr m:val="("/>
                  <m:sepChr m:val=""/>
                  <m:endChr m:val=")"/>
                  <m:grow/>
                </m:dPr>
                <m:e>
                  <m:r>
                    <m:t>1.0</m:t>
                  </m:r>
                  <m:r>
                    <m:rPr>
                      <m:sty m:val="p"/>
                    </m:rPr>
                    <m:t>,</m:t>
                  </m:r>
                  <m:sSup>
                    <m:e>
                      <m:r>
                        <m:t>0.25</m:t>
                      </m:r>
                    </m:e>
                    <m:sup>
                      <m:r>
                        <m:t>2</m:t>
                      </m:r>
                    </m:sup>
                  </m:sSup>
                </m:e>
              </m:d>
            </m:oMath>
          </w:p>
        </w:tc>
        <w:tc>
          <w:tcPr/>
          <w:p>
            <w:pPr>
              <w:pStyle w:val="Compact"/>
            </w:pPr>
            <w:r>
              <w:t xml:space="preserve">Centered on unit loading</w:t>
            </w:r>
          </w:p>
        </w:tc>
      </w:tr>
      <w:tr>
        <w:tc>
          <w:tcPr/>
          <w:p>
            <w:pPr>
              <w:pStyle w:val="Compact"/>
            </w:pPr>
            <m:oMath>
              <m:sSub>
                <m:e>
                  <m:r>
                    <m:t>σ</m:t>
                  </m:r>
                </m:e>
                <m:sub>
                  <m:r>
                    <m:t>p</m:t>
                  </m:r>
                </m:sub>
              </m:sSub>
            </m:oMath>
          </w:p>
        </w:tc>
        <w:tc>
          <w:tcPr/>
          <w:p>
            <w:pPr>
              <w:pStyle w:val="Compact"/>
            </w:pPr>
            <m:oMath>
              <m:r>
                <m:rPr>
                  <m:nor/>
                  <m:sty m:val="p"/>
                </m:rPr>
                <m:t>InverseGamma</m:t>
              </m:r>
              <m:d>
                <m:dPr>
                  <m:begChr m:val="("/>
                  <m:sepChr m:val=""/>
                  <m:endChr m:val=")"/>
                  <m:grow/>
                </m:dPr>
                <m:e>
                  <m:r>
                    <m:t>3.0</m:t>
                  </m:r>
                  <m:r>
                    <m:rPr>
                      <m:sty m:val="p"/>
                    </m:rPr>
                    <m:t>,</m:t>
                  </m:r>
                  <m:r>
                    <m:t>0.004</m:t>
                  </m:r>
                </m:e>
              </m:d>
            </m:oMath>
          </w:p>
        </w:tc>
        <w:tc>
          <w:tcPr/>
          <w:p>
            <w:pPr>
              <w:pStyle w:val="Compact"/>
            </w:pPr>
            <w:r>
              <w:t xml:space="preserve">Mode</w:t>
            </w:r>
            <w:r>
              <w:t xml:space="preserve"> </w:t>
            </w:r>
            <m:oMath>
              <m:r>
                <m:rPr>
                  <m:sty m:val="p"/>
                </m:rPr>
                <m:t>≈</m:t>
              </m:r>
              <m:r>
                <m:t>0.001</m:t>
              </m:r>
            </m:oMath>
            <w:r>
              <w:t xml:space="preserve">; prevents funnel geometry</w:t>
            </w:r>
          </w:p>
        </w:tc>
      </w:tr>
      <w:tr>
        <w:tc>
          <w:tcPr/>
          <w:p>
            <w:pPr>
              <w:pStyle w:val="Compact"/>
            </w:pPr>
            <m:oMath>
              <m:r>
                <m:t>ρ</m:t>
              </m:r>
            </m:oMath>
            <w:r>
              <w:t xml:space="preserve"> </w:t>
            </w:r>
            <w:r>
              <w:t xml:space="preserve">(PP1 only)</w:t>
            </w:r>
          </w:p>
        </w:tc>
        <w:tc>
          <w:tcPr/>
          <w:p>
            <w:pPr>
              <w:pStyle w:val="Compact"/>
            </w:pPr>
            <m:oMath>
              <m:r>
                <m:rPr>
                  <m:nor/>
                  <m:sty m:val="p"/>
                </m:rPr>
                <m:t>Uniform</m:t>
              </m:r>
              <m:d>
                <m:dPr>
                  <m:begChr m:val="("/>
                  <m:sepChr m:val=""/>
                  <m:endChr m:val=")"/>
                  <m:grow/>
                </m:dPr>
                <m:e>
                  <m:r>
                    <m:t>0</m:t>
                  </m:r>
                  <m:r>
                    <m:rPr>
                      <m:sty m:val="p"/>
                    </m:rPr>
                    <m:t>,</m:t>
                  </m:r>
                  <m:r>
                    <m:t>0.99</m:t>
                  </m:r>
                </m:e>
              </m:d>
            </m:oMath>
          </w:p>
        </w:tc>
        <w:tc>
          <w:tcPr/>
          <w:p>
            <w:pPr>
              <w:pStyle w:val="Compact"/>
            </w:pPr>
            <w:r>
              <w:t xml:space="preserve">Positive autocorrelation; bounded below 1</w:t>
            </w:r>
          </w:p>
        </w:tc>
      </w:tr>
    </w:tbl>
    <w:p>
      <w:r>
        <w:pict>
          <v:rect style="width:0;height:1.5pt" o:hralign="center" o:hrstd="t" o:hr="t"/>
        </w:pict>
      </w:r>
    </w:p>
    <w:bookmarkEnd w:id="35"/>
    <w:bookmarkEnd w:id="36"/>
    <w:bookmarkEnd w:id="37"/>
    <w:bookmarkStart w:id="38" w:name="identification"/>
    <w:p>
      <w:pPr>
        <w:pStyle w:val="Heading2"/>
      </w:pPr>
      <w:r>
        <w:t xml:space="preserve">5. Identification</w:t>
      </w:r>
    </w:p>
    <w:p>
      <w:pPr>
        <w:numPr>
          <w:ilvl w:val="0"/>
          <w:numId w:val="1002"/>
        </w:numPr>
      </w:pPr>
      <w:r>
        <w:rPr>
          <w:b/>
          <w:bCs/>
        </w:rPr>
        <w:t xml:space="preserve">Latent</w:t>
      </w:r>
      <w:r>
        <w:t xml:space="preserve"> </w:t>
      </w:r>
      <m:oMath>
        <m:sSubSup>
          <m:e>
            <m:r>
              <m:t>g</m:t>
            </m:r>
          </m:e>
          <m:sub>
            <m:r>
              <m:t>t</m:t>
            </m:r>
          </m:sub>
          <m:sup>
            <m:r>
              <m:rPr>
                <m:nor/>
                <m:sty m:val="p"/>
              </m:rPr>
              <m:t>total,nsa</m:t>
            </m:r>
          </m:sup>
        </m:sSubSup>
      </m:oMath>
      <w:r>
        <w:t xml:space="preserve">: QCEW observations with</w:t>
      </w:r>
      <w:r>
        <w:t xml:space="preserve"> </w:t>
      </w:r>
      <m:oMath>
        <m:r>
          <m:t>α</m:t>
        </m:r>
        <m:r>
          <m:rPr>
            <m:sty m:val="p"/>
          </m:rPr>
          <m:t>=</m:t>
        </m:r>
        <m:r>
          <m:t>0</m:t>
        </m:r>
      </m:oMath>
      <w:r>
        <w:t xml:space="preserve">,</w:t>
      </w:r>
      <w:r>
        <w:t xml:space="preserve"> </w:t>
      </w:r>
      <m:oMath>
        <m:r>
          <m:t>λ</m:t>
        </m:r>
        <m:r>
          <m:rPr>
            <m:sty m:val="p"/>
          </m:rPr>
          <m:t>=</m:t>
        </m:r>
        <m:r>
          <m:t>1</m:t>
        </m:r>
      </m:oMath>
      <w:r>
        <w:t xml:space="preserve"> </w:t>
      </w:r>
      <w:r>
        <w:t xml:space="preserve">directly anchor NSA total employment growth.</w:t>
      </w:r>
    </w:p>
    <w:p>
      <w:pPr>
        <w:numPr>
          <w:ilvl w:val="0"/>
          <w:numId w:val="1002"/>
        </w:numPr>
      </w:pPr>
      <w:r>
        <w:rPr>
          <w:b/>
          <w:bCs/>
        </w:rPr>
        <w:t xml:space="preserve">CES calibration</w:t>
      </w:r>
      <w:r>
        <w:t xml:space="preserve">: Given the QCEW-identified latent state,</w:t>
      </w:r>
      <w:r>
        <w:t xml:space="preserve"> </w:t>
      </w:r>
      <m:oMath>
        <m:sSub>
          <m:e>
            <m:r>
              <m:t>α</m:t>
            </m:r>
          </m:e>
          <m:sub>
            <m:r>
              <m:rPr>
                <m:nor/>
                <m:sty m:val="p"/>
              </m:rPr>
              <m:t>CES</m:t>
            </m:r>
          </m:sub>
        </m:sSub>
      </m:oMath>
      <w:r>
        <w:t xml:space="preserve"> </w:t>
      </w:r>
      <w:r>
        <w:t xml:space="preserve">is the mean CES residual and</w:t>
      </w:r>
      <w:r>
        <w:t xml:space="preserve"> </w:t>
      </w:r>
      <m:oMath>
        <m:sSub>
          <m:e>
            <m:r>
              <m:t>λ</m:t>
            </m:r>
          </m:e>
          <m:sub>
            <m:r>
              <m:rPr>
                <m:nor/>
                <m:sty m:val="p"/>
              </m:rPr>
              <m:t>CES</m:t>
            </m:r>
          </m:sub>
        </m:sSub>
      </m:oMath>
      <w:r>
        <w:t xml:space="preserve"> </w:t>
      </w:r>
      <w:r>
        <w:t xml:space="preserve">is the CES-vs-latent slope.</w:t>
      </w:r>
    </w:p>
    <w:p>
      <w:pPr>
        <w:numPr>
          <w:ilvl w:val="0"/>
          <w:numId w:val="1002"/>
        </w:numPr>
      </w:pPr>
      <w:r>
        <w:rPr>
          <w:b/>
          <w:bCs/>
        </w:rPr>
        <w:t xml:space="preserve">Seasonal pattern</w:t>
      </w:r>
      <w:r>
        <w:t xml:space="preserve">: CES SA + CES NSA jointly identify</w:t>
      </w:r>
      <w:r>
        <w:t xml:space="preserve"> </w:t>
      </w:r>
      <m:oMath>
        <m:sSub>
          <m:e>
            <m:r>
              <m:t>s</m:t>
            </m:r>
          </m:e>
          <m:sub>
            <m:r>
              <m:t>t</m:t>
            </m:r>
          </m:sub>
        </m:sSub>
        <m:r>
          <m:rPr>
            <m:sty m:val="p"/>
          </m:rPr>
          <m:t>≈</m:t>
        </m:r>
        <m:sSubSup>
          <m:e>
            <m:r>
              <m:t>g</m:t>
            </m:r>
          </m:e>
          <m:sub>
            <m:r>
              <m:t>t</m:t>
            </m:r>
          </m:sub>
          <m:sup>
            <m:r>
              <m:rPr>
                <m:nor/>
                <m:sty m:val="p"/>
              </m:rPr>
              <m:t>CES,NSA</m:t>
            </m:r>
          </m:sup>
        </m:sSubSup>
        <m:r>
          <m:rPr>
            <m:sty m:val="p"/>
          </m:rPr>
          <m:t>−</m:t>
        </m:r>
        <m:sSubSup>
          <m:e>
            <m:r>
              <m:t>g</m:t>
            </m:r>
          </m:e>
          <m:sub>
            <m:r>
              <m:t>t</m:t>
            </m:r>
          </m:sub>
          <m:sup>
            <m:r>
              <m:rPr>
                <m:nor/>
                <m:sty m:val="p"/>
              </m:rPr>
              <m:t>CES,SA</m:t>
            </m:r>
          </m:sup>
        </m:sSubSup>
      </m:oMath>
      <w:r>
        <w:t xml:space="preserve">, crosschecked against the QCEW anchor which directly observes NSA total growth.</w:t>
      </w:r>
    </w:p>
    <w:p>
      <w:pPr>
        <w:numPr>
          <w:ilvl w:val="0"/>
          <w:numId w:val="1002"/>
        </w:numPr>
      </w:pPr>
      <w:r>
        <w:rPr>
          <w:b/>
          <w:bCs/>
        </w:rPr>
        <w:t xml:space="preserve">Birth/death offset</w:t>
      </w:r>
      <w:r>
        <w:t xml:space="preserve">: The mean wedge between total growth (QCEW, CES) and continuing-units growth (PP).</w:t>
      </w:r>
    </w:p>
    <w:p>
      <w:pPr>
        <w:numPr>
          <w:ilvl w:val="0"/>
          <w:numId w:val="1002"/>
        </w:numPr>
      </w:pPr>
      <w:r>
        <w:rPr>
          <w:b/>
          <w:bCs/>
        </w:rPr>
        <w:t xml:space="preserve">PP parameters</w:t>
      </w:r>
      <w:r>
        <w:t xml:space="preserve">: Given</w:t>
      </w:r>
      <w:r>
        <w:t xml:space="preserve"> </w:t>
      </w:r>
      <m:oMath>
        <m:sSubSup>
          <m:e>
            <m:r>
              <m:t>g</m:t>
            </m:r>
          </m:e>
          <m:sub>
            <m:r>
              <m:t>t</m:t>
            </m:r>
          </m:sub>
          <m:sup>
            <m:r>
              <m:rPr>
                <m:nor/>
                <m:sty m:val="p"/>
              </m:rPr>
              <m:t>cont,nsa</m:t>
            </m:r>
          </m:sup>
        </m:sSubSup>
      </m:oMath>
      <w:r>
        <w:t xml:space="preserve"> </w:t>
      </w:r>
      <w:r>
        <w:t xml:space="preserve">(total minus BD), PP bias, loading, and noise are identified from PP residuals.</w:t>
      </w:r>
    </w:p>
    <w:p>
      <w:r>
        <w:pict>
          <v:rect style="width:0;height:1.5pt" o:hralign="center" o:hrstd="t" o:hr="t"/>
        </w:pict>
      </w:r>
    </w:p>
    <w:bookmarkEnd w:id="38"/>
    <w:bookmarkStart w:id="39" w:name="computational-implementation"/>
    <w:p>
      <w:pPr>
        <w:pStyle w:val="Heading2"/>
      </w:pPr>
      <w:r>
        <w:t xml:space="preserve">6. Computational Implementation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Draws</w:t>
            </w:r>
          </w:p>
        </w:tc>
        <w:tc>
          <w:tcPr/>
          <w:p>
            <w:pPr>
              <w:pStyle w:val="Compact"/>
            </w:pPr>
            <w:r>
              <w:t xml:space="preserve">8,000 per chain</w:t>
            </w:r>
          </w:p>
        </w:tc>
      </w:tr>
      <w:tr>
        <w:tc>
          <w:tcPr/>
          <w:p>
            <w:pPr>
              <w:pStyle w:val="Compact"/>
            </w:pPr>
            <w:r>
              <w:t xml:space="preserve">Tuning</w:t>
            </w:r>
          </w:p>
        </w:tc>
        <w:tc>
          <w:tcPr/>
          <w:p>
            <w:pPr>
              <w:pStyle w:val="Compact"/>
            </w:pPr>
            <w:r>
              <w:t xml:space="preserve">6,000 per chain</w:t>
            </w:r>
          </w:p>
        </w:tc>
      </w:tr>
      <w:tr>
        <w:tc>
          <w:tcPr/>
          <w:p>
            <w:pPr>
              <w:pStyle w:val="Compact"/>
            </w:pPr>
            <w:r>
              <w:t xml:space="preserve">Chains</w:t>
            </w:r>
          </w:p>
        </w:tc>
        <w:tc>
          <w:tcPr/>
          <w:p>
            <w:pPr>
              <w:pStyle w:val="Compact"/>
            </w:pPr>
            <w:r>
              <w:t xml:space="preserve">4</w:t>
            </w:r>
          </w:p>
        </w:tc>
      </w:tr>
      <w:tr>
        <w:tc>
          <w:tcPr/>
          <w:p>
            <w:pPr>
              <w:pStyle w:val="Compact"/>
            </w:pPr>
            <w:r>
              <w:t xml:space="preserve">Target accept</w:t>
            </w:r>
          </w:p>
        </w:tc>
        <w:tc>
          <w:tcPr/>
          <w:p>
            <w:pPr>
              <w:pStyle w:val="Compact"/>
            </w:pPr>
            <w:r>
              <w:t xml:space="preserve">0.97</w:t>
            </w:r>
          </w:p>
        </w:tc>
      </w:tr>
      <w:tr>
        <w:tc>
          <w:tcPr/>
          <w:p>
            <w:pPr>
              <w:pStyle w:val="Compact"/>
            </w:pPr>
            <w:r>
              <w:t xml:space="preserve">Preferred sampler</w:t>
            </w:r>
          </w:p>
        </w:tc>
        <w:tc>
          <w:tcPr/>
          <w:p>
            <w:pPr>
              <w:pStyle w:val="Compact"/>
            </w:pPr>
            <w:r>
              <w:t xml:space="preserve">nutpie (Rust-based NUTS)</w:t>
            </w:r>
          </w:p>
        </w:tc>
      </w:tr>
      <w:tr>
        <w:tc>
          <w:tcPr/>
          <w:p>
            <w:pPr>
              <w:pStyle w:val="Compact"/>
            </w:pPr>
            <w:r>
              <w:t xml:space="preserve">Fallback</w:t>
            </w:r>
          </w:p>
        </w:tc>
        <w:tc>
          <w:tcPr/>
          <w:p>
            <w:pPr>
              <w:pStyle w:val="Compact"/>
            </w:pPr>
            <w:r>
              <w:t xml:space="preserve">PyMC NUTS</w:t>
            </w:r>
          </w:p>
        </w:tc>
      </w:tr>
      <w:tr>
        <w:tc>
          <w:tcPr/>
          <w:p>
            <w:pPr>
              <w:pStyle w:val="Compact"/>
            </w:pPr>
            <w:r>
              <w:t xml:space="preserve">Runtime</w:t>
            </w:r>
          </w:p>
        </w:tc>
        <w:tc>
          <w:tcPr/>
          <w:p>
            <w:pPr>
              <w:pStyle w:val="Compact"/>
            </w:pPr>
            <w:r>
              <w:t xml:space="preserve">~2 minutes (Apple M4 Max)</w:t>
            </w:r>
          </w:p>
        </w:tc>
      </w:tr>
    </w:tbl>
    <w:p>
      <w:pPr>
        <w:pStyle w:val="BodyText"/>
      </w:pPr>
      <w:r>
        <w:t xml:space="preserve">The higher draw count and target acceptance rate (vs. standard 4,000/0.95) are needed because the latent AR(1) dynamics create tight coupling between global parameters (</w:t>
      </w:r>
      <m:oMath>
        <m:sSub>
          <m:e>
            <m:r>
              <m:t>μ</m:t>
            </m:r>
          </m:e>
          <m:sub>
            <m:r>
              <m:t>g</m:t>
            </m:r>
          </m:sub>
        </m:sSub>
      </m:oMath>
      <w:r>
        <w:t xml:space="preserve">,</w:t>
      </w:r>
      <w:r>
        <w:t xml:space="preserve"> </w:t>
      </w:r>
      <m:oMath>
        <m:r>
          <m:t>ϕ</m:t>
        </m:r>
      </m:oMath>
      <w:r>
        <w:t xml:space="preserve">,</w:t>
      </w:r>
      <w:r>
        <w:t xml:space="preserve"> </w:t>
      </w:r>
      <m:oMath>
        <m:sSub>
          <m:e>
            <m:r>
              <m:t>σ</m:t>
            </m:r>
          </m:e>
          <m:sub>
            <m:r>
              <m:t>g</m:t>
            </m:r>
          </m:sub>
        </m:sSub>
      </m:oMath>
      <w:r>
        <w:t xml:space="preserve">) and the 119-element latent trajectory. These parameters require more exploration to achieve adequate effective sample sizes.</w:t>
      </w:r>
    </w:p>
    <w:p>
      <w:r>
        <w:pict>
          <v:rect style="width:0;height:1.5pt" o:hralign="center" o:hrstd="t" o:hr="t"/>
        </w:pict>
      </w:r>
    </w:p>
    <w:bookmarkEnd w:id="39"/>
    <w:bookmarkStart w:id="49" w:name="empirical-results"/>
    <w:p>
      <w:pPr>
        <w:pStyle w:val="Heading2"/>
      </w:pPr>
      <w:r>
        <w:t xml:space="preserve">7. Empirical Results</w:t>
      </w:r>
    </w:p>
    <w:bookmarkStart w:id="40" w:name="pp-series-redundancy-analysis"/>
    <w:p>
      <w:pPr>
        <w:pStyle w:val="Heading3"/>
      </w:pPr>
      <w:r>
        <w:t xml:space="preserve">7.1 PP Series Redundancy Analysis</w:t>
      </w:r>
    </w:p>
    <w:p>
      <w:pPr>
        <w:pStyle w:val="FirstParagraph"/>
      </w:pPr>
      <w:r>
        <w:t xml:space="preserve">Provider 2 originally supplied three series. Pairwise analysis in the 80-month overlap: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jc w:val="center"/>
            </w:pPr>
            <w:r>
              <w:t xml:space="preserve">Correlation</w:t>
            </w:r>
          </w:p>
        </w:tc>
        <w:tc>
          <w:tcPr/>
          <w:p>
            <w:pPr>
              <w:pStyle w:val="Compact"/>
              <w:jc w:val="right"/>
            </w:pPr>
            <w:r>
              <w:t xml:space="preserve">Diff std (%/mo)</w:t>
            </w:r>
          </w:p>
        </w:tc>
      </w:tr>
      <w:tr>
        <w:tc>
          <w:tcPr/>
          <w:p>
            <w:pPr>
              <w:pStyle w:val="Compact"/>
            </w:pPr>
            <w:r>
              <w:t xml:space="preserve">PP2_0 vs PP2_1</w:t>
            </w:r>
          </w:p>
        </w:tc>
        <w:tc>
          <w:tcPr/>
          <w:p>
            <w:pPr>
              <w:pStyle w:val="Compact"/>
              <w:jc w:val="center"/>
            </w:pPr>
            <w:r>
              <w:t xml:space="preserve">0.9988</w:t>
            </w:r>
          </w:p>
        </w:tc>
        <w:tc>
          <w:tcPr/>
          <w:p>
            <w:pPr>
              <w:pStyle w:val="Compact"/>
              <w:jc w:val="right"/>
            </w:pPr>
            <w:r>
              <w:t xml:space="preserve">0.236</w:t>
            </w:r>
          </w:p>
        </w:tc>
      </w:tr>
      <w:tr>
        <w:tc>
          <w:tcPr/>
          <w:p>
            <w:pPr>
              <w:pStyle w:val="Compact"/>
            </w:pPr>
            <w:r>
              <w:t xml:space="preserve">PP2_0 vs PP2_2</w:t>
            </w:r>
          </w:p>
        </w:tc>
        <w:tc>
          <w:tcPr/>
          <w:p>
            <w:pPr>
              <w:pStyle w:val="Compact"/>
              <w:jc w:val="center"/>
            </w:pPr>
            <w:r>
              <w:t xml:space="preserve">0.9995</w:t>
            </w:r>
          </w:p>
        </w:tc>
        <w:tc>
          <w:tcPr/>
          <w:p>
            <w:pPr>
              <w:pStyle w:val="Compact"/>
              <w:jc w:val="right"/>
            </w:pPr>
            <w:r>
              <w:t xml:space="preserve">0.114</w:t>
            </w:r>
          </w:p>
        </w:tc>
      </w:tr>
      <w:tr>
        <w:tc>
          <w:tcPr/>
          <w:p>
            <w:pPr>
              <w:pStyle w:val="Compact"/>
            </w:pPr>
            <w:r>
              <w:t xml:space="preserve">PP2_1 vs PP2_2</w:t>
            </w:r>
          </w:p>
        </w:tc>
        <w:tc>
          <w:tcPr/>
          <w:p>
            <w:pPr>
              <w:pStyle w:val="Compact"/>
              <w:jc w:val="center"/>
            </w:pPr>
            <w:r>
              <w:t xml:space="preserve">0.9993</w:t>
            </w:r>
          </w:p>
        </w:tc>
        <w:tc>
          <w:tcPr/>
          <w:p>
            <w:pPr>
              <w:pStyle w:val="Compact"/>
              <w:jc w:val="right"/>
            </w:pPr>
            <w:r>
              <w:t xml:space="preserve">0.184</w:t>
            </w:r>
          </w:p>
        </w:tc>
      </w:tr>
      <w:tr>
        <w:tc>
          <w:tcPr/>
          <w:p>
            <w:pPr>
              <w:pStyle w:val="Compact"/>
            </w:pPr>
            <w:r>
              <w:t xml:space="preserve">PP1 vs PP2_0</w:t>
            </w:r>
          </w:p>
        </w:tc>
        <w:tc>
          <w:tcPr/>
          <w:p>
            <w:pPr>
              <w:pStyle w:val="Compact"/>
              <w:jc w:val="center"/>
            </w:pPr>
            <w:r>
              <w:t xml:space="preserve">0.9705</w:t>
            </w:r>
          </w:p>
        </w:tc>
        <w:tc>
          <w:tcPr/>
          <w:p>
            <w:pPr>
              <w:pStyle w:val="Compact"/>
              <w:jc w:val="right"/>
            </w:pPr>
            <w:r>
              <w:t xml:space="preserve">0.985</w:t>
            </w:r>
          </w:p>
        </w:tc>
      </w:tr>
    </w:tbl>
    <w:p>
      <w:pPr>
        <w:pStyle w:val="BodyText"/>
      </w:pPr>
      <w:r>
        <w:t xml:space="preserve">Within-PP2 differences (0.11–0.24%) are an order of magnitude smaller than between-provider differences (0.99%). The three PP2 series share &gt;99.9% of their variation. Including all three inflated PP2’s precision share to 44% and pushed PP2_2 alone to 32%—more than any other source. Retaining only PP2_0 eliminates the triple-counting.</w:t>
      </w:r>
    </w:p>
    <w:bookmarkEnd w:id="40"/>
    <w:bookmarkStart w:id="41" w:name="common-factor-analysis"/>
    <w:p>
      <w:pPr>
        <w:pStyle w:val="Heading3"/>
      </w:pPr>
      <w:r>
        <w:t xml:space="preserve">7.2 Common Factor Analysis</w:t>
      </w:r>
    </w:p>
    <w:p>
      <w:pPr>
        <w:pStyle w:val="FirstParagraph"/>
      </w:pPr>
      <w:r>
        <w:t xml:space="preserve">A common provider factor</w:t>
      </w:r>
      <w:r>
        <w:t xml:space="preserve"> </w:t>
      </w:r>
      <m:oMath>
        <m:sSub>
          <m:e>
            <m:r>
              <m:t>f</m:t>
            </m:r>
          </m:e>
          <m:sub>
            <m:r>
              <m:t>t</m:t>
            </m:r>
          </m:sub>
        </m:sSub>
      </m:oMath>
      <w:r>
        <w:t xml:space="preserve"> </w:t>
      </w:r>
      <w:r>
        <w:t xml:space="preserve">was previously shared across all PP series. When reduced to two independent providers:</w:t>
      </w:r>
    </w:p>
    <w:p>
      <w:pPr>
        <w:pStyle w:val="Compact"/>
        <w:numPr>
          <w:ilvl w:val="0"/>
          <w:numId w:val="1003"/>
        </w:numPr>
      </w:pPr>
      <m:oMath>
        <m:sSub>
          <m:e>
            <m:r>
              <m:t>σ</m:t>
            </m:r>
          </m:e>
          <m:sub>
            <m:r>
              <m:t>f</m:t>
            </m:r>
          </m:sub>
        </m:sSub>
      </m:oMath>
      <w:r>
        <w:t xml:space="preserve"> </w:t>
      </w:r>
      <w:r>
        <w:t xml:space="preserve">dropped from 1.0% (4-series model) to 0.5% (2-series model), confirming most of what</w:t>
      </w:r>
      <w:r>
        <w:t xml:space="preserve"> </w:t>
      </w:r>
      <m:oMath>
        <m:sSub>
          <m:e>
            <m:r>
              <m:t>f</m:t>
            </m:r>
          </m:e>
          <m:sub>
            <m:r>
              <m:t>t</m:t>
            </m:r>
          </m:sub>
        </m:sSub>
      </m:oMath>
      <w:r>
        <w:t xml:space="preserve"> </w:t>
      </w:r>
      <w:r>
        <w:t xml:space="preserve">captured was within-PP2 redundancy</w:t>
      </w:r>
    </w:p>
    <w:p>
      <w:pPr>
        <w:pStyle w:val="Compact"/>
        <w:numPr>
          <w:ilvl w:val="0"/>
          <w:numId w:val="1003"/>
        </w:numPr>
      </w:pPr>
      <w:r>
        <w:t xml:space="preserve">PP1 and PP2 come from different companies—no theoretical basis for shared measurement artifacts</w:t>
      </w:r>
    </w:p>
    <w:p>
      <w:pPr>
        <w:pStyle w:val="Compact"/>
        <w:numPr>
          <w:ilvl w:val="0"/>
          <w:numId w:val="1003"/>
        </w:numPr>
      </w:pPr>
      <w:r>
        <w:t xml:space="preserve">Removing</w:t>
      </w:r>
      <w:r>
        <w:t xml:space="preserve"> </w:t>
      </w:r>
      <m:oMath>
        <m:sSub>
          <m:e>
            <m:r>
              <m:t>f</m:t>
            </m:r>
          </m:e>
          <m:sub>
            <m:r>
              <m:t>t</m:t>
            </m:r>
          </m:sub>
        </m:sSub>
      </m:oMath>
      <w:r>
        <w:t xml:space="preserve"> </w:t>
      </w:r>
      <w:r>
        <w:t xml:space="preserve">eliminated 119 latent parameters, cut runtime from 77s to 42s (subsequently increased to 91s with longer sampling), and produced cleaner parameter interpretation</w:t>
      </w:r>
    </w:p>
    <w:p>
      <w:pPr>
        <w:pStyle w:val="FirstParagraph"/>
      </w:pPr>
      <w:r>
        <w:t xml:space="preserve">The cross-provider correlation (~0.97) is fully explained by the shared latent signal</w:t>
      </w:r>
      <w:r>
        <w:t xml:space="preserve"> </w:t>
      </w:r>
      <m:oMath>
        <m:sSubSup>
          <m:e>
            <m:r>
              <m:t>g</m:t>
            </m:r>
          </m:e>
          <m:sub>
            <m:r>
              <m:t>t</m:t>
            </m:r>
          </m:sub>
          <m:sup>
            <m:r>
              <m:rPr>
                <m:nor/>
                <m:sty m:val="p"/>
              </m:rPr>
              <m:t>cont,nsa</m:t>
            </m:r>
          </m:sup>
        </m:sSubSup>
      </m:oMath>
      <w:r>
        <w:t xml:space="preserve"> </w:t>
      </w:r>
      <w:r>
        <w:t xml:space="preserve">through their respective loadings.</w:t>
      </w:r>
    </w:p>
    <w:bookmarkEnd w:id="41"/>
    <w:bookmarkStart w:id="42" w:name="sampling-diagnostics"/>
    <w:p>
      <w:pPr>
        <w:pStyle w:val="Heading3"/>
      </w:pPr>
      <w:r>
        <w:t xml:space="preserve">7.3 Sampling Diagnostics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Diagnostic</w:t>
            </w:r>
          </w:p>
        </w:tc>
        <w:tc>
          <w:tcPr/>
          <w:p>
            <w:pPr>
              <w:pStyle w:val="Compact"/>
            </w:pPr>
            <w:r>
              <w:t xml:space="preserve">Value</w:t>
            </w:r>
          </w:p>
        </w:tc>
      </w:tr>
      <w:tr>
        <w:tc>
          <w:tcPr/>
          <w:p>
            <w:pPr>
              <w:pStyle w:val="Compact"/>
            </w:pPr>
            <w:r>
              <w:t xml:space="preserve">Divergences</w:t>
            </w:r>
          </w:p>
        </w:tc>
        <w:tc>
          <w:tcPr/>
          <w:p>
            <w:pPr>
              <w:pStyle w:val="Compact"/>
            </w:pPr>
            <w:r>
              <w:t xml:space="preserve">0</w:t>
            </w:r>
          </w:p>
        </w:tc>
      </w:tr>
      <w:tr>
        <w:tc>
          <w:tcPr/>
          <w:p>
            <w:pPr>
              <w:pStyle w:val="Compact"/>
            </w:pPr>
            <w:r>
              <w:t xml:space="preserve">R-hat (all parameters)</w:t>
            </w:r>
          </w:p>
        </w:tc>
        <w:tc>
          <w:tcPr/>
          <w:p>
            <w:pPr>
              <w:pStyle w:val="Compact"/>
            </w:pPr>
            <m:oMath>
              <m:r>
                <m:rPr>
                  <m:sty m:val="p"/>
                </m:rPr>
                <m:t>≤</m:t>
              </m:r>
              <m:r>
                <m:t>1.01</m:t>
              </m:r>
            </m:oMath>
          </w:p>
        </w:tc>
      </w:tr>
      <w:tr>
        <w:tc>
          <w:tcPr/>
          <w:p>
            <w:pPr>
              <w:pStyle w:val="Compact"/>
            </w:pPr>
            <w:r>
              <w:t xml:space="preserve">Min ESS (bulk)</w:t>
            </w:r>
          </w:p>
        </w:tc>
        <w:tc>
          <w:tcPr/>
          <w:p>
            <w:pPr>
              <w:pStyle w:val="Compact"/>
            </w:pPr>
            <w:r>
              <w:t xml:space="preserve">315 (</w:t>
            </w:r>
            <m:oMath>
              <m:sSub>
                <m:e>
                  <m:r>
                    <m:t>μ</m:t>
                  </m:r>
                </m:e>
                <m:sub>
                  <m:r>
                    <m:t>g</m:t>
                  </m:r>
                </m:sub>
              </m:sSub>
            </m:oMath>
            <w:r>
              <w:t xml:space="preserve">)</w:t>
            </w:r>
          </w:p>
        </w:tc>
      </w:tr>
      <w:tr>
        <w:tc>
          <w:tcPr/>
          <w:p>
            <w:pPr>
              <w:pStyle w:val="Compact"/>
            </w:pPr>
            <w:r>
              <w:t xml:space="preserve">Median ESS (bulk)</w:t>
            </w:r>
          </w:p>
        </w:tc>
        <w:tc>
          <w:tcPr/>
          <w:p>
            <w:pPr>
              <w:pStyle w:val="Compact"/>
            </w:pPr>
            <w:r>
              <w:t xml:space="preserve">~9,000</w:t>
            </w:r>
          </w:p>
        </w:tc>
      </w:tr>
      <w:tr>
        <w:tc>
          <w:tcPr/>
          <w:p>
            <w:pPr>
              <w:pStyle w:val="Compact"/>
            </w:pPr>
            <w:r>
              <w:t xml:space="preserve">Max ESS (bulk)</w:t>
            </w:r>
          </w:p>
        </w:tc>
        <w:tc>
          <w:tcPr/>
          <w:p>
            <w:pPr>
              <w:pStyle w:val="Compact"/>
            </w:pPr>
            <w:r>
              <w:t xml:space="preserve">~27,000</w:t>
            </w:r>
          </w:p>
        </w:tc>
      </w:tr>
    </w:tbl>
    <w:p>
      <w:pPr>
        <w:pStyle w:val="BodyText"/>
      </w:pPr>
      <w:r>
        <w:t xml:space="preserve">Zero divergences. All R-hat values at 1.01 or below. The lowest ESS occurs for</w:t>
      </w:r>
      <w:r>
        <w:t xml:space="preserve"> </w:t>
      </w:r>
      <m:oMath>
        <m:sSub>
          <m:e>
            <m:r>
              <m:t>μ</m:t>
            </m:r>
          </m:e>
          <m:sub>
            <m:r>
              <m:t>g</m:t>
            </m:r>
          </m:sub>
        </m:sSub>
      </m:oMath>
      <w:r>
        <w:t xml:space="preserve"> </w:t>
      </w:r>
      <w:r>
        <w:t xml:space="preserve">(315, just below the 400 threshold); all other parameters exceed 400. The tightened QCEW sigmas substantially improved convergence compared to the earlier calibration (where</w:t>
      </w:r>
      <w:r>
        <w:t xml:space="preserve"> </w:t>
      </w:r>
      <m:oMath>
        <m:sSub>
          <m:e>
            <m:r>
              <m:t>μ</m:t>
            </m:r>
          </m:e>
          <m:sub>
            <m:r>
              <m:t>g</m:t>
            </m:r>
          </m:sub>
        </m:sSub>
      </m:oMath>
      <w:r>
        <w:t xml:space="preserve"> </w:t>
      </w:r>
      <w:r>
        <w:t xml:space="preserve">ESS was 53 and R-hat was 1.07), because the stronger QCEW anchor better identifies the latent trajectory and reduces the coupling between global parameters and the 119-element latent state.</w:t>
      </w:r>
    </w:p>
    <w:bookmarkEnd w:id="42"/>
    <w:bookmarkStart w:id="43" w:name="latent-dynamics"/>
    <w:p>
      <w:pPr>
        <w:pStyle w:val="Heading3"/>
      </w:pPr>
      <w:r>
        <w:t xml:space="preserve">7.4 Latent Dynamics</w:t>
      </w:r>
    </w:p>
    <w:tbl>
      <w:tblPr>
        <w:tblStyle w:val="Table"/>
        <w:tblW w:type="pct" w:w="5000"/>
        <w:tblLayout w:type="fixed"/>
        <w:tblLook w:firstRow="1" w:lastRow="0" w:firstColumn="0" w:lastColumn="0" w:noHBand="0" w:noVBand="0" w:val="0020"/>
      </w:tblPr>
      <w:tblGrid>
        <w:gridCol w:w="1926"/>
        <w:gridCol w:w="1926"/>
        <w:gridCol w:w="1926"/>
        <w:gridCol w:w="2140"/>
      </w:tblGrid>
      <w:tr>
        <w:trPr>
          <w:tblHeader w:val="on"/>
        </w:trPr>
        <w:tc>
          <w:tcPr/>
          <w:p>
            <w:pPr>
              <w:pStyle w:val="Compact"/>
            </w:pPr>
            <w:r>
              <w:t xml:space="preserve">Parameter</w:t>
            </w:r>
          </w:p>
        </w:tc>
        <w:tc>
          <w:tcPr/>
          <w:p>
            <w:pPr>
              <w:pStyle w:val="Compact"/>
              <w:jc w:val="center"/>
            </w:pPr>
            <w:r>
              <w:t xml:space="preserve">Posterior mean</w:t>
            </w:r>
          </w:p>
        </w:tc>
        <w:tc>
          <w:tcPr/>
          <w:p>
            <w:pPr>
              <w:pStyle w:val="Compact"/>
              <w:jc w:val="center"/>
            </w:pPr>
            <w:r>
              <w:t xml:space="preserve">80% HDI</w:t>
            </w:r>
          </w:p>
        </w:tc>
        <w:tc>
          <w:tcPr/>
          <w:p>
            <w:pPr>
              <w:pStyle w:val="Compact"/>
            </w:pPr>
            <w:r>
              <w:t xml:space="preserve">Interpretation</w:t>
            </w:r>
          </w:p>
        </w:tc>
      </w:tr>
      <w:tr>
        <w:tc>
          <w:tcPr/>
          <w:p>
            <w:pPr>
              <w:pStyle w:val="Compact"/>
            </w:pPr>
            <m:oMath>
              <m:sSub>
                <m:e>
                  <m:r>
                    <m:t>μ</m:t>
                  </m:r>
                </m:e>
                <m:sub>
                  <m:r>
                    <m:t>g</m:t>
                  </m:r>
                </m:sub>
              </m:sSub>
            </m:oMath>
          </w:p>
        </w:tc>
        <w:tc>
          <w:tcPr/>
          <w:p>
            <w:pPr>
              <w:pStyle w:val="Compact"/>
              <w:jc w:val="center"/>
            </w:pPr>
            <w:r>
              <w:t xml:space="preserve">+0.001%/mo</w:t>
            </w:r>
          </w:p>
        </w:tc>
        <w:tc>
          <w:tcPr/>
          <w:p>
            <w:pPr>
              <w:pStyle w:val="Compact"/>
              <w:jc w:val="center"/>
            </w:pPr>
            <w:r>
              <w:t xml:space="preserve">[−0.2%, +0.3%]</w:t>
            </w:r>
          </w:p>
        </w:tc>
        <w:tc>
          <w:tcPr/>
          <w:p>
            <w:pPr>
              <w:pStyle w:val="Compact"/>
            </w:pPr>
            <w:r>
              <w:t xml:space="preserve">Long-run continuing-units growth near zero</w:t>
            </w:r>
          </w:p>
        </w:tc>
      </w:tr>
      <w:tr>
        <w:tc>
          <w:tcPr/>
          <w:p>
            <w:pPr>
              <w:pStyle w:val="Compact"/>
            </w:pPr>
            <m:oMath>
              <m:r>
                <m:t>ϕ</m:t>
              </m:r>
            </m:oMath>
          </w:p>
        </w:tc>
        <w:tc>
          <w:tcPr/>
          <w:p>
            <w:pPr>
              <w:pStyle w:val="Compact"/>
              <w:jc w:val="center"/>
            </w:pPr>
            <w:r>
              <w:t xml:space="preserve">0.066</w:t>
            </w:r>
          </w:p>
        </w:tc>
        <w:tc>
          <w:tcPr/>
          <w:p>
            <w:pPr>
              <w:pStyle w:val="Compact"/>
              <w:jc w:val="center"/>
            </w:pPr>
            <w:r>
              <w:t xml:space="preserve">[0.00, 0.11]</w:t>
            </w:r>
          </w:p>
        </w:tc>
        <w:tc>
          <w:tcPr/>
          <w:p>
            <w:pPr>
              <w:pStyle w:val="Compact"/>
            </w:pPr>
            <w:r>
              <w:t xml:space="preserve">Minimal persistence; shocks dissipate quickly</w:t>
            </w:r>
          </w:p>
        </w:tc>
      </w:tr>
      <w:tr>
        <w:tc>
          <w:tcPr/>
          <w:p>
            <w:pPr>
              <w:pStyle w:val="Compact"/>
            </w:pPr>
            <m:oMath>
              <m:sSub>
                <m:e>
                  <m:r>
                    <m:t>σ</m:t>
                  </m:r>
                </m:e>
                <m:sub>
                  <m:r>
                    <m:t>g</m:t>
                  </m:r>
                </m:sub>
              </m:sSub>
            </m:oMath>
          </w:p>
        </w:tc>
        <w:tc>
          <w:tcPr/>
          <w:p>
            <w:pPr>
              <w:pStyle w:val="Compact"/>
              <w:jc w:val="center"/>
            </w:pPr>
            <w:r>
              <w:t xml:space="preserve">1.6%/mo</w:t>
            </w:r>
          </w:p>
        </w:tc>
        <w:tc>
          <w:tcPr/>
          <w:p>
            <w:pPr>
              <w:pStyle w:val="Compact"/>
              <w:jc w:val="center"/>
            </w:pPr>
            <w:r>
              <w:t xml:space="preserve">[1.5%, 1.8%]</w:t>
            </w:r>
          </w:p>
        </w:tc>
        <w:tc>
          <w:tcPr/>
          <w:p>
            <w:pPr>
              <w:pStyle w:val="Compact"/>
            </w:pPr>
            <w:r>
              <w:t xml:space="preserve">Monthly innovation volatility</w:t>
            </w:r>
          </w:p>
        </w:tc>
      </w:tr>
    </w:tbl>
    <w:p>
      <w:pPr>
        <w:pStyle w:val="BodyText"/>
      </w:pPr>
      <w:r>
        <w:t xml:space="preserve">The near-zero</w:t>
      </w:r>
      <w:r>
        <w:t xml:space="preserve"> </w:t>
      </w:r>
      <m:oMath>
        <m:sSub>
          <m:e>
            <m:r>
              <m:t>μ</m:t>
            </m:r>
          </m:e>
          <m:sub>
            <m:r>
              <m:t>g</m:t>
            </m:r>
          </m:sub>
        </m:sSub>
      </m:oMath>
      <w:r>
        <w:t xml:space="preserve"> </w:t>
      </w:r>
      <w:r>
        <w:t xml:space="preserve">implies all trend employment growth comes from the birth/death offset. In a steady state, the continuing-units population is approximately constant (entries</w:t>
      </w:r>
      <w:r>
        <w:t xml:space="preserve"> </w:t>
      </w:r>
      <m:oMath>
        <m:r>
          <m:rPr>
            <m:sty m:val="p"/>
          </m:rPr>
          <m:t>≈</m:t>
        </m:r>
      </m:oMath>
      <w:r>
        <w:t xml:space="preserve"> </w:t>
      </w:r>
      <w:r>
        <w:t xml:space="preserve">exits from the panel), and net growth is driven by business formation.</w:t>
      </w:r>
    </w:p>
    <w:p>
      <w:pPr>
        <w:pStyle w:val="BodyText"/>
      </w:pPr>
      <w:r>
        <w:t xml:space="preserve">The low</w:t>
      </w:r>
      <w:r>
        <w:t xml:space="preserve"> </w:t>
      </w:r>
      <m:oMath>
        <m:r>
          <m:t>ϕ</m:t>
        </m:r>
      </m:oMath>
      <w:r>
        <w:t xml:space="preserve"> </w:t>
      </w:r>
      <w:r>
        <w:t xml:space="preserve">(0.07) indicates employment growth shocks are nearly transitory—a departure from random walk specifications common in the literature.</w:t>
      </w:r>
    </w:p>
    <w:bookmarkEnd w:id="43"/>
    <w:bookmarkStart w:id="44" w:name="birthdeath-offset-1"/>
    <w:p>
      <w:pPr>
        <w:pStyle w:val="Heading3"/>
      </w:pPr>
      <w:r>
        <w:t xml:space="preserve">7.5 Birth/Death Offset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jc w:val="right"/>
            </w:pPr>
            <w:r>
              <w:t xml:space="preserve">Value</w:t>
            </w:r>
          </w:p>
        </w:tc>
      </w:tr>
      <w:tr>
        <w:tc>
          <w:tcPr/>
          <w:p>
            <w:pPr>
              <w:pStyle w:val="Compact"/>
            </w:pPr>
            <w:r>
              <w:t xml:space="preserve">Mean</w:t>
            </w:r>
          </w:p>
        </w:tc>
        <w:tc>
          <w:tcPr/>
          <w:p>
            <w:pPr>
              <w:pStyle w:val="Compact"/>
              <w:jc w:val="right"/>
            </w:pPr>
            <w:r>
              <w:t xml:space="preserve">+0.014%/mo</w:t>
            </w:r>
          </w:p>
        </w:tc>
      </w:tr>
      <w:tr>
        <w:tc>
          <w:tcPr/>
          <w:p>
            <w:pPr>
              <w:pStyle w:val="Compact"/>
            </w:pPr>
            <w:r>
              <w:t xml:space="preserve">80% HDI</w:t>
            </w:r>
          </w:p>
        </w:tc>
        <w:tc>
          <w:tcPr/>
          <w:p>
            <w:pPr>
              <w:pStyle w:val="Compact"/>
              <w:jc w:val="right"/>
            </w:pPr>
            <w:r>
              <w:t xml:space="preserve">[−0.18%, +0.20%]</w:t>
            </w:r>
          </w:p>
        </w:tc>
      </w:tr>
      <w:tr>
        <w:tc>
          <w:tcPr/>
          <w:p>
            <w:pPr>
              <w:pStyle w:val="Compact"/>
            </w:pPr>
            <w:r>
              <w:t xml:space="preserve">Annualized</w:t>
            </w:r>
          </w:p>
        </w:tc>
        <w:tc>
          <w:tcPr/>
          <w:p>
            <w:pPr>
              <w:pStyle w:val="Compact"/>
              <w:jc w:val="right"/>
            </w:pPr>
            <w:r>
              <w:t xml:space="preserve">+0.17%</w:t>
            </w:r>
          </w:p>
        </w:tc>
      </w:tr>
    </w:tbl>
    <w:p>
      <w:pPr>
        <w:pStyle w:val="BodyText"/>
      </w:pPr>
      <w:r>
        <w:t xml:space="preserve">The BD offset is statistically indistinguishable from zero with wide uncertainty. This reflects genuine identification difficulty: BD is the difference between QCEW (total) and PP (continuing-units), both of which are noisy relative to this small quantity.</w:t>
      </w:r>
    </w:p>
    <w:bookmarkEnd w:id="44"/>
    <w:bookmarkStart w:id="45" w:name="ces-observation-parameters"/>
    <w:p>
      <w:pPr>
        <w:pStyle w:val="Heading3"/>
      </w:pPr>
      <w:r>
        <w:t xml:space="preserve">7.6 CES Observation Parameters</w:t>
      </w:r>
    </w:p>
    <w:tbl>
      <w:tblPr>
        <w:tblStyle w:val="Table"/>
        <w:tblW w:type="pct" w:w="5000"/>
        <w:tblLayout w:type="fixed"/>
        <w:tblLook w:firstRow="1" w:lastRow="0" w:firstColumn="0" w:lastColumn="0" w:noHBand="0" w:noVBand="0" w:val="0020"/>
      </w:tblPr>
      <w:tblGrid>
        <w:gridCol w:w="2420"/>
        <w:gridCol w:w="2200"/>
        <w:gridCol w:w="3300"/>
      </w:tblGrid>
      <w:tr>
        <w:trPr>
          <w:tblHeader w:val="on"/>
        </w:trPr>
        <w:tc>
          <w:tcPr/>
          <w:p>
            <w:pPr>
              <w:pStyle w:val="Compact"/>
            </w:pPr>
            <w:r>
              <w:t xml:space="preserve">Parameter</w:t>
            </w:r>
          </w:p>
        </w:tc>
        <w:tc>
          <w:tcPr/>
          <w:p>
            <w:pPr>
              <w:pStyle w:val="Compact"/>
              <w:jc w:val="center"/>
            </w:pPr>
            <w:r>
              <w:t xml:space="preserve">Estimate</w:t>
            </w:r>
          </w:p>
        </w:tc>
        <w:tc>
          <w:tcPr/>
          <w:p>
            <w:pPr>
              <w:pStyle w:val="Compact"/>
            </w:pPr>
            <w:r>
              <w:t xml:space="preserve">Interpretation</w:t>
            </w:r>
          </w:p>
        </w:tc>
      </w:tr>
      <w:tr>
        <w:tc>
          <w:tcPr/>
          <w:p>
            <w:pPr>
              <w:pStyle w:val="Compact"/>
            </w:pPr>
            <m:oMath>
              <m:sSub>
                <m:e>
                  <m:r>
                    <m:t>α</m:t>
                  </m:r>
                </m:e>
                <m:sub>
                  <m:r>
                    <m:rPr>
                      <m:nor/>
                      <m:sty m:val="p"/>
                    </m:rPr>
                    <m:t>CES</m:t>
                  </m:r>
                </m:sub>
              </m:sSub>
            </m:oMath>
          </w:p>
        </w:tc>
        <w:tc>
          <w:tcPr/>
          <w:p>
            <w:pPr>
              <w:pStyle w:val="Compact"/>
              <w:jc w:val="center"/>
            </w:pPr>
            <w:r>
              <w:t xml:space="preserve">+0.034%/mo</w:t>
            </w:r>
          </w:p>
        </w:tc>
        <w:tc>
          <w:tcPr/>
          <w:p>
            <w:pPr>
              <w:pStyle w:val="Compact"/>
            </w:pPr>
            <w:r>
              <w:t xml:space="preserve">CES overstates growth by ~0.4%/year vs QCEW</w:t>
            </w:r>
          </w:p>
        </w:tc>
      </w:tr>
      <w:tr>
        <w:tc>
          <w:tcPr/>
          <w:p>
            <w:pPr>
              <w:pStyle w:val="Compact"/>
            </w:pPr>
            <m:oMath>
              <m:sSub>
                <m:e>
                  <m:r>
                    <m:t>λ</m:t>
                  </m:r>
                </m:e>
                <m:sub>
                  <m:r>
                    <m:rPr>
                      <m:nor/>
                      <m:sty m:val="p"/>
                    </m:rPr>
                    <m:t>CES</m:t>
                  </m:r>
                </m:sub>
              </m:sSub>
            </m:oMath>
          </w:p>
        </w:tc>
        <w:tc>
          <w:tcPr/>
          <w:p>
            <w:pPr>
              <w:pStyle w:val="Compact"/>
              <w:jc w:val="center"/>
            </w:pPr>
            <w:r>
              <w:t xml:space="preserve">0.986 [0.98, 1.00]</w:t>
            </w:r>
          </w:p>
        </w:tc>
        <w:tc>
          <w:tcPr/>
          <w:p>
            <w:pPr>
              <w:pStyle w:val="Compact"/>
            </w:pPr>
            <w:r>
              <w:t xml:space="preserve">Near-unit loading; slight attenuation</w:t>
            </w:r>
          </w:p>
        </w:tc>
      </w:tr>
      <w:tr>
        <w:tc>
          <w:tcPr/>
          <w:p>
            <w:pPr>
              <w:pStyle w:val="Compact"/>
            </w:pPr>
            <m:oMath>
              <m:sSub>
                <m:e>
                  <m:r>
                    <m:t>σ</m:t>
                  </m:r>
                </m:e>
                <m:sub>
                  <m:r>
                    <m:rPr>
                      <m:nor/>
                      <m:sty m:val="p"/>
                    </m:rPr>
                    <m:t>CES,SA</m:t>
                  </m:r>
                </m:sub>
              </m:sSub>
            </m:oMath>
          </w:p>
        </w:tc>
        <w:tc>
          <w:tcPr/>
          <w:p>
            <w:pPr>
              <w:pStyle w:val="Compact"/>
              <w:jc w:val="center"/>
            </w:pPr>
            <w:r>
              <w:t xml:space="preserve">0.085%/mo</w:t>
            </w:r>
          </w:p>
        </w:tc>
        <w:tc>
          <w:tcPr/>
          <w:p>
            <w:pPr>
              <w:pStyle w:val="Compact"/>
            </w:pPr>
            <w:r>
              <w:t xml:space="preserve">CES SA measurement noise</w:t>
            </w:r>
          </w:p>
        </w:tc>
      </w:tr>
      <w:tr>
        <w:tc>
          <w:tcPr/>
          <w:p>
            <w:pPr>
              <w:pStyle w:val="Compact"/>
            </w:pPr>
            <m:oMath>
              <m:sSub>
                <m:e>
                  <m:r>
                    <m:t>σ</m:t>
                  </m:r>
                </m:e>
                <m:sub>
                  <m:r>
                    <m:rPr>
                      <m:nor/>
                      <m:sty m:val="p"/>
                    </m:rPr>
                    <m:t>CES,NSA</m:t>
                  </m:r>
                </m:sub>
              </m:sSub>
            </m:oMath>
          </w:p>
        </w:tc>
        <w:tc>
          <w:tcPr/>
          <w:p>
            <w:pPr>
              <w:pStyle w:val="Compact"/>
              <w:jc w:val="center"/>
            </w:pPr>
            <w:r>
              <w:t xml:space="preserve">0.093%/mo</w:t>
            </w:r>
          </w:p>
        </w:tc>
        <w:tc>
          <w:tcPr/>
          <w:p>
            <w:pPr>
              <w:pStyle w:val="Compact"/>
            </w:pPr>
            <w:r>
              <w:t xml:space="preserve">CES NSA measurement noise</w:t>
            </w:r>
          </w:p>
        </w:tc>
      </w:tr>
    </w:tbl>
    <w:p>
      <w:pPr>
        <w:pStyle w:val="BodyText"/>
      </w:pPr>
      <w:r>
        <w:rPr>
          <w:b/>
          <w:bCs/>
        </w:rPr>
        <w:t xml:space="preserve">The CES bias finding.</w:t>
      </w:r>
      <w:r>
        <w:t xml:space="preserve"> </w:t>
      </w:r>
      <m:oMath>
        <m:sSub>
          <m:e>
            <m:r>
              <m:t>α</m:t>
            </m:r>
          </m:e>
          <m:sub>
            <m:r>
              <m:rPr>
                <m:nor/>
                <m:sty m:val="p"/>
              </m:rPr>
              <m:t>CES</m:t>
            </m:r>
          </m:sub>
        </m:sSub>
        <m:r>
          <m:rPr>
            <m:sty m:val="p"/>
          </m:rPr>
          <m:t>=</m:t>
        </m:r>
        <m:r>
          <m:rPr>
            <m:sty m:val="p"/>
          </m:rPr>
          <m:t>+</m:t>
        </m:r>
        <m:r>
          <m:t>0.034</m:t>
        </m:r>
        <m:r>
          <m:rPr>
            <m:sty m:val="p"/>
          </m:rPr>
          <m:t>%</m:t>
        </m:r>
      </m:oMath>
      <w:r>
        <w:t xml:space="preserve">/month implies CES systematically overstates private employment growth by approximately 0.4%/year relative to the QCEW census, compounding to ~4% over a decade. This is consistent with the well-documented pattern of negative CES-to-QCEW benchmark revisions and may reflect assumptions in the CES birth/death model or declining survey response rates. Under the earlier, looser QCEW calibration (0.1% / 0.3%), the model estimated</w:t>
      </w:r>
      <w:r>
        <w:t xml:space="preserve"> </w:t>
      </w:r>
      <m:oMath>
        <m:sSub>
          <m:e>
            <m:r>
              <m:t>α</m:t>
            </m:r>
          </m:e>
          <m:sub>
            <m:r>
              <m:rPr>
                <m:nor/>
                <m:sty m:val="p"/>
              </m:rPr>
              <m:t>CES</m:t>
            </m:r>
          </m:sub>
        </m:sSub>
        <m:r>
          <m:rPr>
            <m:sty m:val="p"/>
          </m:rPr>
          <m:t>=</m:t>
        </m:r>
        <m:r>
          <m:rPr>
            <m:sty m:val="p"/>
          </m:rPr>
          <m:t>+</m:t>
        </m:r>
        <m:r>
          <m:t>0.051</m:t>
        </m:r>
        <m:r>
          <m:rPr>
            <m:sty m:val="p"/>
          </m:rPr>
          <m:t>%</m:t>
        </m:r>
      </m:oMath>
      <w:r>
        <w:t xml:space="preserve">/month; the tighter QCEW anchor reduces the estimated bias because the latent trajectory tracks QCEW more closely, leaving less gap for</w:t>
      </w:r>
      <w:r>
        <w:t xml:space="preserve"> </w:t>
      </w:r>
      <m:oMath>
        <m:sSub>
          <m:e>
            <m:r>
              <m:t>α</m:t>
            </m:r>
          </m:e>
          <m:sub>
            <m:r>
              <m:rPr>
                <m:nor/>
                <m:sty m:val="p"/>
              </m:rPr>
              <m:t>CES</m:t>
            </m:r>
          </m:sub>
        </m:sSub>
      </m:oMath>
      <w:r>
        <w:t xml:space="preserve"> </w:t>
      </w:r>
      <w:r>
        <w:t xml:space="preserve">to absorb.</w:t>
      </w:r>
    </w:p>
    <w:p>
      <w:pPr>
        <w:pStyle w:val="BodyText"/>
      </w:pPr>
      <w:r>
        <w:rPr>
          <w:b/>
          <w:bCs/>
        </w:rPr>
        <w:t xml:space="preserve">CES noise is higher than under the looser calibration.</w:t>
      </w:r>
      <w:r>
        <w:t xml:space="preserve"> </w:t>
      </w:r>
      <m:oMath>
        <m:sSub>
          <m:e>
            <m:r>
              <m:t>σ</m:t>
            </m:r>
          </m:e>
          <m:sub>
            <m:r>
              <m:rPr>
                <m:nor/>
                <m:sty m:val="p"/>
              </m:rPr>
              <m:t>CES,SA</m:t>
            </m:r>
          </m:sub>
        </m:sSub>
        <m:r>
          <m:rPr>
            <m:sty m:val="p"/>
          </m:rPr>
          <m:t>=</m:t>
        </m:r>
        <m:r>
          <m:t>0.085</m:t>
        </m:r>
        <m:r>
          <m:rPr>
            <m:sty m:val="p"/>
          </m:rPr>
          <m:t>%</m:t>
        </m:r>
      </m:oMath>
      <w:r>
        <w:t xml:space="preserve"> </w:t>
      </w:r>
      <w:r>
        <w:t xml:space="preserve">and</w:t>
      </w:r>
      <w:r>
        <w:t xml:space="preserve"> </w:t>
      </w:r>
      <m:oMath>
        <m:sSub>
          <m:e>
            <m:r>
              <m:t>σ</m:t>
            </m:r>
          </m:e>
          <m:sub>
            <m:r>
              <m:rPr>
                <m:nor/>
                <m:sty m:val="p"/>
              </m:rPr>
              <m:t>CES,NSA</m:t>
            </m:r>
          </m:sub>
        </m:sSub>
        <m:r>
          <m:rPr>
            <m:sty m:val="p"/>
          </m:rPr>
          <m:t>=</m:t>
        </m:r>
        <m:r>
          <m:t>0.093</m:t>
        </m:r>
        <m:r>
          <m:rPr>
            <m:sty m:val="p"/>
          </m:rPr>
          <m:t>%</m:t>
        </m:r>
      </m:oMath>
      <w:r>
        <w:t xml:space="preserve"> </w:t>
      </w:r>
      <w:r>
        <w:t xml:space="preserve">are roughly double the earlier estimates (~0.05%). With a tighter QCEW anchor, the latent is more tightly pinned to QCEW observations, and CES residuals relative to that anchor are larger. This is a more realistic estimate of CES survey noise for a sample of ~145,000 establishments.</w:t>
      </w:r>
    </w:p>
    <w:p>
      <w:pPr>
        <w:pStyle w:val="BodyText"/>
      </w:pPr>
      <m:oMath>
        <m:sSub>
          <m:e>
            <m:r>
              <m:t>λ</m:t>
            </m:r>
          </m:e>
          <m:sub>
            <m:r>
              <m:rPr>
                <m:nor/>
                <m:sty m:val="p"/>
              </m:rPr>
              <m:t>CES</m:t>
            </m:r>
          </m:sub>
        </m:sSub>
        <m:r>
          <m:rPr>
            <m:sty m:val="p"/>
          </m:rPr>
          <m:t>≈</m:t>
        </m:r>
        <m:r>
          <m:t>0.99</m:t>
        </m:r>
      </m:oMath>
      <w:r>
        <w:t xml:space="preserve"> </w:t>
      </w:r>
      <w:r>
        <w:t xml:space="preserve">indicates CES has no meaningful scale distortion—it faithfully maps the magnitude of growth fluctuations. The systematic error is primarily a level drift (bias), not a slope problem.</w:t>
      </w:r>
    </w:p>
    <w:bookmarkEnd w:id="45"/>
    <w:bookmarkStart w:id="46" w:name="pp-parameters"/>
    <w:p>
      <w:pPr>
        <w:pStyle w:val="Heading3"/>
      </w:pPr>
      <w:r>
        <w:t xml:space="preserve">7.7 PP Parameters</w:t>
      </w:r>
    </w:p>
    <w:tbl>
      <w:tblPr>
        <w:tblStyle w:val="Table"/>
        <w:tblW w:type="pct" w:w="5000"/>
        <w:tblLayout w:type="fixed"/>
        <w:tblLook w:firstRow="1" w:lastRow="0" w:firstColumn="0" w:lastColumn="0" w:noHBand="0" w:noVBand="0" w:val="0020"/>
      </w:tblPr>
      <w:tblGrid>
        <w:gridCol w:w="3363"/>
        <w:gridCol w:w="2278"/>
        <w:gridCol w:w="2278"/>
      </w:tblGrid>
      <w:tr>
        <w:trPr>
          <w:tblHeader w:val="on"/>
        </w:trPr>
        <w:tc>
          <w:tcPr/>
          <w:p>
            <w:pPr>
              <w:pStyle w:val="Compact"/>
            </w:pPr>
            <w:r>
              <w:t xml:space="preserve">Parameter</w:t>
            </w:r>
          </w:p>
        </w:tc>
        <w:tc>
          <w:tcPr/>
          <w:p>
            <w:pPr>
              <w:pStyle w:val="Compact"/>
              <w:jc w:val="right"/>
            </w:pPr>
            <w:r>
              <w:t xml:space="preserve">PP1</w:t>
            </w:r>
          </w:p>
        </w:tc>
        <w:tc>
          <w:tcPr/>
          <w:p>
            <w:pPr>
              <w:pStyle w:val="Compact"/>
              <w:jc w:val="right"/>
            </w:pPr>
            <w:r>
              <w:t xml:space="preserve">PP2</w:t>
            </w:r>
          </w:p>
        </w:tc>
      </w:tr>
      <w:tr>
        <w:tc>
          <w:tcPr/>
          <w:p>
            <w:pPr>
              <w:pStyle w:val="Compact"/>
            </w:pPr>
            <m:oMath>
              <m:sSub>
                <m:e>
                  <m:r>
                    <m:t>α</m:t>
                  </m:r>
                </m:e>
                <m:sub>
                  <m:r>
                    <m:t>p</m:t>
                  </m:r>
                </m:sub>
              </m:sSub>
            </m:oMath>
            <w:r>
              <w:t xml:space="preserve"> </w:t>
            </w:r>
            <w:r>
              <w:t xml:space="preserve">(%/mo)</w:t>
            </w:r>
          </w:p>
        </w:tc>
        <w:tc>
          <w:tcPr/>
          <w:p>
            <w:pPr>
              <w:pStyle w:val="Compact"/>
              <w:jc w:val="right"/>
            </w:pPr>
            <w:r>
              <w:t xml:space="preserve">+0.087</w:t>
            </w:r>
          </w:p>
        </w:tc>
        <w:tc>
          <w:tcPr/>
          <w:p>
            <w:pPr>
              <w:pStyle w:val="Compact"/>
              <w:jc w:val="right"/>
            </w:pPr>
            <w:r>
              <w:t xml:space="preserve">+0.224</w:t>
            </w:r>
          </w:p>
        </w:tc>
      </w:tr>
      <w:tr>
        <w:tc>
          <w:tcPr/>
          <w:p>
            <w:pPr>
              <w:pStyle w:val="Compact"/>
            </w:pPr>
            <m:oMath>
              <m:sSub>
                <m:e>
                  <m:r>
                    <m:t>λ</m:t>
                  </m:r>
                </m:e>
                <m:sub>
                  <m:r>
                    <m:t>p</m:t>
                  </m:r>
                </m:sub>
              </m:sSub>
            </m:oMath>
          </w:p>
        </w:tc>
        <w:tc>
          <w:tcPr/>
          <w:p>
            <w:pPr>
              <w:pStyle w:val="Compact"/>
              <w:jc w:val="right"/>
            </w:pPr>
            <w:r>
              <w:t xml:space="preserve">1.35 [1.31, 1.38]</w:t>
            </w:r>
          </w:p>
        </w:tc>
        <w:tc>
          <w:tcPr/>
          <w:p>
            <w:pPr>
              <w:pStyle w:val="Compact"/>
              <w:jc w:val="right"/>
            </w:pPr>
            <w:r>
              <w:t xml:space="preserve">1.53 [1.45, 1.60]</w:t>
            </w:r>
          </w:p>
        </w:tc>
      </w:tr>
      <w:tr>
        <w:tc>
          <w:tcPr/>
          <w:p>
            <w:pPr>
              <w:pStyle w:val="Compact"/>
            </w:pPr>
            <m:oMath>
              <m:sSub>
                <m:e>
                  <m:r>
                    <m:t>σ</m:t>
                  </m:r>
                </m:e>
                <m:sub>
                  <m:r>
                    <m:t>p</m:t>
                  </m:r>
                </m:sub>
              </m:sSub>
            </m:oMath>
            <w:r>
              <w:t xml:space="preserve"> </w:t>
            </w:r>
            <w:r>
              <w:t xml:space="preserve">(%/mo)</w:t>
            </w:r>
          </w:p>
        </w:tc>
        <w:tc>
          <w:tcPr/>
          <w:p>
            <w:pPr>
              <w:pStyle w:val="Compact"/>
              <w:jc w:val="right"/>
            </w:pPr>
            <w:r>
              <w:t xml:space="preserve">0.5</w:t>
            </w:r>
          </w:p>
        </w:tc>
        <w:tc>
          <w:tcPr/>
          <w:p>
            <w:pPr>
              <w:pStyle w:val="Compact"/>
              <w:jc w:val="right"/>
            </w:pPr>
            <w:r>
              <w:t xml:space="preserve">1.1</w:t>
            </w:r>
          </w:p>
        </w:tc>
      </w:tr>
      <w:tr>
        <w:tc>
          <w:tcPr/>
          <w:p>
            <w:pPr>
              <w:pStyle w:val="Compact"/>
            </w:pPr>
            <m:oMath>
              <m:r>
                <m:t>ρ</m:t>
              </m:r>
            </m:oMath>
          </w:p>
        </w:tc>
        <w:tc>
          <w:tcPr/>
          <w:p>
            <w:pPr>
              <w:pStyle w:val="Compact"/>
              <w:jc w:val="right"/>
            </w:pPr>
            <w:r>
              <w:t xml:space="preserve">0.29 [0.17, 0.42]</w:t>
            </w:r>
          </w:p>
        </w:tc>
        <w:tc>
          <w:tcPr/>
          <w:p>
            <w:pPr>
              <w:pStyle w:val="Compact"/>
              <w:jc w:val="right"/>
            </w:pPr>
            <w:r>
              <w:t xml:space="preserve">—</w:t>
            </w:r>
          </w:p>
        </w:tc>
      </w:tr>
      <w:tr>
        <w:tc>
          <w:tcPr/>
          <w:p>
            <w:pPr>
              <w:pStyle w:val="Compact"/>
            </w:pPr>
            <m:oMath>
              <m:sSub>
                <m:e>
                  <m:r>
                    <m:t>σ</m:t>
                  </m:r>
                </m:e>
                <m:sub>
                  <m:r>
                    <m:rPr>
                      <m:nor/>
                      <m:sty m:val="p"/>
                    </m:rPr>
                    <m:t>marg</m:t>
                  </m:r>
                </m:sub>
              </m:sSub>
            </m:oMath>
            <w:r>
              <w:t xml:space="preserve"> </w:t>
            </w:r>
            <w:r>
              <w:t xml:space="preserve">(%/mo)</w:t>
            </w:r>
          </w:p>
        </w:tc>
        <w:tc>
          <w:tcPr/>
          <w:p>
            <w:pPr>
              <w:pStyle w:val="Compact"/>
              <w:jc w:val="right"/>
            </w:pPr>
            <w:r>
              <w:t xml:space="preserve">0.54</w:t>
            </w:r>
          </w:p>
        </w:tc>
        <w:tc>
          <w:tcPr/>
          <w:p>
            <w:pPr>
              <w:pStyle w:val="Compact"/>
              <w:jc w:val="right"/>
            </w:pPr>
            <w:r>
              <w:t xml:space="preserve">—</w:t>
            </w:r>
          </w:p>
        </w:tc>
      </w:tr>
    </w:tbl>
    <w:p>
      <w:pPr>
        <w:pStyle w:val="BodyText"/>
      </w:pPr>
      <w:r>
        <w:rPr>
          <w:b/>
          <w:bCs/>
        </w:rPr>
        <w:t xml:space="preserve">PP loadings above unity.</w:t>
      </w:r>
      <w:r>
        <w:t xml:space="preserve"> </w:t>
      </w:r>
      <w:r>
        <w:t xml:space="preserve">Both PP series amplify the latent signal (</w:t>
      </w:r>
      <m:oMath>
        <m:r>
          <m:t>λ</m:t>
        </m:r>
        <m:r>
          <m:rPr>
            <m:sty m:val="p"/>
          </m:rPr>
          <m:t>&gt;</m:t>
        </m:r>
        <m:r>
          <m:t>1</m:t>
        </m:r>
      </m:oMath>
      <w:r>
        <w:t xml:space="preserve">). This reflects survivorship bias: when weak establishments exit the continuing-units panel, the remaining sample’s growth rate exceeds the population average. PP2 shows higher amplification (</w:t>
      </w:r>
      <m:oMath>
        <m:r>
          <m:t>λ</m:t>
        </m:r>
        <m:r>
          <m:rPr>
            <m:sty m:val="p"/>
          </m:rPr>
          <m:t>=</m:t>
        </m:r>
        <m:r>
          <m:t>1.53</m:t>
        </m:r>
      </m:oMath>
      <w:r>
        <w:t xml:space="preserve">) than PP1 (</w:t>
      </w:r>
      <m:oMath>
        <m:r>
          <m:t>λ</m:t>
        </m:r>
        <m:r>
          <m:rPr>
            <m:sty m:val="p"/>
          </m:rPr>
          <m:t>=</m:t>
        </m:r>
        <m:r>
          <m:t>1.35</m:t>
        </m:r>
      </m:oMath>
      <w:r>
        <w:t xml:space="preserve">), consistent with PP2’s smaller client base experiencing more turnover.</w:t>
      </w:r>
    </w:p>
    <w:p>
      <w:pPr>
        <w:pStyle w:val="BodyText"/>
      </w:pPr>
      <w:r>
        <w:rPr>
          <w:b/>
          <w:bCs/>
        </w:rPr>
        <w:t xml:space="preserve">PP1 autocorrelation.</w:t>
      </w:r>
      <w:r>
        <w:t xml:space="preserve"> </w:t>
      </w:r>
      <m:oMath>
        <m:r>
          <m:t>ρ</m:t>
        </m:r>
        <m:r>
          <m:rPr>
            <m:sty m:val="p"/>
          </m:rPr>
          <m:t>=</m:t>
        </m:r>
        <m:r>
          <m:t>0.29</m:t>
        </m:r>
      </m:oMath>
      <w:r>
        <w:t xml:space="preserve"> </w:t>
      </w:r>
      <w:r>
        <w:t xml:space="preserve">with HDI [0.16, 0.42] confirms autocorrelated measurement errors. The multi-establishment structure of PP1 clients creates persistent artifacts as firms restructure across months. The innovation sigma (0.5%) measures new information per observation; the marginal sigma (0.55%) is the total residual volatility.</w:t>
      </w:r>
    </w:p>
    <w:p>
      <w:pPr>
        <w:pStyle w:val="BodyText"/>
      </w:pPr>
      <w:r>
        <w:rPr>
          <w:b/>
          <w:bCs/>
        </w:rPr>
        <w:t xml:space="preserve">PP2 noise.</w:t>
      </w:r>
      <w:r>
        <w:t xml:space="preserve"> </w:t>
      </w:r>
      <w:r>
        <w:t xml:space="preserve">PP2’s higher noise (</w:t>
      </w:r>
      <m:oMath>
        <m:r>
          <m:t>σ</m:t>
        </m:r>
        <m:r>
          <m:rPr>
            <m:sty m:val="p"/>
          </m:rPr>
          <m:t>=</m:t>
        </m:r>
        <m:r>
          <m:t>1.1</m:t>
        </m:r>
        <m:r>
          <m:rPr>
            <m:sty m:val="p"/>
          </m:rPr>
          <m:t>%</m:t>
        </m:r>
      </m:oMath>
      <w:r>
        <w:t xml:space="preserve">) reflects its smaller, more volatile client base.</w:t>
      </w:r>
    </w:p>
    <w:bookmarkEnd w:id="46"/>
    <w:bookmarkStart w:id="47" w:name="precision-budget"/>
    <w:p>
      <w:pPr>
        <w:pStyle w:val="Heading3"/>
      </w:pPr>
      <w:r>
        <w:t xml:space="preserve">7.8 Precision Budget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jc w:val="center"/>
            </w:pPr>
            <w:r>
              <w:t xml:space="preserve">Obs</w:t>
            </w:r>
          </w:p>
        </w:tc>
        <w:tc>
          <w:tcPr/>
          <w:p>
            <w:pPr>
              <w:pStyle w:val="Compact"/>
              <w:jc w:val="center"/>
            </w:pPr>
            <w:r>
              <w:t xml:space="preserve">Prec/obs</w:t>
            </w:r>
          </w:p>
        </w:tc>
        <w:tc>
          <w:tcPr/>
          <w:p>
            <w:pPr>
              <w:pStyle w:val="Compact"/>
              <w:jc w:val="center"/>
            </w:pPr>
            <w:r>
              <w:t xml:space="preserve">Total prec</w:t>
            </w:r>
          </w:p>
        </w:tc>
        <w:tc>
          <w:tcPr/>
          <w:p>
            <w:pPr>
              <w:pStyle w:val="Compact"/>
              <w:jc w:val="right"/>
            </w:pPr>
            <w:r>
              <w:t xml:space="preserve">Share</w:t>
            </w:r>
          </w:p>
        </w:tc>
      </w:tr>
      <w:tr>
        <w:tc>
          <w:tcPr/>
          <w:p>
            <w:pPr>
              <w:pStyle w:val="Compact"/>
            </w:pPr>
            <w:r>
              <w:t xml:space="preserve">CES SA</w:t>
            </w:r>
          </w:p>
        </w:tc>
        <w:tc>
          <w:tcPr/>
          <w:p>
            <w:pPr>
              <w:pStyle w:val="Compact"/>
              <w:jc w:val="center"/>
            </w:pPr>
            <w:r>
              <w:t xml:space="preserve">119</w:t>
            </w:r>
          </w:p>
        </w:tc>
        <w:tc>
          <w:tcPr/>
          <w:p>
            <w:pPr>
              <w:pStyle w:val="Compact"/>
              <w:jc w:val="center"/>
            </w:pPr>
            <w:r>
              <w:t xml:space="preserve">1,345k</w:t>
            </w:r>
          </w:p>
        </w:tc>
        <w:tc>
          <w:tcPr/>
          <w:p>
            <w:pPr>
              <w:pStyle w:val="Compact"/>
              <w:jc w:val="center"/>
            </w:pPr>
            <w:r>
              <w:t xml:space="preserve">160M</w:t>
            </w:r>
          </w:p>
        </w:tc>
        <w:tc>
          <w:tcPr/>
          <w:p>
            <w:pPr>
              <w:pStyle w:val="Compact"/>
              <w:jc w:val="right"/>
            </w:pPr>
            <w:r>
              <w:t xml:space="preserve">32.8%</w:t>
            </w:r>
          </w:p>
        </w:tc>
      </w:tr>
      <w:tr>
        <w:tc>
          <w:tcPr/>
          <w:p>
            <w:pPr>
              <w:pStyle w:val="Compact"/>
            </w:pPr>
            <w:r>
              <w:t xml:space="preserve">CES NSA</w:t>
            </w:r>
          </w:p>
        </w:tc>
        <w:tc>
          <w:tcPr/>
          <w:p>
            <w:pPr>
              <w:pStyle w:val="Compact"/>
              <w:jc w:val="center"/>
            </w:pPr>
            <w:r>
              <w:t xml:space="preserve">119</w:t>
            </w:r>
          </w:p>
        </w:tc>
        <w:tc>
          <w:tcPr/>
          <w:p>
            <w:pPr>
              <w:pStyle w:val="Compact"/>
              <w:jc w:val="center"/>
            </w:pPr>
            <w:r>
              <w:t xml:space="preserve">1,126k</w:t>
            </w:r>
          </w:p>
        </w:tc>
        <w:tc>
          <w:tcPr/>
          <w:p>
            <w:pPr>
              <w:pStyle w:val="Compact"/>
              <w:jc w:val="center"/>
            </w:pPr>
            <w:r>
              <w:t xml:space="preserve">134M</w:t>
            </w:r>
          </w:p>
        </w:tc>
        <w:tc>
          <w:tcPr/>
          <w:p>
            <w:pPr>
              <w:pStyle w:val="Compact"/>
              <w:jc w:val="right"/>
            </w:pPr>
            <w:r>
              <w:t xml:space="preserve">27.5%</w:t>
            </w:r>
          </w:p>
        </w:tc>
      </w:tr>
      <w:tr>
        <w:tc>
          <w:tcPr/>
          <w:p>
            <w:pPr>
              <w:pStyle w:val="Compact"/>
            </w:pPr>
            <w:r>
              <w:t xml:space="preserve">PP1</w:t>
            </w:r>
          </w:p>
        </w:tc>
        <w:tc>
          <w:tcPr/>
          <w:p>
            <w:pPr>
              <w:pStyle w:val="Compact"/>
              <w:jc w:val="center"/>
            </w:pPr>
            <w:r>
              <w:t xml:space="preserve">113</w:t>
            </w:r>
          </w:p>
        </w:tc>
        <w:tc>
          <w:tcPr/>
          <w:p>
            <w:pPr>
              <w:pStyle w:val="Compact"/>
              <w:jc w:val="center"/>
            </w:pPr>
            <w:r>
              <w:t xml:space="preserve">62k</w:t>
            </w:r>
          </w:p>
        </w:tc>
        <w:tc>
          <w:tcPr/>
          <w:p>
            <w:pPr>
              <w:pStyle w:val="Compact"/>
              <w:jc w:val="center"/>
            </w:pPr>
            <w:r>
              <w:t xml:space="preserve">7M</w:t>
            </w:r>
          </w:p>
        </w:tc>
        <w:tc>
          <w:tcPr/>
          <w:p>
            <w:pPr>
              <w:pStyle w:val="Compact"/>
              <w:jc w:val="right"/>
            </w:pPr>
            <w:r>
              <w:t xml:space="preserve">1.4%</w:t>
            </w:r>
          </w:p>
        </w:tc>
      </w:tr>
      <w:tr>
        <w:tc>
          <w:tcPr/>
          <w:p>
            <w:pPr>
              <w:pStyle w:val="Compact"/>
            </w:pPr>
            <w:r>
              <w:t xml:space="preserve">PP2</w:t>
            </w:r>
          </w:p>
        </w:tc>
        <w:tc>
          <w:tcPr/>
          <w:p>
            <w:pPr>
              <w:pStyle w:val="Compact"/>
              <w:jc w:val="center"/>
            </w:pPr>
            <w:r>
              <w:t xml:space="preserve">82</w:t>
            </w:r>
          </w:p>
        </w:tc>
        <w:tc>
          <w:tcPr/>
          <w:p>
            <w:pPr>
              <w:pStyle w:val="Compact"/>
              <w:jc w:val="center"/>
            </w:pPr>
            <w:r>
              <w:t xml:space="preserve">19k</w:t>
            </w:r>
          </w:p>
        </w:tc>
        <w:tc>
          <w:tcPr/>
          <w:p>
            <w:pPr>
              <w:pStyle w:val="Compact"/>
              <w:jc w:val="center"/>
            </w:pPr>
            <w:r>
              <w:t xml:space="preserve">2M</w:t>
            </w:r>
          </w:p>
        </w:tc>
        <w:tc>
          <w:tcPr/>
          <w:p>
            <w:pPr>
              <w:pStyle w:val="Compact"/>
              <w:jc w:val="right"/>
            </w:pPr>
            <w:r>
              <w:t xml:space="preserve">0.3%</w:t>
            </w:r>
          </w:p>
        </w:tc>
      </w:tr>
      <w:tr>
        <w:tc>
          <w:tcPr/>
          <w:p>
            <w:pPr>
              <w:pStyle w:val="Compact"/>
            </w:pPr>
            <w:r>
              <w:t xml:space="preserve">QCEW (M3)</w:t>
            </w:r>
          </w:p>
        </w:tc>
        <w:tc>
          <w:tcPr/>
          <w:p>
            <w:pPr>
              <w:pStyle w:val="Compact"/>
              <w:jc w:val="center"/>
            </w:pPr>
            <w:r>
              <w:t xml:space="preserve">38</w:t>
            </w:r>
          </w:p>
        </w:tc>
        <w:tc>
          <w:tcPr/>
          <w:p>
            <w:pPr>
              <w:pStyle w:val="Compact"/>
              <w:jc w:val="center"/>
            </w:pPr>
            <w:r>
              <w:t xml:space="preserve">4,000k</w:t>
            </w:r>
          </w:p>
        </w:tc>
        <w:tc>
          <w:tcPr/>
          <w:p>
            <w:pPr>
              <w:pStyle w:val="Compact"/>
              <w:jc w:val="center"/>
            </w:pPr>
            <w:r>
              <w:t xml:space="preserve">152M</w:t>
            </w:r>
          </w:p>
        </w:tc>
        <w:tc>
          <w:tcPr/>
          <w:p>
            <w:pPr>
              <w:pStyle w:val="Compact"/>
              <w:jc w:val="right"/>
            </w:pPr>
            <w:r>
              <w:t xml:space="preserve">31.1%</w:t>
            </w:r>
          </w:p>
        </w:tc>
      </w:tr>
      <w:tr>
        <w:tc>
          <w:tcPr/>
          <w:p>
            <w:pPr>
              <w:pStyle w:val="Compact"/>
            </w:pPr>
            <w:r>
              <w:t xml:space="preserve">QCEW (M1–2)</w:t>
            </w:r>
          </w:p>
        </w:tc>
        <w:tc>
          <w:tcPr/>
          <w:p>
            <w:pPr>
              <w:pStyle w:val="Compact"/>
              <w:jc w:val="center"/>
            </w:pPr>
            <w:r>
              <w:t xml:space="preserve">75</w:t>
            </w:r>
          </w:p>
        </w:tc>
        <w:tc>
          <w:tcPr/>
          <w:p>
            <w:pPr>
              <w:pStyle w:val="Compact"/>
              <w:jc w:val="center"/>
            </w:pPr>
            <w:r>
              <w:t xml:space="preserve">444k</w:t>
            </w:r>
          </w:p>
        </w:tc>
        <w:tc>
          <w:tcPr/>
          <w:p>
            <w:pPr>
              <w:pStyle w:val="Compact"/>
              <w:jc w:val="center"/>
            </w:pPr>
            <w:r>
              <w:t xml:space="preserve">33M</w:t>
            </w:r>
          </w:p>
        </w:tc>
        <w:tc>
          <w:tcPr/>
          <w:p>
            <w:pPr>
              <w:pStyle w:val="Compact"/>
              <w:jc w:val="right"/>
            </w:pPr>
            <w:r>
              <w:t xml:space="preserve">6.8%</w:t>
            </w:r>
          </w:p>
        </w:tc>
      </w:tr>
      <w:tr>
        <w:tc>
          <w:tcPr/>
          <w:p>
            <w:pPr>
              <w:pStyle w:val="Compact"/>
            </w:pPr>
            <w:r>
              <w:rPr>
                <w:b/>
                <w:bCs/>
              </w:rPr>
              <w:t xml:space="preserve">Total</w:t>
            </w:r>
          </w:p>
        </w:tc>
        <w:tc>
          <w:tcPr/>
          <w:p>
            <w:pPr>
              <w:pStyle w:val="Compact"/>
            </w:pPr>
          </w:p>
        </w:tc>
        <w:tc>
          <w:tcPr/>
          <w:p>
            <w:pPr>
              <w:pStyle w:val="Compact"/>
            </w:pPr>
          </w:p>
        </w:tc>
        <w:tc>
          <w:tcPr/>
          <w:p>
            <w:pPr>
              <w:pStyle w:val="Compact"/>
              <w:jc w:val="center"/>
            </w:pPr>
            <w:r>
              <w:rPr>
                <w:b/>
                <w:bCs/>
              </w:rPr>
              <w:t xml:space="preserve">488M</w:t>
            </w:r>
          </w:p>
        </w:tc>
        <w:tc>
          <w:tcPr/>
          <w:p>
            <w:pPr>
              <w:pStyle w:val="Compact"/>
              <w:jc w:val="right"/>
            </w:pPr>
            <w:r>
              <w:rPr>
                <w:b/>
                <w:bCs/>
              </w:rPr>
              <w:t xml:space="preserve">100%</w:t>
            </w:r>
          </w:p>
        </w:tc>
      </w:tr>
    </w:tbl>
    <w:p>
      <w:pPr>
        <w:pStyle w:val="BodyText"/>
      </w:pPr>
      <w:r>
        <w:rPr>
          <w:b/>
          <w:bCs/>
        </w:rPr>
        <w:t xml:space="preserve">National-level interpretation.</w:t>
      </w:r>
      <w:r>
        <w:t xml:space="preserve"> </w:t>
      </w:r>
      <w:r>
        <w:t xml:space="preserve">CES contributes 60.3% and QCEW contributes 37.9%. The tightened QCEW sigmas (0.05% M3, 0.15% M1–2) give QCEW enough weight to actually anchor the latent trajectory month-to-month. Under the earlier, looser calibration (0.1% / 0.3%), QCEW had only 4% share and the latent index drifted systematically below QCEW observations as CES (95%) dominated filtering. CES noise is now estimated at ~0.09%—more realistic for a survey of 145,000 establishments—rather than the artificially tight ~0.05% that arose when QCEW lacked sufficient precision to constrain the latent. PP contributes 1.7% combined.</w:t>
      </w:r>
    </w:p>
    <w:p>
      <w:pPr>
        <w:pStyle w:val="BodyText"/>
      </w:pPr>
      <w:r>
        <w:rPr>
          <w:b/>
          <w:bCs/>
        </w:rPr>
        <w:t xml:space="preserve">This balance will invert at state</w:t>
      </w:r>
      <w:r>
        <w:t xml:space="preserve"> </w:t>
      </w:r>
      <m:oMath>
        <m:r>
          <m:rPr>
            <m:sty m:val="p"/>
          </m:rPr>
          <m:t>×</m:t>
        </m:r>
      </m:oMath>
      <w:r>
        <w:t xml:space="preserve"> </w:t>
      </w:r>
      <w:r>
        <w:t xml:space="preserve">supersector. CES noise scales as</w:t>
      </w:r>
      <w:r>
        <w:t xml:space="preserve"> </w:t>
      </w:r>
      <m:oMath>
        <m:r>
          <m:rPr>
            <m:sty m:val="p"/>
          </m:rPr>
          <m:t>∼</m:t>
        </m:r>
        <m:r>
          <m:t>1</m:t>
        </m:r>
        <m:r>
          <m:rPr>
            <m:sty m:val="p"/>
          </m:rPr>
          <m:t>/</m:t>
        </m:r>
        <m:rad>
          <m:radPr>
            <m:degHide m:val="on"/>
          </m:radPr>
          <m:deg/>
          <m:e>
            <m:r>
              <m:t>n</m:t>
            </m:r>
          </m:e>
        </m:rad>
      </m:oMath>
      <w:r>
        <w:t xml:space="preserve"> </w:t>
      </w:r>
      <w:r>
        <w:t xml:space="preserve">where</w:t>
      </w:r>
      <w:r>
        <w:t xml:space="preserve"> </w:t>
      </w:r>
      <m:oMath>
        <m:r>
          <m:t>n</m:t>
        </m:r>
      </m:oMath>
      <w:r>
        <w:t xml:space="preserve"> </w:t>
      </w:r>
      <w:r>
        <w:t xml:space="preserve">is the sample size. At a typical state-supersector cell,</w:t>
      </w:r>
      <w:r>
        <w:t xml:space="preserve"> </w:t>
      </w:r>
      <m:oMath>
        <m:sSub>
          <m:e>
            <m:r>
              <m:t>σ</m:t>
            </m:r>
          </m:e>
          <m:sub>
            <m:r>
              <m:rPr>
                <m:nor/>
                <m:sty m:val="p"/>
              </m:rPr>
              <m:t>CES</m:t>
            </m:r>
          </m:sub>
        </m:sSub>
      </m:oMath>
      <w:r>
        <w:t xml:space="preserve"> </w:t>
      </w:r>
      <w:r>
        <w:t xml:space="preserve">could be 0.5–2%, reducing CES per-observation precision by 30–500</w:t>
      </w:r>
      <m:oMath>
        <m:r>
          <m:rPr>
            <m:sty m:val="p"/>
          </m:rPr>
          <m:t>×</m:t>
        </m:r>
      </m:oMath>
      <w:r>
        <w:t xml:space="preserve"> </w:t>
      </w:r>
      <w:r>
        <w:t xml:space="preserve">and making QCEW the dominant information source.</w:t>
      </w:r>
    </w:p>
    <w:bookmarkEnd w:id="47"/>
    <w:bookmarkStart w:id="48" w:name="seasonal-pattern"/>
    <w:p>
      <w:pPr>
        <w:pStyle w:val="Heading3"/>
      </w:pPr>
      <w:r>
        <w:t xml:space="preserve">7.9 Seasonal Pattern</w:t>
      </w:r>
    </w:p>
    <w:p>
      <w:pPr>
        <w:pStyle w:val="FirstParagraph"/>
      </w:pPr>
      <w:r>
        <w:t xml:space="preserve">The estimated seasonal is consistent with the empirical CES SA–NSA differential:</w:t>
      </w:r>
    </w:p>
    <w:p>
      <w:pPr>
        <w:pStyle w:val="Compact"/>
        <w:numPr>
          <w:ilvl w:val="0"/>
          <w:numId w:val="1004"/>
        </w:numPr>
      </w:pPr>
      <w:r>
        <w:rPr>
          <w:b/>
          <w:bCs/>
        </w:rPr>
        <w:t xml:space="preserve">January</w:t>
      </w:r>
      <w:r>
        <w:t xml:space="preserve">: −2.0% (post-holiday layoffs)</w:t>
      </w:r>
    </w:p>
    <w:p>
      <w:pPr>
        <w:pStyle w:val="Compact"/>
        <w:numPr>
          <w:ilvl w:val="0"/>
          <w:numId w:val="1004"/>
        </w:numPr>
      </w:pPr>
      <w:r>
        <w:rPr>
          <w:b/>
          <w:bCs/>
        </w:rPr>
        <w:t xml:space="preserve">June</w:t>
      </w:r>
      <w:r>
        <w:t xml:space="preserve">: +0.8% (summer hiring)</w:t>
      </w:r>
    </w:p>
    <w:p>
      <w:pPr>
        <w:pStyle w:val="Compact"/>
        <w:numPr>
          <w:ilvl w:val="0"/>
          <w:numId w:val="1004"/>
        </w:numPr>
      </w:pPr>
      <w:r>
        <w:rPr>
          <w:b/>
          <w:bCs/>
        </w:rPr>
        <w:t xml:space="preserve">September–October</w:t>
      </w:r>
      <w:r>
        <w:t xml:space="preserve">: −0.8% (seasonal transitions)</w:t>
      </w:r>
    </w:p>
    <w:p>
      <w:pPr>
        <w:pStyle w:val="FirstParagraph"/>
      </w:pPr>
      <w:r>
        <w:t xml:space="preserve">The seasonal is well-identified from simultaneous CES SA and NSA data, crosschecked against monthly QCEW.</w:t>
      </w:r>
    </w:p>
    <w:p>
      <w:r>
        <w:pict>
          <v:rect style="width:0;height:1.5pt" o:hralign="center" o:hrstd="t" o:hr="t"/>
        </w:pict>
      </w:r>
    </w:p>
    <w:bookmarkEnd w:id="48"/>
    <w:bookmarkEnd w:id="49"/>
    <w:bookmarkStart w:id="53" w:name="forecasting"/>
    <w:p>
      <w:pPr>
        <w:pStyle w:val="Heading2"/>
      </w:pPr>
      <w:r>
        <w:t xml:space="preserve">8. Forecasting</w:t>
      </w:r>
    </w:p>
    <w:p>
      <w:pPr>
        <w:pStyle w:val="FirstParagraph"/>
      </w:pPr>
      <w:r>
        <w:t xml:space="preserve">Reported forecast output is</w:t>
      </w:r>
      <w:r>
        <w:t xml:space="preserve"> </w:t>
      </w:r>
      <w:r>
        <w:rPr>
          <w:b/>
          <w:bCs/>
        </w:rPr>
        <w:t xml:space="preserve">jobs added</w:t>
      </w:r>
      <w:r>
        <w:t xml:space="preserve"> </w:t>
      </w:r>
      <w:r>
        <w:t xml:space="preserve">(month-over-month change in thousands, SA and NSA) first; index and level are derived for consistency and optional use.</w:t>
      </w:r>
    </w:p>
    <w:bookmarkStart w:id="50" w:name="method"/>
    <w:p>
      <w:pPr>
        <w:pStyle w:val="Heading3"/>
      </w:pPr>
      <w:r>
        <w:t xml:space="preserve">8.1 Method</w:t>
      </w:r>
    </w:p>
    <w:p>
      <w:pPr>
        <w:pStyle w:val="FirstParagraph"/>
      </w:pPr>
      <w:r>
        <w:t xml:space="preserve">Forecasts are generated by simulating the AR(1) forward from the last posterior state:</w:t>
      </w:r>
    </w:p>
    <w:p>
      <w:pPr>
        <w:pStyle w:val="BodyText"/>
      </w:pPr>
      <m:oMathPara>
        <m:oMathParaPr>
          <m:jc m:val="center"/>
        </m:oMathParaPr>
        <m:oMath>
          <m:sSubSup>
            <m:e>
              <m:r>
                <m:t>g</m:t>
              </m:r>
            </m:e>
            <m:sub>
              <m:r>
                <m:t>T</m:t>
              </m:r>
              <m:r>
                <m:rPr>
                  <m:sty m:val="p"/>
                </m:rPr>
                <m:t>+</m:t>
              </m:r>
              <m:r>
                <m:t>h</m:t>
              </m:r>
            </m:sub>
            <m:sup>
              <m:r>
                <m:rPr>
                  <m:nor/>
                  <m:sty m:val="p"/>
                </m:rPr>
                <m:t>cont</m:t>
              </m:r>
            </m:sup>
          </m:sSubSup>
          <m:r>
            <m:rPr>
              <m:sty m:val="p"/>
            </m:rPr>
            <m:t>=</m:t>
          </m:r>
          <m:sSub>
            <m:e>
              <m:r>
                <m:t>μ</m:t>
              </m:r>
            </m:e>
            <m:sub>
              <m:r>
                <m:t>g</m:t>
              </m:r>
            </m:sub>
          </m:sSub>
          <m:r>
            <m:rPr>
              <m:sty m:val="p"/>
            </m:rPr>
            <m:t>+</m:t>
          </m:r>
          <m:r>
            <m:t>ϕ</m:t>
          </m:r>
          <m:d>
            <m:dPr>
              <m:begChr m:val="("/>
              <m:sepChr m:val=""/>
              <m:endChr m:val=")"/>
              <m:grow/>
            </m:dPr>
            <m:e>
              <m:sSubSup>
                <m:e>
                  <m:r>
                    <m:t>g</m:t>
                  </m:r>
                </m:e>
                <m:sub>
                  <m:r>
                    <m:t>T</m:t>
                  </m:r>
                  <m:r>
                    <m:rPr>
                      <m:sty m:val="p"/>
                    </m:rPr>
                    <m:t>+</m:t>
                  </m:r>
                  <m:r>
                    <m:t>h</m:t>
                  </m:r>
                  <m:r>
                    <m:rPr>
                      <m:sty m:val="p"/>
                    </m:rPr>
                    <m:t>−</m:t>
                  </m:r>
                  <m:r>
                    <m:t>1</m:t>
                  </m:r>
                </m:sub>
                <m:sup>
                  <m:r>
                    <m:rPr>
                      <m:nor/>
                      <m:sty m:val="p"/>
                    </m:rPr>
                    <m:t>cont</m:t>
                  </m:r>
                </m:sup>
              </m:sSubSup>
              <m:r>
                <m:rPr>
                  <m:sty m:val="p"/>
                </m:rPr>
                <m:t>−</m:t>
              </m:r>
              <m:sSub>
                <m:e>
                  <m:r>
                    <m:t>μ</m:t>
                  </m:r>
                </m:e>
                <m:sub>
                  <m:r>
                    <m:t>g</m:t>
                  </m:r>
                </m:sub>
              </m:sSub>
            </m:e>
          </m:d>
          <m:r>
            <m:rPr>
              <m:sty m:val="p"/>
            </m:rPr>
            <m:t>+</m:t>
          </m:r>
          <m:sSub>
            <m:e>
              <m:r>
                <m:t>σ</m:t>
              </m:r>
            </m:e>
            <m:sub>
              <m:r>
                <m:t>g</m:t>
              </m:r>
            </m:sub>
          </m:sSub>
          <m:r>
            <m:t> </m:t>
          </m:r>
          <m:sSub>
            <m:e>
              <m:r>
                <m:t>ε</m:t>
              </m:r>
            </m:e>
            <m:sub>
              <m:r>
                <m:t>T</m:t>
              </m:r>
              <m:r>
                <m:rPr>
                  <m:sty m:val="p"/>
                </m:rPr>
                <m:t>+</m:t>
              </m:r>
              <m:r>
                <m:t>h</m:t>
              </m:r>
            </m:sub>
          </m:sSub>
        </m:oMath>
      </m:oMathPara>
    </w:p>
    <w:p>
      <w:pPr>
        <w:pStyle w:val="FirstParagraph"/>
      </w:pPr>
      <w:r>
        <w:t xml:space="preserve">with</w:t>
      </w:r>
      <w:r>
        <w:t xml:space="preserve"> </w:t>
      </w:r>
      <m:oMath>
        <m:sSubSup>
          <m:e>
            <m:r>
              <m:t>g</m:t>
            </m:r>
          </m:e>
          <m:sub>
            <m:r>
              <m:t>T</m:t>
            </m:r>
            <m:r>
              <m:rPr>
                <m:sty m:val="p"/>
              </m:rPr>
              <m:t>+</m:t>
            </m:r>
            <m:r>
              <m:t>h</m:t>
            </m:r>
          </m:sub>
          <m:sup>
            <m:r>
              <m:rPr>
                <m:nor/>
                <m:sty m:val="p"/>
              </m:rPr>
              <m:t>total,sa</m:t>
            </m:r>
          </m:sup>
        </m:sSubSup>
        <m:r>
          <m:rPr>
            <m:sty m:val="p"/>
          </m:rPr>
          <m:t>=</m:t>
        </m:r>
        <m:sSubSup>
          <m:e>
            <m:r>
              <m:t>g</m:t>
            </m:r>
          </m:e>
          <m:sub>
            <m:r>
              <m:t>T</m:t>
            </m:r>
            <m:r>
              <m:rPr>
                <m:sty m:val="p"/>
              </m:rPr>
              <m:t>+</m:t>
            </m:r>
            <m:r>
              <m:t>h</m:t>
            </m:r>
          </m:sub>
          <m:sup>
            <m:r>
              <m:rPr>
                <m:nor/>
                <m:sty m:val="p"/>
              </m:rPr>
              <m:t>cont</m:t>
            </m:r>
          </m:sup>
        </m:sSubSup>
        <m:r>
          <m:rPr>
            <m:sty m:val="p"/>
          </m:rPr>
          <m:t>+</m:t>
        </m:r>
        <m:r>
          <m:rPr>
            <m:nor/>
            <m:sty m:val="p"/>
          </m:rPr>
          <m:t>bd</m:t>
        </m:r>
      </m:oMath>
      <w:r>
        <w:t xml:space="preserve"> </w:t>
      </w:r>
      <w:r>
        <w:t xml:space="preserve">and</w:t>
      </w:r>
      <w:r>
        <w:t xml:space="preserve"> </w:t>
      </w:r>
      <m:oMath>
        <m:sSubSup>
          <m:e>
            <m:r>
              <m:t>g</m:t>
            </m:r>
          </m:e>
          <m:sub>
            <m:r>
              <m:t>T</m:t>
            </m:r>
            <m:r>
              <m:rPr>
                <m:sty m:val="p"/>
              </m:rPr>
              <m:t>+</m:t>
            </m:r>
            <m:r>
              <m:t>h</m:t>
            </m:r>
          </m:sub>
          <m:sup>
            <m:r>
              <m:rPr>
                <m:nor/>
                <m:sty m:val="p"/>
              </m:rPr>
              <m:t>total,nsa</m:t>
            </m:r>
          </m:sup>
        </m:sSubSup>
        <m:r>
          <m:rPr>
            <m:sty m:val="p"/>
          </m:rPr>
          <m:t>=</m:t>
        </m:r>
        <m:sSubSup>
          <m:e>
            <m:r>
              <m:t>g</m:t>
            </m:r>
          </m:e>
          <m:sub>
            <m:r>
              <m:t>T</m:t>
            </m:r>
            <m:r>
              <m:rPr>
                <m:sty m:val="p"/>
              </m:rPr>
              <m:t>+</m:t>
            </m:r>
            <m:r>
              <m:t>h</m:t>
            </m:r>
          </m:sub>
          <m:sup>
            <m:r>
              <m:rPr>
                <m:nor/>
                <m:sty m:val="p"/>
              </m:rPr>
              <m:t>cont</m:t>
            </m:r>
          </m:sup>
        </m:sSubSup>
        <m:r>
          <m:rPr>
            <m:sty m:val="p"/>
          </m:rPr>
          <m:t>+</m:t>
        </m:r>
        <m:sSub>
          <m:e>
            <m:r>
              <m:t>s</m:t>
            </m:r>
          </m:e>
          <m:sub>
            <m:r>
              <m:t>m</m:t>
            </m:r>
            <m:d>
              <m:dPr>
                <m:begChr m:val="("/>
                <m:sepChr m:val=""/>
                <m:endChr m:val=")"/>
                <m:grow/>
              </m:dPr>
              <m:e>
                <m:r>
                  <m:t>T</m:t>
                </m:r>
                <m:r>
                  <m:rPr>
                    <m:sty m:val="p"/>
                  </m:rPr>
                  <m:t>+</m:t>
                </m:r>
                <m:r>
                  <m:t>h</m:t>
                </m:r>
              </m:e>
            </m:d>
          </m:sub>
        </m:sSub>
        <m:r>
          <m:rPr>
            <m:sty m:val="p"/>
          </m:rPr>
          <m:t>+</m:t>
        </m:r>
        <m:r>
          <m:rPr>
            <m:nor/>
            <m:sty m:val="p"/>
          </m:rPr>
          <m:t>bd</m:t>
        </m:r>
      </m:oMath>
      <w:r>
        <w:t xml:space="preserve">.</w:t>
      </w:r>
    </w:p>
    <w:p>
      <w:pPr>
        <w:pStyle w:val="BodyText"/>
      </w:pPr>
      <w:r>
        <w:t xml:space="preserve">Index levels are reconstructed by cumulating log growth rates; employment levels (thousands) by scaling against the base-period employment-to-index ratio. For NFP communication,</w:t>
      </w:r>
      <w:r>
        <w:t xml:space="preserve"> </w:t>
      </w:r>
      <w:r>
        <w:rPr>
          <w:b/>
          <w:bCs/>
        </w:rPr>
        <w:t xml:space="preserve">change</w:t>
      </w:r>
      <w:r>
        <w:t xml:space="preserve"> </w:t>
      </w:r>
      <w:r>
        <w:t xml:space="preserve">is primary: the model reports</w:t>
      </w:r>
      <w:r>
        <w:t xml:space="preserve"> </w:t>
      </w:r>
      <w:r>
        <w:rPr>
          <w:i/>
          <w:iCs/>
        </w:rPr>
        <w:t xml:space="preserve">jobs added</w:t>
      </w:r>
      <w:r>
        <w:t xml:space="preserve"> </w:t>
      </w:r>
      <w:r>
        <w:t xml:space="preserve">(month-over-month change in thousands, SA and NSA), e.g. </w:t>
      </w:r>
      <w:r>
        <w:t xml:space="preserve">“The economy added 138k jobs on a seasonally adjusted basis (−259k not seasonally adjusted).”</w:t>
      </w:r>
      <w:r>
        <w:t xml:space="preserve"> </w:t>
      </w:r>
      <w:r>
        <w:t xml:space="preserve">The main forecast figure (saved as</w:t>
      </w:r>
      <w:r>
        <w:t xml:space="preserve"> </w:t>
      </w:r>
      <w:r>
        <w:rPr>
          <w:rStyle w:val="VerbatimChar"/>
        </w:rPr>
        <w:t xml:space="preserve">forecast_levels.png</w:t>
      </w:r>
      <w:r>
        <w:t xml:space="preserve">) plots</w:t>
      </w:r>
      <w:r>
        <w:t xml:space="preserve"> </w:t>
      </w:r>
      <w:r>
        <w:rPr>
          <w:b/>
          <w:bCs/>
        </w:rPr>
        <w:t xml:space="preserve">jobs added</w:t>
      </w:r>
      <w:r>
        <w:t xml:space="preserve"> </w:t>
      </w:r>
      <w:r>
        <w:t xml:space="preserve">(month-over-month change) for SA and NSA; console output leads with the same. Employment levels are available for reference.</w:t>
      </w:r>
    </w:p>
    <w:bookmarkEnd w:id="50"/>
    <w:bookmarkStart w:id="51" w:name="january-2026-forecast"/>
    <w:p>
      <w:pPr>
        <w:pStyle w:val="Heading3"/>
      </w:pPr>
      <w:r>
        <w:t xml:space="preserve">8.2 January 2026 Forecast</w:t>
      </w:r>
    </w:p>
    <w:tbl>
      <w:tblPr>
        <w:tblStyle w:val="Table"/>
        <w:tblW w:type="pct" w:w="5000"/>
        <w:tblLayout w:type="fixed"/>
        <w:tblLook w:firstRow="1" w:lastRow="0" w:firstColumn="0" w:lastColumn="0" w:noHBand="0" w:noVBand="0" w:val="0020"/>
      </w:tblPr>
      <w:tblGrid>
        <w:gridCol w:w="3300"/>
        <w:gridCol w:w="2420"/>
        <w:gridCol w:w="2200"/>
      </w:tblGrid>
      <w:tr>
        <w:trPr>
          <w:tblHeader w:val="on"/>
        </w:trPr>
        <w:tc>
          <w:tcPr/>
          <w:p>
            <w:pPr>
              <w:pStyle w:val="Compact"/>
            </w:pPr>
            <w:r>
              <w:t xml:space="preserve">Metric</w:t>
            </w:r>
          </w:p>
        </w:tc>
        <w:tc>
          <w:tcPr/>
          <w:p>
            <w:pPr>
              <w:pStyle w:val="Compact"/>
              <w:jc w:val="right"/>
            </w:pPr>
            <w:r>
              <w:t xml:space="preserve">SA</w:t>
            </w:r>
          </w:p>
        </w:tc>
        <w:tc>
          <w:tcPr/>
          <w:p>
            <w:pPr>
              <w:pStyle w:val="Compact"/>
              <w:jc w:val="right"/>
            </w:pPr>
            <w:r>
              <w:t xml:space="preserve">NSA</w:t>
            </w:r>
          </w:p>
        </w:tc>
      </w:tr>
      <w:tr>
        <w:tc>
          <w:tcPr/>
          <w:p>
            <w:pPr>
              <w:pStyle w:val="Compact"/>
            </w:pPr>
            <w:r>
              <w:t xml:space="preserve">Jobs added (mean, thousands)</w:t>
            </w:r>
          </w:p>
        </w:tc>
        <w:tc>
          <w:tcPr/>
          <w:p>
            <w:pPr>
              <w:pStyle w:val="Compact"/>
              <w:jc w:val="right"/>
            </w:pPr>
            <w:r>
              <w:t xml:space="preserve">+122k</w:t>
            </w:r>
          </w:p>
        </w:tc>
        <w:tc>
          <w:tcPr/>
          <w:p>
            <w:pPr>
              <w:pStyle w:val="Compact"/>
              <w:jc w:val="right"/>
            </w:pPr>
            <w:r>
              <w:t xml:space="preserve">−2,572k</w:t>
            </w:r>
          </w:p>
        </w:tc>
      </w:tr>
      <w:tr>
        <w:tc>
          <w:tcPr/>
          <w:p>
            <w:pPr>
              <w:pStyle w:val="Compact"/>
            </w:pPr>
            <w:r>
              <w:t xml:space="preserve">Jobs added (80% HDI)</w:t>
            </w:r>
          </w:p>
        </w:tc>
        <w:tc>
          <w:tcPr/>
          <w:p>
            <w:pPr>
              <w:pStyle w:val="Compact"/>
              <w:jc w:val="right"/>
            </w:pPr>
            <w:r>
              <w:t xml:space="preserve">[−2,641k, +2,905k]</w:t>
            </w:r>
          </w:p>
        </w:tc>
        <w:tc>
          <w:tcPr/>
          <w:p>
            <w:pPr>
              <w:pStyle w:val="Compact"/>
              <w:jc w:val="right"/>
            </w:pPr>
            <w:r>
              <w:t xml:space="preserve">[−5,291k, +162k]</w:t>
            </w:r>
          </w:p>
        </w:tc>
      </w:tr>
      <w:tr>
        <w:tc>
          <w:tcPr/>
          <w:p>
            <w:pPr>
              <w:pStyle w:val="Compact"/>
            </w:pPr>
            <w:r>
              <w:t xml:space="preserve">Monthly growth (mean)</w:t>
            </w:r>
          </w:p>
        </w:tc>
        <w:tc>
          <w:tcPr/>
          <w:p>
            <w:pPr>
              <w:pStyle w:val="Compact"/>
              <w:jc w:val="right"/>
            </w:pPr>
            <w:r>
              <w:t xml:space="preserve">+0.079%</w:t>
            </w:r>
          </w:p>
        </w:tc>
        <w:tc>
          <w:tcPr/>
          <w:p>
            <w:pPr>
              <w:pStyle w:val="Compact"/>
              <w:jc w:val="right"/>
            </w:pPr>
            <w:r>
              <w:t xml:space="preserve">−1.990%</w:t>
            </w:r>
          </w:p>
        </w:tc>
      </w:tr>
      <w:tr>
        <w:tc>
          <w:tcPr/>
          <w:p>
            <w:pPr>
              <w:pStyle w:val="Compact"/>
            </w:pPr>
            <w:r>
              <w:t xml:space="preserve">Index (mean)</w:t>
            </w:r>
          </w:p>
        </w:tc>
        <w:tc>
          <w:tcPr/>
          <w:p>
            <w:pPr>
              <w:pStyle w:val="Compact"/>
              <w:jc w:val="right"/>
            </w:pPr>
            <w:r>
              <w:t xml:space="preserve">102.34</w:t>
            </w:r>
          </w:p>
        </w:tc>
        <w:tc>
          <w:tcPr/>
          <w:p>
            <w:pPr>
              <w:pStyle w:val="Compact"/>
              <w:jc w:val="right"/>
            </w:pPr>
            <w:r>
              <w:t xml:space="preserve">101.63</w:t>
            </w:r>
          </w:p>
        </w:tc>
      </w:tr>
      <w:tr>
        <w:tc>
          <w:tcPr/>
          <w:p>
            <w:pPr>
              <w:pStyle w:val="Compact"/>
            </w:pPr>
            <w:r>
              <w:t xml:space="preserve">Employment level (mean)</w:t>
            </w:r>
          </w:p>
        </w:tc>
        <w:tc>
          <w:tcPr/>
          <w:p>
            <w:pPr>
              <w:pStyle w:val="Compact"/>
              <w:jc w:val="right"/>
            </w:pPr>
            <w:r>
              <w:t xml:space="preserve">128,321k</w:t>
            </w:r>
          </w:p>
        </w:tc>
        <w:tc>
          <w:tcPr/>
          <w:p>
            <w:pPr>
              <w:pStyle w:val="Compact"/>
              <w:jc w:val="right"/>
            </w:pPr>
            <w:r>
              <w:t xml:space="preserve">126,199k</w:t>
            </w:r>
          </w:p>
        </w:tc>
      </w:tr>
    </w:tbl>
    <w:p>
      <w:pPr>
        <w:pStyle w:val="BodyText"/>
      </w:pPr>
      <w:r>
        <w:t xml:space="preserve">The wide intervals reflect</w:t>
      </w:r>
      <w:r>
        <w:t xml:space="preserve"> </w:t>
      </w:r>
      <m:oMath>
        <m:sSub>
          <m:e>
            <m:r>
              <m:t>σ</m:t>
            </m:r>
          </m:e>
          <m:sub>
            <m:r>
              <m:t>g</m:t>
            </m:r>
          </m:sub>
        </m:sSub>
        <m:r>
          <m:rPr>
            <m:sty m:val="p"/>
          </m:rPr>
          <m:t>=</m:t>
        </m:r>
        <m:r>
          <m:t>1.6</m:t>
        </m:r>
        <m:r>
          <m:rPr>
            <m:sty m:val="p"/>
          </m:rPr>
          <m:t>%</m:t>
        </m:r>
      </m:oMath>
      <w:r>
        <w:t xml:space="preserve">/mo innovation uncertainty. The strongly negative NSA forecast is driven by the January seasonal (</w:t>
      </w:r>
      <m:oMath>
        <m:sSub>
          <m:e>
            <m:r>
              <m:t>s</m:t>
            </m:r>
          </m:e>
          <m:sub>
            <m:r>
              <m:rPr>
                <m:nor/>
                <m:sty m:val="p"/>
              </m:rPr>
              <m:t>Jan</m:t>
            </m:r>
          </m:sub>
        </m:sSub>
        <m:r>
          <m:rPr>
            <m:sty m:val="p"/>
          </m:rPr>
          <m:t>≈</m:t>
        </m:r>
        <m:r>
          <m:rPr>
            <m:sty m:val="p"/>
          </m:rPr>
          <m:t>−</m:t>
        </m:r>
        <m:r>
          <m:t>2.0</m:t>
        </m:r>
        <m:r>
          <m:rPr>
            <m:sty m:val="p"/>
          </m:rPr>
          <m:t>%</m:t>
        </m:r>
      </m:oMath>
      <w:r>
        <w:t xml:space="preserve">).</w:t>
      </w:r>
    </w:p>
    <w:bookmarkEnd w:id="51"/>
    <w:bookmarkStart w:id="52" w:name="uncertainty-decomposition"/>
    <w:p>
      <w:pPr>
        <w:pStyle w:val="Heading3"/>
      </w:pPr>
      <w:r>
        <w:t xml:space="preserve">8.3 Uncertainty Decomposition</w:t>
      </w:r>
    </w:p>
    <w:p>
      <w:pPr>
        <w:pStyle w:val="FirstParagraph"/>
      </w:pPr>
      <w:r>
        <w:t xml:space="preserve">Forecast uncertainty propagates three sources: parameter uncertainty (different MCMC draws yield different structural parameters), state uncertainty (the terminal filtered state has posterior spread), and innovation uncertainty (the future shock</w:t>
      </w:r>
      <w:r>
        <w:t xml:space="preserve"> </w:t>
      </w:r>
      <m:oMath>
        <m:sSub>
          <m:e>
            <m:r>
              <m:t>ε</m:t>
            </m:r>
          </m:e>
          <m:sub>
            <m:r>
              <m:t>T</m:t>
            </m:r>
            <m:r>
              <m:rPr>
                <m:sty m:val="p"/>
              </m:rPr>
              <m:t>+</m:t>
            </m:r>
            <m:r>
              <m:t>h</m:t>
            </m:r>
          </m:sub>
        </m:sSub>
      </m:oMath>
      <w:r>
        <w:t xml:space="preserve">). Innovation uncertainty dominates at short horizons.</w:t>
      </w:r>
    </w:p>
    <w:p>
      <w:r>
        <w:pict>
          <v:rect style="width:0;height:1.5pt" o:hralign="center" o:hrstd="t" o:hr="t"/>
        </w:pict>
      </w:r>
    </w:p>
    <w:bookmarkEnd w:id="52"/>
    <w:bookmarkEnd w:id="53"/>
    <w:bookmarkStart w:id="57" w:name="the-nowcasting-window"/>
    <w:p>
      <w:pPr>
        <w:pStyle w:val="Heading2"/>
      </w:pPr>
      <w:r>
        <w:t xml:space="preserve">9. The Nowcasting Window</w:t>
      </w:r>
    </w:p>
    <w:bookmarkStart w:id="54" w:name="information-regime-shift"/>
    <w:p>
      <w:pPr>
        <w:pStyle w:val="Heading3"/>
      </w:pPr>
      <w:r>
        <w:t xml:space="preserve">9.1 Information Regime Shift</w:t>
      </w:r>
    </w:p>
    <w:p>
      <w:pPr>
        <w:pStyle w:val="FirstParagraph"/>
      </w:pPr>
      <w:r>
        <w:t xml:space="preserve">During the historical period, CES dominates (60% of precision) with QCEW providing 38%. In the nowcasting window—after PP data arrives but before CES is published—PP becomes the sole monthly signal. PP’s relative contribution jumps from ~1.7% (in-sample) to dominant (nowcast month).</w:t>
      </w:r>
    </w:p>
    <w:bookmarkEnd w:id="54"/>
    <w:bookmarkStart w:id="55" w:name="nfp-nowcast-construction"/>
    <w:p>
      <w:pPr>
        <w:pStyle w:val="Heading3"/>
      </w:pPr>
      <w:r>
        <w:t xml:space="preserve">9.2 NFP Nowcast Construction</w:t>
      </w:r>
    </w:p>
    <w:p>
      <w:pPr>
        <w:pStyle w:val="FirstParagraph"/>
      </w:pPr>
      <w:r>
        <w:t xml:space="preserve">PP observes NSA continuing-units growth. Converting to an NFP-comparable estimate requires seasonal adjustment (subtract</w:t>
      </w:r>
      <w:r>
        <w:t xml:space="preserve"> </w:t>
      </w:r>
      <m:oMath>
        <m:sSub>
          <m:e>
            <m:r>
              <m:t>s</m:t>
            </m:r>
          </m:e>
          <m:sub>
            <m:r>
              <m:t>m</m:t>
            </m:r>
            <m:d>
              <m:dPr>
                <m:begChr m:val="("/>
                <m:sepChr m:val=""/>
                <m:endChr m:val=")"/>
                <m:grow/>
              </m:dPr>
              <m:e>
                <m:r>
                  <m:t>T</m:t>
                </m:r>
                <m:r>
                  <m:rPr>
                    <m:sty m:val="p"/>
                  </m:rPr>
                  <m:t>+</m:t>
                </m:r>
                <m:r>
                  <m:t>1</m:t>
                </m:r>
              </m:e>
            </m:d>
          </m:sub>
        </m:sSub>
      </m:oMath>
      <w:r>
        <w:t xml:space="preserve">) and birth/death offset (add</w:t>
      </w:r>
      <w:r>
        <w:t xml:space="preserve"> </w:t>
      </w:r>
      <m:oMath>
        <m:r>
          <m:rPr>
            <m:nor/>
            <m:sty m:val="p"/>
          </m:rPr>
          <m:t>bd</m:t>
        </m:r>
      </m:oMath>
      <w:r>
        <w:t xml:space="preserve">). The CES calibration parameters (</w:t>
      </w:r>
      <m:oMath>
        <m:sSub>
          <m:e>
            <m:r>
              <m:t>α</m:t>
            </m:r>
          </m:e>
          <m:sub>
            <m:r>
              <m:rPr>
                <m:nor/>
                <m:sty m:val="p"/>
              </m:rPr>
              <m:t>CES</m:t>
            </m:r>
          </m:sub>
        </m:sSub>
      </m:oMath>
      <w:r>
        <w:t xml:space="preserve">,</w:t>
      </w:r>
      <w:r>
        <w:t xml:space="preserve"> </w:t>
      </w:r>
      <m:oMath>
        <m:sSub>
          <m:e>
            <m:r>
              <m:t>λ</m:t>
            </m:r>
          </m:e>
          <m:sub>
            <m:r>
              <m:rPr>
                <m:nor/>
                <m:sty m:val="p"/>
              </m:rPr>
              <m:t>CES</m:t>
            </m:r>
          </m:sub>
        </m:sSub>
      </m:oMath>
      <w:r>
        <w:t xml:space="preserve">) indicate how the latent state maps to CES-reported growth. The</w:t>
      </w:r>
      <w:r>
        <w:t xml:space="preserve"> </w:t>
      </w:r>
      <w:r>
        <w:rPr>
          <w:b/>
          <w:bCs/>
        </w:rPr>
        <w:t xml:space="preserve">headline nowcast is jobs added</w:t>
      </w:r>
      <w:r>
        <w:t xml:space="preserve"> </w:t>
      </w:r>
      <w:r>
        <w:t xml:space="preserve">(month-over-month change in thousands, SA and NSA), e.g. </w:t>
      </w:r>
      <w:r>
        <w:t xml:space="preserve">“+138k SA, −259k NSA,”</w:t>
      </w:r>
      <w:r>
        <w:t xml:space="preserve"> </w:t>
      </w:r>
      <w:r>
        <w:t xml:space="preserve">not the employment level.</w:t>
      </w:r>
    </w:p>
    <w:bookmarkEnd w:id="55"/>
    <w:bookmarkStart w:id="56" w:name="operational-workflow"/>
    <w:p>
      <w:pPr>
        <w:pStyle w:val="Heading3"/>
      </w:pPr>
      <w:r>
        <w:t xml:space="preserve">9.3 Operational Workflow</w:t>
      </w:r>
    </w:p>
    <w:p>
      <w:pPr>
        <w:pStyle w:val="Compact"/>
        <w:numPr>
          <w:ilvl w:val="0"/>
          <w:numId w:val="1005"/>
        </w:numPr>
      </w:pPr>
      <w:r>
        <w:t xml:space="preserve">Append new PP index rows (CES/QCEW columns missing for nowcast month)</w:t>
      </w:r>
    </w:p>
    <w:p>
      <w:pPr>
        <w:pStyle w:val="Compact"/>
        <w:numPr>
          <w:ilvl w:val="0"/>
          <w:numId w:val="1005"/>
        </w:numPr>
      </w:pPr>
      <w:r>
        <w:t xml:space="preserve">Re-run</w:t>
      </w:r>
      <w:r>
        <w:t xml:space="preserve"> </w:t>
      </w:r>
      <w:r>
        <w:rPr>
          <w:rStyle w:val="VerbatimChar"/>
        </w:rPr>
        <w:t xml:space="preserve">load_data()</w:t>
      </w:r>
      <w:r>
        <w:t xml:space="preserve"> </w:t>
      </w:r>
      <w:r>
        <w:t xml:space="preserve">— calendar extends automatically</w:t>
      </w:r>
    </w:p>
    <w:p>
      <w:pPr>
        <w:pStyle w:val="Compact"/>
        <w:numPr>
          <w:ilvl w:val="0"/>
          <w:numId w:val="1005"/>
        </w:numPr>
      </w:pPr>
      <w:r>
        <w:t xml:space="preserve">Re-run</w:t>
      </w:r>
      <w:r>
        <w:t xml:space="preserve"> </w:t>
      </w:r>
      <w:r>
        <w:rPr>
          <w:rStyle w:val="VerbatimChar"/>
        </w:rPr>
        <w:t xml:space="preserve">build_and_sample()</w:t>
      </w:r>
      <w:r>
        <w:t xml:space="preserve"> </w:t>
      </w:r>
      <w:r>
        <w:t xml:space="preserve">— observation masks handle missing data</w:t>
      </w:r>
    </w:p>
    <w:p>
      <w:pPr>
        <w:pStyle w:val="Compact"/>
        <w:numPr>
          <w:ilvl w:val="0"/>
          <w:numId w:val="1005"/>
        </w:numPr>
      </w:pPr>
      <w:r>
        <w:t xml:space="preserve">Nowcast month is reported as</w:t>
      </w:r>
      <w:r>
        <w:t xml:space="preserve"> </w:t>
      </w:r>
      <w:r>
        <w:rPr>
          <w:b/>
          <w:bCs/>
        </w:rPr>
        <w:t xml:space="preserve">jobs added</w:t>
      </w:r>
      <w:r>
        <w:t xml:space="preserve"> </w:t>
      </w:r>
      <w:r>
        <w:t xml:space="preserve">(and growth); forecast horizon shifts forward</w:t>
      </w:r>
    </w:p>
    <w:p>
      <w:pPr>
        <w:pStyle w:val="FirstParagraph"/>
      </w:pPr>
      <w:r>
        <w:t xml:space="preserve">No code changes required. The model is data-availability-agnostic. Console and figure outputs lead with change (jobs added); levels are available if needed.</w:t>
      </w:r>
    </w:p>
    <w:p>
      <w:r>
        <w:pict>
          <v:rect style="width:0;height:1.5pt" o:hralign="center" o:hrstd="t" o:hr="t"/>
        </w:pict>
      </w:r>
    </w:p>
    <w:bookmarkEnd w:id="56"/>
    <w:bookmarkEnd w:id="57"/>
    <w:bookmarkStart w:id="58" w:name="model-evolution-log"/>
    <w:p>
      <w:pPr>
        <w:pStyle w:val="Heading2"/>
      </w:pPr>
      <w:r>
        <w:t xml:space="preserve">10. Model Evolution Log</w:t>
      </w:r>
    </w:p>
    <w:p>
      <w:pPr>
        <w:pStyle w:val="FirstParagraph"/>
      </w:pPr>
      <w:r>
        <w:t xml:space="preserve">The gold standard specification was reached through systematic simplification, with each change validated by sampling diagnostics and parameter stability:</w:t>
      </w:r>
    </w:p>
    <w:tbl>
      <w:tblPr>
        <w:tblStyle w:val="Table"/>
        <w:tblW w:type="pct" w:w="5000"/>
        <w:tblLayout w:type="fixed"/>
        <w:tblLook w:firstRow="1" w:lastRow="0" w:firstColumn="0" w:lastColumn="0" w:noHBand="0" w:noVBand="0" w:val="0020"/>
      </w:tblPr>
      <w:tblGrid>
        <w:gridCol w:w="2530"/>
        <w:gridCol w:w="2200"/>
        <w:gridCol w:w="3190"/>
      </w:tblGrid>
      <w:tr>
        <w:trPr>
          <w:tblHeader w:val="on"/>
        </w:trPr>
        <w:tc>
          <w:tcPr/>
          <w:p>
            <w:pPr>
              <w:pStyle w:val="Compact"/>
            </w:pPr>
            <w:r>
              <w:t xml:space="preserve">Version</w:t>
            </w:r>
          </w:p>
        </w:tc>
        <w:tc>
          <w:tcPr/>
          <w:p>
            <w:pPr>
              <w:pStyle w:val="Compact"/>
            </w:pPr>
            <w:r>
              <w:t xml:space="preserve">Change</w:t>
            </w:r>
          </w:p>
        </w:tc>
        <w:tc>
          <w:tcPr/>
          <w:p>
            <w:pPr>
              <w:pStyle w:val="Compact"/>
            </w:pPr>
            <w:r>
              <w:t xml:space="preserve">Key effect</w:t>
            </w:r>
          </w:p>
        </w:tc>
      </w:tr>
      <w:tr>
        <w:tc>
          <w:tcPr/>
          <w:p>
            <w:pPr>
              <w:pStyle w:val="Compact"/>
            </w:pPr>
            <w:r>
              <w:t xml:space="preserve">v2.0</w:t>
            </w:r>
          </w:p>
        </w:tc>
        <w:tc>
          <w:tcPr/>
          <w:p>
            <w:pPr>
              <w:pStyle w:val="Compact"/>
            </w:pPr>
            <w:r>
              <w:t xml:space="preserve">Initial: CES-anchored, 4 PP series, common factor, fixed</w:t>
            </w:r>
            <w:r>
              <w:t xml:space="preserve"> </w:t>
            </w:r>
            <m:oMath>
              <m:sSub>
                <m:e>
                  <m:r>
                    <m:t>σ</m:t>
                  </m:r>
                </m:e>
                <m:sub>
                  <m:r>
                    <m:rPr>
                      <m:nor/>
                      <m:sty m:val="p"/>
                    </m:rPr>
                    <m:t>CES</m:t>
                  </m:r>
                </m:sub>
              </m:sSub>
            </m:oMath>
          </w:p>
        </w:tc>
        <w:tc>
          <w:tcPr/>
          <w:p>
            <w:pPr>
              <w:pStyle w:val="Compact"/>
            </w:pPr>
            <w:r>
              <w:t xml:space="preserve">Baseline</w:t>
            </w:r>
          </w:p>
        </w:tc>
      </w:tr>
      <w:tr>
        <w:tc>
          <w:tcPr/>
          <w:p>
            <w:pPr>
              <w:pStyle w:val="Compact"/>
            </w:pPr>
            <w:r>
              <w:t xml:space="preserve">v2.1</w:t>
            </w:r>
          </w:p>
        </w:tc>
        <w:tc>
          <w:tcPr/>
          <w:p>
            <w:pPr>
              <w:pStyle w:val="Compact"/>
            </w:pPr>
            <w:r>
              <w:t xml:space="preserve">QCEW monthly anchor (quality-dependent</w:t>
            </w:r>
            <w:r>
              <w:t xml:space="preserve"> </w:t>
            </w:r>
            <m:oMath>
              <m:r>
                <m:t>σ</m:t>
              </m:r>
            </m:oMath>
            <w:r>
              <w:t xml:space="preserve">); CES as noisy obs (</w:t>
            </w:r>
            <m:oMath>
              <m:r>
                <m:t>α</m:t>
              </m:r>
            </m:oMath>
            <w:r>
              <w:t xml:space="preserve">,</w:t>
            </w:r>
            <w:r>
              <w:t xml:space="preserve"> </w:t>
            </w:r>
            <m:oMath>
              <m:r>
                <m:t>λ</m:t>
              </m:r>
            </m:oMath>
            <w:r>
              <w:t xml:space="preserve">,</w:t>
            </w:r>
            <w:r>
              <w:t xml:space="preserve"> </w:t>
            </w:r>
            <m:oMath>
              <m:r>
                <m:t>σ</m:t>
              </m:r>
            </m:oMath>
            <w:r>
              <w:t xml:space="preserve">)</w:t>
            </w:r>
          </w:p>
        </w:tc>
        <w:tc>
          <w:tcPr/>
          <w:p>
            <w:pPr>
              <w:pStyle w:val="Compact"/>
            </w:pPr>
            <w:r>
              <w:t xml:space="preserve">CES bias finding identified</w:t>
            </w:r>
          </w:p>
        </w:tc>
      </w:tr>
      <w:tr>
        <w:tc>
          <w:tcPr/>
          <w:p>
            <w:pPr>
              <w:pStyle w:val="Compact"/>
            </w:pPr>
            <w:r>
              <w:t xml:space="preserve">v2.2</w:t>
            </w:r>
          </w:p>
        </w:tc>
        <w:tc>
          <w:tcPr/>
          <w:p>
            <w:pPr>
              <w:pStyle w:val="Compact"/>
            </w:pPr>
            <w:r>
              <w:t xml:space="preserve">Drop PP2_1, PP2_2 (0.999+ correlated with PP2_0)</w:t>
            </w:r>
          </w:p>
        </w:tc>
        <w:tc>
          <w:tcPr/>
          <w:p>
            <w:pPr>
              <w:pStyle w:val="Compact"/>
            </w:pPr>
            <w:r>
              <w:t xml:space="preserve">Eliminated triple-counting; precision budget rebalanced</w:t>
            </w:r>
          </w:p>
        </w:tc>
      </w:tr>
      <w:tr>
        <w:tc>
          <w:tcPr/>
          <w:p>
            <w:pPr>
              <w:pStyle w:val="Compact"/>
            </w:pPr>
            <w:r>
              <w:t xml:space="preserve">v2.3</w:t>
            </w:r>
          </w:p>
        </w:tc>
        <w:tc>
          <w:tcPr/>
          <w:p>
            <w:pPr>
              <w:pStyle w:val="Compact"/>
            </w:pPr>
            <w:r>
              <w:t xml:space="preserve">Remove common factor</w:t>
            </w:r>
            <w:r>
              <w:t xml:space="preserve"> </w:t>
            </w:r>
            <m:oMath>
              <m:sSub>
                <m:e>
                  <m:r>
                    <m:t>f</m:t>
                  </m:r>
                </m:e>
                <m:sub>
                  <m:r>
                    <m:t>t</m:t>
                  </m:r>
                </m:sub>
              </m:sSub>
            </m:oMath>
            <w:r>
              <w:t xml:space="preserve"> </w:t>
            </w:r>
            <w:r>
              <w:t xml:space="preserve">(PP1, PP2 are independent providers)</w:t>
            </w:r>
          </w:p>
        </w:tc>
        <w:tc>
          <w:tcPr/>
          <w:p>
            <w:pPr>
              <w:pStyle w:val="Compact"/>
            </w:pPr>
            <w:r>
              <w:t xml:space="preserve">Cleaner interpretation; 119 fewer latent parameters</w:t>
            </w:r>
          </w:p>
        </w:tc>
      </w:tr>
      <w:tr>
        <w:tc>
          <w:tcPr/>
          <w:p>
            <w:pPr>
              <w:pStyle w:val="Compact"/>
            </w:pPr>
            <w:r>
              <w:t xml:space="preserve">v2.4</w:t>
            </w:r>
          </w:p>
        </w:tc>
        <w:tc>
          <w:tcPr/>
          <w:p>
            <w:pPr>
              <w:pStyle w:val="Compact"/>
            </w:pPr>
            <w:r>
              <w:t xml:space="preserve">Longer sampling (8k draws, 6k tune, target_accept=0.97)</w:t>
            </w:r>
          </w:p>
        </w:tc>
        <w:tc>
          <w:tcPr/>
          <w:p>
            <w:pPr>
              <w:pStyle w:val="Compact"/>
            </w:pPr>
            <w:r>
              <w:t xml:space="preserve">0 divergences; observation params well identified</w:t>
            </w:r>
          </w:p>
        </w:tc>
      </w:tr>
      <w:tr>
        <w:tc>
          <w:tcPr/>
          <w:p>
            <w:pPr>
              <w:pStyle w:val="Compact"/>
            </w:pPr>
            <w:r>
              <w:rPr>
                <w:b/>
                <w:bCs/>
              </w:rPr>
              <w:t xml:space="preserve">v2.5 (gold)</w:t>
            </w:r>
          </w:p>
        </w:tc>
        <w:tc>
          <w:tcPr/>
          <w:p>
            <w:pPr>
              <w:pStyle w:val="Compact"/>
            </w:pPr>
            <w:r>
              <w:t xml:space="preserve">Tightened QCEW</w:t>
            </w:r>
            <w:r>
              <w:t xml:space="preserve"> </w:t>
            </w:r>
            <m:oMath>
              <m:r>
                <m:t>σ</m:t>
              </m:r>
            </m:oMath>
            <w:r>
              <w:t xml:space="preserve">: 0.05% (M3), 0.15% (M1–2)</w:t>
            </w:r>
          </w:p>
        </w:tc>
        <w:tc>
          <w:tcPr/>
          <w:p>
            <w:pPr>
              <w:pStyle w:val="Compact"/>
            </w:pPr>
            <w:r>
              <w:t xml:space="preserve">QCEW share 38%; all R-hat</w:t>
            </w:r>
            <w:r>
              <w:t xml:space="preserve"> </w:t>
            </w:r>
            <m:oMath>
              <m:r>
                <m:rPr>
                  <m:sty m:val="p"/>
                </m:rPr>
                <m:t>≤</m:t>
              </m:r>
            </m:oMath>
            <w:r>
              <w:t xml:space="preserve"> </w:t>
            </w:r>
            <w:r>
              <w:t xml:space="preserve">1.01; latent tracks QCEW; CES bias +0.034%/mo</w:t>
            </w:r>
          </w:p>
        </w:tc>
      </w:tr>
    </w:tbl>
    <w:p>
      <w:pPr>
        <w:pStyle w:val="BodyText"/>
      </w:pPr>
      <w:r>
        <w:t xml:space="preserve">The QCEW sigma tightening (v2.5) was motivated by a diagnostic finding: under the looser calibration, QCEW held only 4% of precision and the latent index drifted systematically below QCEW observations. CES (95% share) dominated month-to-month filtering, producing systematically positive QCEW residuals. Halving the QCEW sigmas gives the anchor 38% of precision, eliminates the latent–QCEW divergence, and dramatically improves convergence (</w:t>
      </w:r>
      <m:oMath>
        <m:sSub>
          <m:e>
            <m:r>
              <m:t>μ</m:t>
            </m:r>
          </m:e>
          <m:sub>
            <m:r>
              <m:t>g</m:t>
            </m:r>
          </m:sub>
        </m:sSub>
      </m:oMath>
      <w:r>
        <w:t xml:space="preserve"> </w:t>
      </w:r>
      <w:r>
        <w:t xml:space="preserve">ESS rose from 53 to 315, R-hat from 1.07 to 1.01).</w:t>
      </w:r>
    </w:p>
    <w:p>
      <w:pPr>
        <w:pStyle w:val="BodyText"/>
      </w:pPr>
      <w:r>
        <w:t xml:space="preserve">All substantive parameters (</w:t>
      </w:r>
      <m:oMath>
        <m:sSub>
          <m:e>
            <m:r>
              <m:t>λ</m:t>
            </m:r>
          </m:e>
          <m:sub>
            <m:r>
              <m:rPr>
                <m:nor/>
                <m:sty m:val="p"/>
              </m:rPr>
              <m:t>CES</m:t>
            </m:r>
          </m:sub>
        </m:sSub>
      </m:oMath>
      <w:r>
        <w:t xml:space="preserve">, PP loadings,</w:t>
      </w:r>
      <w:r>
        <w:t xml:space="preserve"> </w:t>
      </w:r>
      <m:oMath>
        <m:sSub>
          <m:e>
            <m:r>
              <m:t>ρ</m:t>
            </m:r>
          </m:e>
          <m:sub>
            <m:r>
              <m:rPr>
                <m:nor/>
                <m:sty m:val="p"/>
              </m:rPr>
              <m:t>PP1</m:t>
            </m:r>
          </m:sub>
        </m:sSub>
      </m:oMath>
      <w:r>
        <w:t xml:space="preserve">) were stable across all versions, confirming the simplifications did not alter the model’s substantive conclusions. The CES bias (</w:t>
      </w:r>
      <m:oMath>
        <m:sSub>
          <m:e>
            <m:r>
              <m:t>α</m:t>
            </m:r>
          </m:e>
          <m:sub>
            <m:r>
              <m:rPr>
                <m:nor/>
                <m:sty m:val="p"/>
              </m:rPr>
              <m:t>CES</m:t>
            </m:r>
          </m:sub>
        </m:sSub>
      </m:oMath>
      <w:r>
        <w:t xml:space="preserve">) is sensitive to QCEW calibration: +0.051%/mo under the looser sigmas, +0.034%/mo under the tighter sigmas.</w:t>
      </w:r>
    </w:p>
    <w:p>
      <w:r>
        <w:pict>
          <v:rect style="width:0;height:1.5pt" o:hralign="center" o:hrstd="t" o:hr="t"/>
        </w:pict>
      </w:r>
    </w:p>
    <w:bookmarkEnd w:id="58"/>
    <w:bookmarkStart w:id="59" w:name="relationship-to-planned-extensions"/>
    <w:p>
      <w:pPr>
        <w:pStyle w:val="Heading2"/>
      </w:pPr>
      <w:r>
        <w:t xml:space="preserve">11. Relationship to Planned Extensions</w:t>
      </w:r>
    </w:p>
    <w:tbl>
      <w:tblPr>
        <w:tblStyle w:val="Table"/>
        <w:tblW w:type="pct" w:w="5000"/>
        <w:tblLayout w:type="fixed"/>
        <w:tblLook w:firstRow="1" w:lastRow="0" w:firstColumn="0" w:lastColumn="0" w:noHBand="0" w:noVBand="0" w:val="0020"/>
      </w:tblPr>
      <w:tblGrid>
        <w:gridCol w:w="2061"/>
        <w:gridCol w:w="2061"/>
        <w:gridCol w:w="3797"/>
      </w:tblGrid>
      <w:tr>
        <w:trPr>
          <w:tblHeader w:val="on"/>
        </w:trPr>
        <w:tc>
          <w:tcPr/>
          <w:p>
            <w:pPr>
              <w:pStyle w:val="Compact"/>
            </w:pPr>
            <w:r>
              <w:t xml:space="preserve">Feature</w:t>
            </w:r>
          </w:p>
        </w:tc>
        <w:tc>
          <w:tcPr/>
          <w:p>
            <w:pPr>
              <w:pStyle w:val="Compact"/>
            </w:pPr>
            <w:r>
              <w:t xml:space="preserve">v2 (Gold Standard)</w:t>
            </w:r>
          </w:p>
        </w:tc>
        <w:tc>
          <w:tcPr/>
          <w:p>
            <w:pPr>
              <w:pStyle w:val="Compact"/>
            </w:pPr>
            <w:r>
              <w:t xml:space="preserve">Planned (State</w:t>
            </w:r>
            <w:r>
              <w:t xml:space="preserve"> </w:t>
            </w:r>
            <m:oMath>
              <m:r>
                <m:rPr>
                  <m:sty m:val="p"/>
                </m:rPr>
                <m:t>×</m:t>
              </m:r>
            </m:oMath>
            <w:r>
              <w:t xml:space="preserve"> </w:t>
            </w:r>
            <w:r>
              <w:t xml:space="preserve">Supersector)</w:t>
            </w:r>
          </w:p>
        </w:tc>
      </w:tr>
      <w:tr>
        <w:tc>
          <w:tcPr/>
          <w:p>
            <w:pPr>
              <w:pStyle w:val="Compact"/>
            </w:pPr>
            <w:r>
              <w:t xml:space="preserve">Truth anchor</w:t>
            </w:r>
          </w:p>
        </w:tc>
        <w:tc>
          <w:tcPr/>
          <w:p>
            <w:pPr>
              <w:pStyle w:val="Compact"/>
            </w:pPr>
            <w:r>
              <w:t xml:space="preserve">QCEW (monthly, fixed</w:t>
            </w:r>
            <w:r>
              <w:t xml:space="preserve"> </w:t>
            </w:r>
            <m:oMath>
              <m:r>
                <m:t>σ</m:t>
              </m:r>
            </m:oMath>
            <w:r>
              <w:t xml:space="preserve">)</w:t>
            </w:r>
          </w:p>
        </w:tc>
        <w:tc>
          <w:tcPr/>
          <w:p>
            <w:pPr>
              <w:pStyle w:val="Compact"/>
            </w:pPr>
            <w:r>
              <w:t xml:space="preserve">Same — scale-invariant</w:t>
            </w:r>
          </w:p>
        </w:tc>
      </w:tr>
      <w:tr>
        <w:tc>
          <w:tcPr/>
          <w:p>
            <w:pPr>
              <w:pStyle w:val="Compact"/>
            </w:pPr>
            <w:r>
              <w:t xml:space="preserve">CES treatment</w:t>
            </w:r>
          </w:p>
        </w:tc>
        <w:tc>
          <w:tcPr/>
          <w:p>
            <w:pPr>
              <w:pStyle w:val="Compact"/>
            </w:pPr>
            <w:r>
              <w:t xml:space="preserve">Noisy obs (</w:t>
            </w:r>
            <m:oMath>
              <m:r>
                <m:t>α</m:t>
              </m:r>
            </m:oMath>
            <w:r>
              <w:t xml:space="preserve">,</w:t>
            </w:r>
            <w:r>
              <w:t xml:space="preserve"> </w:t>
            </w:r>
            <m:oMath>
              <m:r>
                <m:t>λ</m:t>
              </m:r>
            </m:oMath>
            <w:r>
              <w:t xml:space="preserve">,</w:t>
            </w:r>
            <w:r>
              <w:t xml:space="preserve"> </w:t>
            </w:r>
            <m:oMath>
              <m:r>
                <m:t>σ</m:t>
              </m:r>
            </m:oMath>
            <w:r>
              <w:t xml:space="preserve"> </w:t>
            </w:r>
            <w:r>
              <w:t xml:space="preserve">estimated)</w:t>
            </w:r>
          </w:p>
        </w:tc>
        <w:tc>
          <w:tcPr/>
          <w:p>
            <w:pPr>
              <w:pStyle w:val="Compact"/>
            </w:pPr>
            <w:r>
              <w:t xml:space="preserve">Same, but</w:t>
            </w:r>
            <w:r>
              <w:t xml:space="preserve"> </w:t>
            </w:r>
            <m:oMath>
              <m:r>
                <m:t>σ</m:t>
              </m:r>
            </m:oMath>
            <w:r>
              <w:t xml:space="preserve"> </w:t>
            </w:r>
            <w:r>
              <w:t xml:space="preserve">much larger</w:t>
            </w:r>
          </w:p>
        </w:tc>
      </w:tr>
      <w:tr>
        <w:tc>
          <w:tcPr/>
          <w:p>
            <w:pPr>
              <w:pStyle w:val="Compact"/>
            </w:pPr>
            <w:r>
              <w:t xml:space="preserve">PP series</w:t>
            </w:r>
          </w:p>
        </w:tc>
        <w:tc>
          <w:tcPr/>
          <w:p>
            <w:pPr>
              <w:pStyle w:val="Compact"/>
            </w:pPr>
            <w:r>
              <w:t xml:space="preserve">2 national (PP1 + PP2, independent)</w:t>
            </w:r>
          </w:p>
        </w:tc>
        <w:tc>
          <w:tcPr/>
          <w:p>
            <w:pPr>
              <w:pStyle w:val="Compact"/>
            </w:pPr>
            <w:r>
              <w:t xml:space="preserve">Disaggregated to cells</w:t>
            </w:r>
          </w:p>
        </w:tc>
      </w:tr>
      <w:tr>
        <w:tc>
          <w:tcPr/>
          <w:p>
            <w:pPr>
              <w:pStyle w:val="Compact"/>
            </w:pPr>
            <w:r>
              <w:t xml:space="preserve">Latent dynamics</w:t>
            </w:r>
          </w:p>
        </w:tc>
        <w:tc>
          <w:tcPr/>
          <w:p>
            <w:pPr>
              <w:pStyle w:val="Compact"/>
            </w:pPr>
            <w:r>
              <w:t xml:space="preserve">Single AR(1)</w:t>
            </w:r>
          </w:p>
        </w:tc>
        <w:tc>
          <w:tcPr/>
          <w:p>
            <w:pPr>
              <w:pStyle w:val="Compact"/>
            </w:pPr>
            <w:r>
              <w:t xml:space="preserve">One per cell, hierarchical priors</w:t>
            </w:r>
          </w:p>
        </w:tc>
      </w:tr>
      <w:tr>
        <w:tc>
          <w:tcPr/>
          <w:p>
            <w:pPr>
              <w:pStyle w:val="Compact"/>
            </w:pPr>
            <w:r>
              <w:t xml:space="preserve">Seasonal</w:t>
            </w:r>
          </w:p>
        </w:tc>
        <w:tc>
          <w:tcPr/>
          <w:p>
            <w:pPr>
              <w:pStyle w:val="Compact"/>
            </w:pPr>
            <w:r>
              <w:t xml:space="preserve">Single pattern</w:t>
            </w:r>
          </w:p>
        </w:tc>
        <w:tc>
          <w:tcPr/>
          <w:p>
            <w:pPr>
              <w:pStyle w:val="Compact"/>
            </w:pPr>
            <w:r>
              <w:t xml:space="preserve">Cell-specific, shrunk toward national</w:t>
            </w:r>
          </w:p>
        </w:tc>
      </w:tr>
      <w:tr>
        <w:tc>
          <w:tcPr/>
          <w:p>
            <w:pPr>
              <w:pStyle w:val="Compact"/>
            </w:pPr>
            <w:r>
              <w:t xml:space="preserve">Birth/death</w:t>
            </w:r>
          </w:p>
        </w:tc>
        <w:tc>
          <w:tcPr/>
          <w:p>
            <w:pPr>
              <w:pStyle w:val="Compact"/>
            </w:pPr>
            <w:r>
              <w:t xml:space="preserve">Single constant</w:t>
            </w:r>
          </w:p>
        </w:tc>
        <w:tc>
          <w:tcPr/>
          <w:p>
            <w:pPr>
              <w:pStyle w:val="Compact"/>
            </w:pPr>
            <w:r>
              <w:t xml:space="preserve">Cell-specific, potentially time-varying</w:t>
            </w:r>
          </w:p>
        </w:tc>
      </w:tr>
      <w:tr>
        <w:tc>
          <w:tcPr/>
          <w:p>
            <w:pPr>
              <w:pStyle w:val="Compact"/>
            </w:pPr>
            <w:r>
              <w:t xml:space="preserve">Cross-cell consistency</w:t>
            </w:r>
          </w:p>
        </w:tc>
        <w:tc>
          <w:tcPr/>
          <w:p>
            <w:pPr>
              <w:pStyle w:val="Compact"/>
            </w:pPr>
            <w:r>
              <w:t xml:space="preserve">N/A</w:t>
            </w:r>
          </w:p>
        </w:tc>
        <w:tc>
          <w:tcPr/>
          <w:p>
            <w:pPr>
              <w:pStyle w:val="Compact"/>
            </w:pPr>
            <w:r>
              <w:t xml:space="preserve">Reconciliation (cells sum to national)</w:t>
            </w:r>
          </w:p>
        </w:tc>
      </w:tr>
      <w:tr>
        <w:tc>
          <w:tcPr/>
          <w:p>
            <w:pPr>
              <w:pStyle w:val="Compact"/>
            </w:pPr>
            <w:r>
              <w:t xml:space="preserve">Computation</w:t>
            </w:r>
          </w:p>
        </w:tc>
        <w:tc>
          <w:tcPr/>
          <w:p>
            <w:pPr>
              <w:pStyle w:val="Compact"/>
            </w:pPr>
            <w:r>
              <w:t xml:space="preserve">~2 min, single model</w:t>
            </w:r>
          </w:p>
        </w:tc>
        <w:tc>
          <w:tcPr/>
          <w:p>
            <w:pPr>
              <w:pStyle w:val="Compact"/>
            </w:pPr>
            <w:r>
              <w:t xml:space="preserve">~500 cells; joint hierarchical estimation</w:t>
            </w:r>
          </w:p>
        </w:tc>
      </w:tr>
    </w:tbl>
    <w:p>
      <w:pPr>
        <w:pStyle w:val="BodyText"/>
      </w:pPr>
      <w:r>
        <w:rPr>
          <w:b/>
          <w:bCs/>
        </w:rPr>
        <w:t xml:space="preserve">What transfers directly.</w:t>
      </w:r>
      <w:r>
        <w:t xml:space="preserve"> </w:t>
      </w:r>
      <w:r>
        <w:t xml:space="preserve">The model equation, QCEW anchoring with quality-dependent sigma, CES calibration parameters, PP measurement model (including AR(1) for PP1), and the observation-mask approach to mixed data availability.</w:t>
      </w:r>
    </w:p>
    <w:p>
      <w:pPr>
        <w:pStyle w:val="BodyText"/>
      </w:pPr>
      <w:r>
        <w:rPr>
          <w:b/>
          <w:bCs/>
        </w:rPr>
        <w:t xml:space="preserve">What requires extension.</w:t>
      </w:r>
      <w:r>
        <w:t xml:space="preserve"> </w:t>
      </w:r>
      <w:r>
        <w:t xml:space="preserve">Hierarchical priors across cells (partial pooling), PP disaggregation pipeline, computational infrastructure for ~500 cells, and potentially time-varying birth/death and seasonal components.</w:t>
      </w:r>
    </w:p>
    <w:p>
      <w:r>
        <w:pict>
          <v:rect style="width:0;height:1.5pt" o:hralign="center" o:hrstd="t" o:hr="t"/>
        </w:pict>
      </w:r>
    </w:p>
    <w:bookmarkEnd w:id="59"/>
    <w:bookmarkStart w:id="60" w:name="limitations"/>
    <w:p>
      <w:pPr>
        <w:pStyle w:val="Heading2"/>
      </w:pPr>
      <w:r>
        <w:t xml:space="preserve">12. Limitations</w:t>
      </w:r>
    </w:p>
    <w:p>
      <w:pPr>
        <w:pStyle w:val="Compact"/>
        <w:numPr>
          <w:ilvl w:val="0"/>
          <w:numId w:val="1006"/>
        </w:numPr>
      </w:pPr>
      <w:r>
        <w:rPr>
          <w:b/>
          <w:bCs/>
        </w:rPr>
        <w:t xml:space="preserve">Time-invariant birth/death.</w:t>
      </w:r>
      <w:r>
        <w:t xml:space="preserve"> </w:t>
      </w:r>
      <w:r>
        <w:t xml:space="preserve">Cannot capture cyclical variation in net business formation at turning points.</w:t>
      </w:r>
    </w:p>
    <w:p>
      <w:pPr>
        <w:pStyle w:val="Compact"/>
        <w:numPr>
          <w:ilvl w:val="0"/>
          <w:numId w:val="1006"/>
        </w:numPr>
      </w:pPr>
      <w:r>
        <w:rPr>
          <w:b/>
          <w:bCs/>
        </w:rPr>
        <w:t xml:space="preserve">Static seasonal.</w:t>
      </w:r>
      <w:r>
        <w:t xml:space="preserve"> </w:t>
      </w:r>
      <w:r>
        <w:t xml:space="preserve">Does not evolve across years (e.g., pandemic shifts).</w:t>
      </w:r>
    </w:p>
    <w:p>
      <w:pPr>
        <w:pStyle w:val="Compact"/>
        <w:numPr>
          <w:ilvl w:val="0"/>
          <w:numId w:val="1006"/>
        </w:numPr>
      </w:pPr>
      <w:r>
        <w:rPr>
          <w:b/>
          <w:bCs/>
        </w:rPr>
        <w:t xml:space="preserve">No time-varying provider bias.</w:t>
      </w:r>
      <w:r>
        <w:t xml:space="preserve"> </w:t>
      </w:r>
      <w:r>
        <w:t xml:space="preserve">PP bias (</w:t>
      </w:r>
      <m:oMath>
        <m:sSub>
          <m:e>
            <m:r>
              <m:t>α</m:t>
            </m:r>
          </m:e>
          <m:sub>
            <m:r>
              <m:t>p</m:t>
            </m:r>
          </m:sub>
        </m:sSub>
      </m:oMath>
      <w:r>
        <w:t xml:space="preserve">) is constant despite potential compositional drift.</w:t>
      </w:r>
    </w:p>
    <w:p>
      <w:pPr>
        <w:pStyle w:val="Compact"/>
        <w:numPr>
          <w:ilvl w:val="0"/>
          <w:numId w:val="1006"/>
        </w:numPr>
      </w:pPr>
      <w:r>
        <w:rPr>
          <w:b/>
          <w:bCs/>
        </w:rPr>
        <w:t xml:space="preserve">Calibrated QCEW sigmas.</w:t>
      </w:r>
      <w:r>
        <w:t xml:space="preserve"> </w:t>
      </w:r>
      <w:r>
        <w:t xml:space="preserve">The 0.05% (M3) / 0.15% (M1–2) values reflect judgment, not estimation. Sensitivity analysis (Section 13.2) shows key parameters (</w:t>
      </w:r>
      <m:oMath>
        <m:sSub>
          <m:e>
            <m:r>
              <m:t>α</m:t>
            </m:r>
          </m:e>
          <m:sub>
            <m:r>
              <m:rPr>
                <m:nor/>
                <m:sty m:val="p"/>
              </m:rPr>
              <m:t>CES</m:t>
            </m:r>
          </m:sub>
        </m:sSub>
      </m:oMath>
      <w:r>
        <w:t xml:space="preserve">,</w:t>
      </w:r>
      <w:r>
        <w:t xml:space="preserve"> </w:t>
      </w:r>
      <m:oMath>
        <m:sSub>
          <m:e>
            <m:r>
              <m:t>σ</m:t>
            </m:r>
          </m:e>
          <m:sub>
            <m:r>
              <m:rPr>
                <m:nor/>
                <m:sty m:val="p"/>
              </m:rPr>
              <m:t>CES</m:t>
            </m:r>
          </m:sub>
        </m:sSub>
      </m:oMath>
      <w:r>
        <w:t xml:space="preserve">) are sensitive to this choice while PP parameters are stable.</w:t>
      </w:r>
    </w:p>
    <w:p>
      <w:pPr>
        <w:pStyle w:val="Compact"/>
        <w:numPr>
          <w:ilvl w:val="0"/>
          <w:numId w:val="1006"/>
        </w:numPr>
      </w:pPr>
      <w:r>
        <w:rPr>
          <w:b/>
          <w:bCs/>
        </w:rPr>
        <w:t xml:space="preserve">QCEW LOO diagnostics.</w:t>
      </w:r>
      <w:r>
        <w:t xml:space="preserve"> </w:t>
      </w:r>
      <w:r>
        <w:t xml:space="preserve">The tight QCEW sigmas make individual QCEW observations highly influential (p_loo = 80, 21 high k-hat). PSIS-LOO is unreliable for QCEW; refitting-based LOO would be needed for formal assessment.</w:t>
      </w:r>
    </w:p>
    <w:p>
      <w:pPr>
        <w:pStyle w:val="Compact"/>
        <w:numPr>
          <w:ilvl w:val="0"/>
          <w:numId w:val="1006"/>
        </w:numPr>
      </w:pPr>
      <w:r>
        <w:rPr>
          <w:b/>
          <w:bCs/>
        </w:rPr>
        <w:t xml:space="preserve">National level only.</w:t>
      </w:r>
      <w:r>
        <w:t xml:space="preserve"> </w:t>
      </w:r>
      <w:r>
        <w:t xml:space="preserve">No geographic or industry decomposition.</w:t>
      </w:r>
    </w:p>
    <w:p>
      <w:pPr>
        <w:pStyle w:val="Compact"/>
        <w:numPr>
          <w:ilvl w:val="0"/>
          <w:numId w:val="1006"/>
        </w:numPr>
      </w:pPr>
      <w:r>
        <w:rPr>
          <w:b/>
          <w:bCs/>
        </w:rPr>
        <w:t xml:space="preserve">PP precision is low at national level.</w:t>
      </w:r>
      <w:r>
        <w:t xml:space="preserve"> </w:t>
      </w:r>
      <w:r>
        <w:t xml:space="preserve">PP contributes ~1.7% of total precision. Its value is primarily in the nowcasting window when CES is unavailable, and will grow substantially at state</w:t>
      </w:r>
      <w:r>
        <w:t xml:space="preserve"> </w:t>
      </w:r>
      <m:oMath>
        <m:r>
          <m:rPr>
            <m:sty m:val="p"/>
          </m:rPr>
          <m:t>×</m:t>
        </m:r>
      </m:oMath>
      <w:r>
        <w:t xml:space="preserve"> </w:t>
      </w:r>
      <w:r>
        <w:t xml:space="preserve">supersector where CES precision degrades.</w:t>
      </w:r>
    </w:p>
    <w:p>
      <w:r>
        <w:pict>
          <v:rect style="width:0;height:1.5pt" o:hralign="center" o:hrstd="t" o:hr="t"/>
        </w:pict>
      </w:r>
    </w:p>
    <w:bookmarkEnd w:id="60"/>
    <w:bookmarkStart w:id="63" w:name="Xb011b812b7e2a63f058d8224c75d13bf3c179ac"/>
    <w:p>
      <w:pPr>
        <w:pStyle w:val="Heading2"/>
      </w:pPr>
      <w:r>
        <w:t xml:space="preserve">13. v3 Experiments: Nowcast Backtest and QCEW Sigma Sensitivity</w:t>
      </w:r>
    </w:p>
    <w:bookmarkStart w:id="61" w:name="Xc59bbfdb8a1c7c73b00a49be1d97e1eac19120d"/>
    <w:p>
      <w:pPr>
        <w:pStyle w:val="Heading3"/>
      </w:pPr>
      <w:r>
        <w:t xml:space="preserve">13.1 Operational value of payroll data (nowcast backtest)</w:t>
      </w:r>
    </w:p>
    <w:p>
      <w:pPr>
        <w:pStyle w:val="FirstParagraph"/>
      </w:pPr>
      <w:r>
        <w:t xml:space="preserve">The precision budget (Section 7.8) shows PP contributing &lt;1% of total information at the national level when CES and QCEW are available. That understates PP’s</w:t>
      </w:r>
      <w:r>
        <w:t xml:space="preserve"> </w:t>
      </w:r>
      <w:r>
        <w:rPr>
          <w:i/>
          <w:iCs/>
        </w:rPr>
        <w:t xml:space="preserve">operational</w:t>
      </w:r>
      <w:r>
        <w:t xml:space="preserve"> </w:t>
      </w:r>
      <w:r>
        <w:t xml:space="preserve">value: in real time, CES is released with a lag, while PP can be available sooner. To quantify how much PP helps when CES is missing, a</w:t>
      </w:r>
      <w:r>
        <w:t xml:space="preserve"> </w:t>
      </w:r>
      <w:r>
        <w:rPr>
          <w:b/>
          <w:bCs/>
        </w:rPr>
        <w:t xml:space="preserve">nowcast backtest</w:t>
      </w:r>
      <w:r>
        <w:t xml:space="preserve"> </w:t>
      </w:r>
      <w:r>
        <w:t xml:space="preserve">was run (</w:t>
      </w:r>
      <w:r>
        <w:rPr>
          <w:rStyle w:val="VerbatimChar"/>
        </w:rPr>
        <w:t xml:space="preserve">pp_nowcast_backtest_v3.py</w:t>
      </w:r>
      <w:r>
        <w:t xml:space="preserve">).</w:t>
      </w:r>
    </w:p>
    <w:p>
      <w:pPr>
        <w:pStyle w:val="BodyText"/>
      </w:pPr>
      <w:r>
        <w:rPr>
          <w:b/>
          <w:bCs/>
        </w:rPr>
        <w:t xml:space="preserve">Design.</w:t>
      </w:r>
      <w:r>
        <w:t xml:space="preserve"> </w:t>
      </w:r>
      <w:r>
        <w:t xml:space="preserve">For each of the last 12 months, CES was censored from that month onward; the v2 model was run with lighter sampling (2000 draws, 2 chains) using only QCEW, PP1, and PP2 as available. The model’s posterior mean for SA</w:t>
      </w:r>
      <w:r>
        <w:t xml:space="preserve"> </w:t>
      </w:r>
      <w:r>
        <w:rPr>
          <w:i/>
          <w:iCs/>
        </w:rPr>
        <w:t xml:space="preserve">jobs added</w:t>
      </w:r>
      <w:r>
        <w:t xml:space="preserve"> </w:t>
      </w:r>
      <w:r>
        <w:t xml:space="preserve">(month-over-month change) and growth in that month was compared to the actual CES release. Months 2025-01–06 have QCEW, PP1, and PP2; months 2025-07–12 have only PP2 (QCEW and PP1 end in 2025-06 in the current data).</w:t>
      </w:r>
    </w:p>
    <w:p>
      <w:pPr>
        <w:pStyle w:val="BodyText"/>
      </w:pPr>
      <w:r>
        <w:rPr>
          <w:b/>
          <w:bCs/>
        </w:rPr>
        <w:t xml:space="preserve">Results.</w:t>
      </w:r>
      <w:r>
        <w:t xml:space="preserve"> </w:t>
      </w:r>
      <w:r>
        <w:t xml:space="preserve">Primary metric: error in jobs added (thousands). Growth (pp) is secondary.</w:t>
      </w:r>
    </w:p>
    <w:tbl>
      <w:tblPr>
        <w:tblStyle w:val="Table"/>
        <w:tblW w:type="pct" w:w="5000"/>
        <w:tblLayout w:type="fixed"/>
        <w:tblLook w:firstRow="1" w:lastRow="0" w:firstColumn="0" w:lastColumn="0" w:noHBand="0" w:noVBand="0" w:val="0020"/>
      </w:tblPr>
      <w:tblGrid>
        <w:gridCol w:w="3028"/>
        <w:gridCol w:w="582"/>
        <w:gridCol w:w="2329"/>
        <w:gridCol w:w="1980"/>
      </w:tblGrid>
      <w:tr>
        <w:trPr>
          <w:tblHeader w:val="on"/>
        </w:trPr>
        <w:tc>
          <w:tcPr/>
          <w:p>
            <w:pPr>
              <w:pStyle w:val="Compact"/>
            </w:pPr>
            <w:r>
              <w:t xml:space="preserve">Setting</w:t>
            </w:r>
          </w:p>
        </w:tc>
        <w:tc>
          <w:tcPr/>
          <w:p>
            <w:pPr>
              <w:pStyle w:val="Compact"/>
            </w:pPr>
            <w:r>
              <w:t xml:space="preserve">n</w:t>
            </w:r>
          </w:p>
        </w:tc>
        <w:tc>
          <w:tcPr/>
          <w:p>
            <w:pPr>
              <w:pStyle w:val="Compact"/>
            </w:pPr>
            <w:r>
              <w:t xml:space="preserve">MAE jobs added (k)</w:t>
            </w:r>
          </w:p>
        </w:tc>
        <w:tc>
          <w:tcPr/>
          <w:p>
            <w:pPr>
              <w:pStyle w:val="Compact"/>
            </w:pPr>
            <w:r>
              <w:t xml:space="preserve">MAE growth (pp)</w:t>
            </w:r>
          </w:p>
        </w:tc>
      </w:tr>
      <w:tr>
        <w:tc>
          <w:tcPr/>
          <w:p>
            <w:pPr>
              <w:pStyle w:val="Compact"/>
            </w:pPr>
            <w:r>
              <w:t xml:space="preserve">Overall</w:t>
            </w:r>
          </w:p>
        </w:tc>
        <w:tc>
          <w:tcPr/>
          <w:p>
            <w:pPr>
              <w:pStyle w:val="Compact"/>
            </w:pPr>
            <w:r>
              <w:t xml:space="preserve">12</w:t>
            </w:r>
          </w:p>
        </w:tc>
        <w:tc>
          <w:tcPr/>
          <w:p>
            <w:pPr>
              <w:pStyle w:val="Compact"/>
            </w:pPr>
            <w:r>
              <w:t xml:space="preserve">255</w:t>
            </w:r>
          </w:p>
        </w:tc>
        <w:tc>
          <w:tcPr/>
          <w:p>
            <w:pPr>
              <w:pStyle w:val="Compact"/>
            </w:pPr>
            <w:r>
              <w:t xml:space="preserve">0.198</w:t>
            </w:r>
          </w:p>
        </w:tc>
      </w:tr>
      <w:tr>
        <w:tc>
          <w:tcPr/>
          <w:p>
            <w:pPr>
              <w:pStyle w:val="Compact"/>
            </w:pPr>
            <w:r>
              <w:t xml:space="preserve">Data-rich (QCEW+PP1+PP2)</w:t>
            </w:r>
          </w:p>
        </w:tc>
        <w:tc>
          <w:tcPr/>
          <w:p>
            <w:pPr>
              <w:pStyle w:val="Compact"/>
            </w:pPr>
            <w:r>
              <w:t xml:space="preserve">6</w:t>
            </w:r>
          </w:p>
        </w:tc>
        <w:tc>
          <w:tcPr/>
          <w:p>
            <w:pPr>
              <w:pStyle w:val="Compact"/>
            </w:pPr>
            <w:r>
              <w:t xml:space="preserve">166</w:t>
            </w:r>
          </w:p>
        </w:tc>
        <w:tc>
          <w:tcPr/>
          <w:p>
            <w:pPr>
              <w:pStyle w:val="Compact"/>
            </w:pPr>
            <w:r>
              <w:t xml:space="preserve">0.127</w:t>
            </w:r>
          </w:p>
        </w:tc>
      </w:tr>
      <w:tr>
        <w:tc>
          <w:tcPr/>
          <w:p>
            <w:pPr>
              <w:pStyle w:val="Compact"/>
            </w:pPr>
            <w:r>
              <w:t xml:space="preserve">PP2-only</w:t>
            </w:r>
          </w:p>
        </w:tc>
        <w:tc>
          <w:tcPr/>
          <w:p>
            <w:pPr>
              <w:pStyle w:val="Compact"/>
            </w:pPr>
            <w:r>
              <w:t xml:space="preserve">6</w:t>
            </w:r>
          </w:p>
        </w:tc>
        <w:tc>
          <w:tcPr/>
          <w:p>
            <w:pPr>
              <w:pStyle w:val="Compact"/>
            </w:pPr>
            <w:r>
              <w:t xml:space="preserve">344</w:t>
            </w:r>
          </w:p>
        </w:tc>
        <w:tc>
          <w:tcPr/>
          <w:p>
            <w:pPr>
              <w:pStyle w:val="Compact"/>
            </w:pPr>
            <w:r>
              <w:t xml:space="preserve">0.268</w:t>
            </w:r>
          </w:p>
        </w:tc>
      </w:tr>
    </w:tbl>
    <w:p>
      <w:pPr>
        <w:pStyle w:val="BodyText"/>
      </w:pPr>
      <w:r>
        <w:t xml:space="preserve">When only PP2 is available, nowcast error in jobs added is about twice as large (344k vs 166k) and growth error roughly twice as large (0.27 pp vs 0.13 pp). That directly quantifies PP’s value in the nowcasting window and supports the claim that PP matters most when CES (and at the national level, QCEW) is absent.</w:t>
      </w:r>
    </w:p>
    <w:p>
      <w:pPr>
        <w:pStyle w:val="BodyText"/>
      </w:pPr>
      <w:r>
        <w:rPr>
          <w:b/>
          <w:bCs/>
        </w:rPr>
        <w:t xml:space="preserve">Real-time nowcast.</w:t>
      </w:r>
      <w:r>
        <w:t xml:space="preserve"> </w:t>
      </w:r>
      <w:r>
        <w:t xml:space="preserve">The same procedure can be used operationally when CES for the latest month is delayed: run the backtest script with</w:t>
      </w:r>
      <w:r>
        <w:t xml:space="preserve"> </w:t>
      </w:r>
      <w:r>
        <w:rPr>
          <w:rStyle w:val="VerbatimChar"/>
        </w:rPr>
        <w:t xml:space="preserve">censor_ces_from</w:t>
      </w:r>
      <w:r>
        <w:t xml:space="preserve"> </w:t>
      </w:r>
      <w:r>
        <w:t xml:space="preserve">set to that month’s reference date (e.g. the 12th). The script’s single-run output for that month is the model’s nowcast of SA jobs added and growth; the full 12-month backtest is only needed for evaluation, not for producing a single nowcast.</w:t>
      </w:r>
    </w:p>
    <w:p>
      <w:r>
        <w:pict>
          <v:rect style="width:0;height:1.5pt" o:hralign="center" o:hrstd="t" o:hr="t"/>
        </w:pict>
      </w:r>
    </w:p>
    <w:bookmarkEnd w:id="61"/>
    <w:bookmarkStart w:id="62" w:name="qcew-sigma-sensitivity-and-calibration"/>
    <w:p>
      <w:pPr>
        <w:pStyle w:val="Heading3"/>
      </w:pPr>
      <w:r>
        <w:t xml:space="preserve">13.2 QCEW sigma sensitivity and calibration</w:t>
      </w:r>
    </w:p>
    <w:p>
      <w:pPr>
        <w:pStyle w:val="FirstParagraph"/>
      </w:pPr>
      <w:r>
        <w:t xml:space="preserve">The QCEW truth anchor uses</w:t>
      </w:r>
      <w:r>
        <w:t xml:space="preserve"> </w:t>
      </w:r>
      <w:r>
        <w:rPr>
          <w:i/>
          <w:iCs/>
        </w:rPr>
        <w:t xml:space="preserve">fixed</w:t>
      </w:r>
      <w:r>
        <w:t xml:space="preserve"> </w:t>
      </w:r>
      <w:r>
        <w:t xml:space="preserve">observation noise:</w:t>
      </w:r>
      <w:r>
        <w:t xml:space="preserve"> </w:t>
      </w:r>
      <m:oMath>
        <m:sSubSup>
          <m:e>
            <m:r>
              <m:t>σ</m:t>
            </m:r>
          </m:e>
          <m:sub>
            <m:r>
              <m:rPr>
                <m:nor/>
                <m:sty m:val="p"/>
              </m:rPr>
              <m:t>QCEW</m:t>
            </m:r>
          </m:sub>
          <m:sup>
            <m:r>
              <m:rPr>
                <m:nor/>
                <m:sty m:val="p"/>
              </m:rPr>
              <m:t>M3</m:t>
            </m:r>
          </m:sup>
        </m:sSubSup>
        <m:r>
          <m:rPr>
            <m:sty m:val="p"/>
          </m:rPr>
          <m:t>=</m:t>
        </m:r>
        <m:r>
          <m:t>0.1</m:t>
        </m:r>
        <m:r>
          <m:rPr>
            <m:sty m:val="p"/>
          </m:rPr>
          <m:t>%</m:t>
        </m:r>
      </m:oMath>
      <w:r>
        <w:t xml:space="preserve"> </w:t>
      </w:r>
      <w:r>
        <w:t xml:space="preserve">(quarter-end months) and</w:t>
      </w:r>
      <w:r>
        <w:t xml:space="preserve"> </w:t>
      </w:r>
      <m:oMath>
        <m:sSubSup>
          <m:e>
            <m:r>
              <m:t>σ</m:t>
            </m:r>
          </m:e>
          <m:sub>
            <m:r>
              <m:rPr>
                <m:nor/>
                <m:sty m:val="p"/>
              </m:rPr>
              <m:t>QCEW</m:t>
            </m:r>
          </m:sub>
          <m:sup>
            <m:r>
              <m:rPr>
                <m:nor/>
                <m:sty m:val="p"/>
              </m:rPr>
              <m:t>M1–2</m:t>
            </m:r>
          </m:sup>
        </m:sSubSup>
        <m:r>
          <m:rPr>
            <m:sty m:val="p"/>
          </m:rPr>
          <m:t>=</m:t>
        </m:r>
        <m:r>
          <m:t>0.3</m:t>
        </m:r>
        <m:r>
          <m:rPr>
            <m:sty m:val="p"/>
          </m:rPr>
          <m:t>%</m:t>
        </m:r>
      </m:oMath>
      <w:r>
        <w:t xml:space="preserve"> </w:t>
      </w:r>
      <w:r>
        <w:t xml:space="preserve">(retrospective UI months). These values are calibrated judgments, not estimated. To see how much conclusions depend on them, the model was run with three QCEW noise levels (</w:t>
      </w:r>
      <w:r>
        <w:rPr>
          <w:rStyle w:val="VerbatimChar"/>
        </w:rPr>
        <w:t xml:space="preserve">pp_sensitivity_v3.py</w:t>
      </w:r>
      <w:r>
        <w:t xml:space="preserve">):</w:t>
      </w:r>
      <w:r>
        <w:t xml:space="preserve"> </w:t>
      </w:r>
      <w:r>
        <w:rPr>
          <w:b/>
          <w:bCs/>
        </w:rPr>
        <w:t xml:space="preserve">0.5× (tight)</w:t>
      </w:r>
      <w:r>
        <w:t xml:space="preserve">,</w:t>
      </w:r>
      <w:r>
        <w:t xml:space="preserve"> </w:t>
      </w:r>
      <w:r>
        <w:rPr>
          <w:b/>
          <w:bCs/>
        </w:rPr>
        <w:t xml:space="preserve">1× (baseline)</w:t>
      </w:r>
      <w:r>
        <w:t xml:space="preserve">, and</w:t>
      </w:r>
      <w:r>
        <w:t xml:space="preserve"> </w:t>
      </w:r>
      <w:r>
        <w:rPr>
          <w:b/>
          <w:bCs/>
        </w:rPr>
        <w:t xml:space="preserve">2× (loose)</w:t>
      </w:r>
      <w:r>
        <w:t xml:space="preserve">.</w:t>
      </w:r>
    </w:p>
    <w:p>
      <w:pPr>
        <w:pStyle w:val="BodyText"/>
      </w:pPr>
      <w:r>
        <w:rPr>
          <w:b/>
          <w:bCs/>
        </w:rPr>
        <w:t xml:space="preserve">Parameter stability.</w:t>
      </w:r>
    </w:p>
    <w:p>
      <w:pPr>
        <w:pStyle w:val="Compact"/>
        <w:numPr>
          <w:ilvl w:val="0"/>
          <w:numId w:val="1007"/>
        </w:numPr>
      </w:pPr>
      <w:r>
        <w:rPr>
          <w:b/>
          <w:bCs/>
        </w:rPr>
        <w:t xml:space="preserve">Sensitive to QCEW sigma:</w:t>
      </w:r>
      <w:r>
        <w:t xml:space="preserve"> </w:t>
      </w:r>
      <m:oMath>
        <m:sSub>
          <m:e>
            <m:r>
              <m:t>α</m:t>
            </m:r>
          </m:e>
          <m:sub>
            <m:r>
              <m:rPr>
                <m:nor/>
                <m:sty m:val="p"/>
              </m:rPr>
              <m:t>CES</m:t>
            </m:r>
          </m:sub>
        </m:sSub>
      </m:oMath>
      <w:r>
        <w:t xml:space="preserve"> </w:t>
      </w:r>
      <w:r>
        <w:t xml:space="preserve">(bias) and</w:t>
      </w:r>
      <w:r>
        <w:t xml:space="preserve"> </w:t>
      </w:r>
      <m:oMath>
        <m:sSub>
          <m:e>
            <m:r>
              <m:t>σ</m:t>
            </m:r>
          </m:e>
          <m:sub>
            <m:r>
              <m:rPr>
                <m:nor/>
                <m:sty m:val="p"/>
              </m:rPr>
              <m:t>CES</m:t>
            </m:r>
          </m:sub>
        </m:sSub>
      </m:oMath>
      <w:r>
        <w:t xml:space="preserve"> </w:t>
      </w:r>
      <w:r>
        <w:t xml:space="preserve">(SA/NSA observation noise) move with the calibration; when QCEW is looser, the model attributes more noise to QCEW and estimates CES as relatively more precise. The sensitivity run reports:</w:t>
      </w:r>
      <w:r>
        <w:t xml:space="preserve"> </w:t>
      </w:r>
      <w:r>
        <w:t xml:space="preserve">“Key parameters shift meaningfully with QCEW sigma. Consider reporting sensitivity in the paper.”</w:t>
      </w:r>
    </w:p>
    <w:p>
      <w:pPr>
        <w:pStyle w:val="Compact"/>
        <w:numPr>
          <w:ilvl w:val="0"/>
          <w:numId w:val="1007"/>
        </w:numPr>
      </w:pPr>
      <w:r>
        <w:rPr>
          <w:b/>
          <w:bCs/>
        </w:rPr>
        <w:t xml:space="preserve">Stable:</w:t>
      </w:r>
      <w:r>
        <w:t xml:space="preserve"> </w:t>
      </w:r>
      <m:oMath>
        <m:sSub>
          <m:e>
            <m:r>
              <m:t>λ</m:t>
            </m:r>
          </m:e>
          <m:sub>
            <m:r>
              <m:rPr>
                <m:nor/>
                <m:sty m:val="p"/>
              </m:rPr>
              <m:t>CES</m:t>
            </m:r>
          </m:sub>
        </m:sSub>
      </m:oMath>
      <w:r>
        <w:t xml:space="preserve">,</w:t>
      </w:r>
      <w:r>
        <w:t xml:space="preserve"> </w:t>
      </w:r>
      <m:oMath>
        <m:sSub>
          <m:e>
            <m:r>
              <m:t>ρ</m:t>
            </m:r>
          </m:e>
          <m:sub>
            <m:r>
              <m:rPr>
                <m:nor/>
                <m:sty m:val="p"/>
              </m:rPr>
              <m:t>PP1</m:t>
            </m:r>
          </m:sub>
        </m:sSub>
      </m:oMath>
      <w:r>
        <w:t xml:space="preserve">, and PP loadings (</w:t>
      </w:r>
      <m:oMath>
        <m:sSub>
          <m:e>
            <m:r>
              <m:t>λ</m:t>
            </m:r>
          </m:e>
          <m:sub>
            <m:r>
              <m:t>p</m:t>
            </m:r>
          </m:sub>
        </m:sSub>
      </m:oMath>
      <w:r>
        <w:t xml:space="preserve">,</w:t>
      </w:r>
      <w:r>
        <w:t xml:space="preserve"> </w:t>
      </w:r>
      <m:oMath>
        <m:sSub>
          <m:e>
            <m:r>
              <m:t>σ</m:t>
            </m:r>
          </m:e>
          <m:sub>
            <m:r>
              <m:t>p</m:t>
            </m:r>
          </m:sub>
        </m:sSub>
      </m:oMath>
      <w:r>
        <w:t xml:space="preserve">) are nearly unchanged across the three configurations. Birth/death offset has very wide HDIs in all runs, so its point estimate is not emphasized.</w:t>
      </w:r>
    </w:p>
    <w:p>
      <w:pPr>
        <w:pStyle w:val="FirstParagraph"/>
      </w:pPr>
      <w:r>
        <w:rPr>
          <w:b/>
          <w:bCs/>
        </w:rPr>
        <w:t xml:space="preserve">Precision budget.</w:t>
      </w:r>
    </w:p>
    <w:tbl>
      <w:tblPr>
        <w:tblStyle w:val="Table"/>
        <w:tblW w:type="pct" w:w="5000"/>
        <w:tblLayout w:type="fixed"/>
        <w:tblLook w:firstRow="1" w:lastRow="0" w:firstColumn="0" w:lastColumn="0" w:noHBand="0" w:noVBand="0" w:val="0020"/>
      </w:tblPr>
      <w:tblGrid>
        <w:gridCol w:w="1673"/>
        <w:gridCol w:w="1338"/>
        <w:gridCol w:w="1561"/>
        <w:gridCol w:w="1673"/>
        <w:gridCol w:w="1673"/>
      </w:tblGrid>
      <w:tr>
        <w:trPr>
          <w:tblHeader w:val="on"/>
        </w:trPr>
        <w:tc>
          <w:tcPr/>
          <w:p>
            <w:pPr>
              <w:pStyle w:val="Compact"/>
            </w:pPr>
            <w:r>
              <w:t xml:space="preserve">Configuration</w:t>
            </w:r>
          </w:p>
        </w:tc>
        <w:tc>
          <w:tcPr/>
          <w:p>
            <w:pPr>
              <w:pStyle w:val="Compact"/>
            </w:pPr>
            <w:r>
              <w:t xml:space="preserve">QCEW share</w:t>
            </w:r>
          </w:p>
        </w:tc>
        <w:tc>
          <w:tcPr/>
          <w:p>
            <w:pPr>
              <w:pStyle w:val="Compact"/>
            </w:pPr>
            <w:r>
              <w:t xml:space="preserve">CES SA share</w:t>
            </w:r>
          </w:p>
        </w:tc>
        <w:tc>
          <w:tcPr/>
          <w:p>
            <w:pPr>
              <w:pStyle w:val="Compact"/>
            </w:pPr>
            <w:r>
              <w:t xml:space="preserve">CES NSA share</w:t>
            </w:r>
          </w:p>
        </w:tc>
        <w:tc>
          <w:tcPr/>
          <w:p>
            <w:pPr>
              <w:pStyle w:val="Compact"/>
            </w:pPr>
            <w:r>
              <w:t xml:space="preserve">PP1+PP2 share</w:t>
            </w:r>
          </w:p>
        </w:tc>
      </w:tr>
      <w:tr>
        <w:tc>
          <w:tcPr/>
          <w:p>
            <w:pPr>
              <w:pStyle w:val="Compact"/>
            </w:pPr>
            <w:r>
              <w:t xml:space="preserve">0.5× (tight)</w:t>
            </w:r>
          </w:p>
        </w:tc>
        <w:tc>
          <w:tcPr/>
          <w:p>
            <w:pPr>
              <w:pStyle w:val="Compact"/>
            </w:pPr>
            <w:r>
              <w:t xml:space="preserve">38.1%</w:t>
            </w:r>
          </w:p>
        </w:tc>
        <w:tc>
          <w:tcPr/>
          <w:p>
            <w:pPr>
              <w:pStyle w:val="Compact"/>
            </w:pPr>
            <w:r>
              <w:t xml:space="preserve">32.7%</w:t>
            </w:r>
          </w:p>
        </w:tc>
        <w:tc>
          <w:tcPr/>
          <w:p>
            <w:pPr>
              <w:pStyle w:val="Compact"/>
            </w:pPr>
            <w:r>
              <w:t xml:space="preserve">27.4%</w:t>
            </w:r>
          </w:p>
        </w:tc>
        <w:tc>
          <w:tcPr/>
          <w:p>
            <w:pPr>
              <w:pStyle w:val="Compact"/>
            </w:pPr>
            <w:r>
              <w:t xml:space="preserve">1.7%</w:t>
            </w:r>
          </w:p>
        </w:tc>
      </w:tr>
      <w:tr>
        <w:tc>
          <w:tcPr/>
          <w:p>
            <w:pPr>
              <w:pStyle w:val="Compact"/>
            </w:pPr>
            <w:r>
              <w:t xml:space="preserve">1× (baseline)</w:t>
            </w:r>
          </w:p>
        </w:tc>
        <w:tc>
          <w:tcPr/>
          <w:p>
            <w:pPr>
              <w:pStyle w:val="Compact"/>
            </w:pPr>
            <w:r>
              <w:t xml:space="preserve">4.0%</w:t>
            </w:r>
          </w:p>
        </w:tc>
        <w:tc>
          <w:tcPr/>
          <w:p>
            <w:pPr>
              <w:pStyle w:val="Compact"/>
            </w:pPr>
            <w:r>
              <w:t xml:space="preserve">50.2%</w:t>
            </w:r>
          </w:p>
        </w:tc>
        <w:tc>
          <w:tcPr/>
          <w:p>
            <w:pPr>
              <w:pStyle w:val="Compact"/>
            </w:pPr>
            <w:r>
              <w:t xml:space="preserve">45.0%</w:t>
            </w:r>
          </w:p>
        </w:tc>
        <w:tc>
          <w:tcPr/>
          <w:p>
            <w:pPr>
              <w:pStyle w:val="Compact"/>
            </w:pPr>
            <w:r>
              <w:t xml:space="preserve">0.7%</w:t>
            </w:r>
          </w:p>
        </w:tc>
      </w:tr>
      <w:tr>
        <w:tc>
          <w:tcPr/>
          <w:p>
            <w:pPr>
              <w:pStyle w:val="Compact"/>
            </w:pPr>
            <w:r>
              <w:t xml:space="preserve">2× (loose)</w:t>
            </w:r>
          </w:p>
        </w:tc>
        <w:tc>
          <w:tcPr/>
          <w:p>
            <w:pPr>
              <w:pStyle w:val="Compact"/>
            </w:pPr>
            <w:r>
              <w:t xml:space="preserve">1.0%</w:t>
            </w:r>
          </w:p>
        </w:tc>
        <w:tc>
          <w:tcPr/>
          <w:p>
            <w:pPr>
              <w:pStyle w:val="Compact"/>
            </w:pPr>
            <w:r>
              <w:t xml:space="preserve">54.6%</w:t>
            </w:r>
          </w:p>
        </w:tc>
        <w:tc>
          <w:tcPr/>
          <w:p>
            <w:pPr>
              <w:pStyle w:val="Compact"/>
            </w:pPr>
            <w:r>
              <w:t xml:space="preserve">43.7%</w:t>
            </w:r>
          </w:p>
        </w:tc>
        <w:tc>
          <w:tcPr/>
          <w:p>
            <w:pPr>
              <w:pStyle w:val="Compact"/>
            </w:pPr>
            <w:r>
              <w:t xml:space="preserve">0.7%</w:t>
            </w:r>
          </w:p>
        </w:tc>
      </w:tr>
    </w:tbl>
    <w:p>
      <w:pPr>
        <w:pStyle w:val="BodyText"/>
      </w:pPr>
      <w:r>
        <w:t xml:space="preserve">So the</w:t>
      </w:r>
      <w:r>
        <w:t xml:space="preserve"> </w:t>
      </w:r>
      <w:r>
        <w:rPr>
          <w:i/>
          <w:iCs/>
        </w:rPr>
        <w:t xml:space="preserve">split</w:t>
      </w:r>
      <w:r>
        <w:t xml:space="preserve"> </w:t>
      </w:r>
      <w:r>
        <w:t xml:space="preserve">of influence between the anchor and CES depends on the chosen QCEW sigmas; the baseline is not uniquely</w:t>
      </w:r>
      <w:r>
        <w:t xml:space="preserve"> </w:t>
      </w:r>
      <w:r>
        <w:t xml:space="preserve">“true,”</w:t>
      </w:r>
      <w:r>
        <w:t xml:space="preserve"> </w:t>
      </w:r>
      <w:r>
        <w:t xml:space="preserve">but a</w:t>
      </w:r>
      <w:r>
        <w:t xml:space="preserve"> </w:t>
      </w:r>
      <w:r>
        <w:rPr>
          <w:b/>
          <w:bCs/>
        </w:rPr>
        <w:t xml:space="preserve">reasonable middle ground</w:t>
      </w:r>
      <w:r>
        <w:t xml:space="preserve"> </w:t>
      </w:r>
      <w:r>
        <w:t xml:space="preserve">that keeps QCEW as a meaningful anchor without over-tightening it. Reporting this sensitivity (e.g. this subsection and the sensitivity figure in</w:t>
      </w:r>
      <w:r>
        <w:t xml:space="preserve"> </w:t>
      </w:r>
      <w:r>
        <w:rPr>
          <w:rStyle w:val="VerbatimChar"/>
        </w:rPr>
        <w:t xml:space="preserve">output/sensitivity_qcew_sigma.png</w:t>
      </w:r>
      <w:r>
        <w:t xml:space="preserve">) makes clear that conclusions are not driven solely by the 0.1% / 0.3% choice—readers can see how the precision budget and CES bias shift if they prefer tighter or looser QCEW noise.</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2026-02-11T13:53:25Z</dcterms:created>
  <dcterms:modified xsi:type="dcterms:W3CDTF">2026-02-11T13:53:25Z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