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996E" w14:textId="77777777" w:rsidR="00C86A6D" w:rsidRPr="00393C1A" w:rsidRDefault="00C86A6D" w:rsidP="00C86A6D">
      <w:pPr>
        <w:pStyle w:val="Title"/>
        <w:rPr>
          <w:color w:val="0F4761" w:themeColor="accent1" w:themeShade="BF"/>
          <w:sz w:val="40"/>
          <w:szCs w:val="40"/>
        </w:rPr>
      </w:pPr>
      <w:bookmarkStart w:id="0" w:name="overview"/>
      <w:r w:rsidRPr="00393C1A">
        <w:rPr>
          <w:color w:val="0F4761" w:themeColor="accent1" w:themeShade="BF"/>
          <w:sz w:val="40"/>
          <w:szCs w:val="40"/>
        </w:rPr>
        <w:t>Bayesian State Space NFP Nowcasting System</w:t>
      </w:r>
    </w:p>
    <w:p w14:paraId="54E5AC23" w14:textId="486263AA" w:rsidR="00C86A6D" w:rsidRDefault="00C86A6D" w:rsidP="00C86A6D">
      <w:pPr>
        <w:pStyle w:val="Heading1"/>
        <w:spacing w:before="0"/>
        <w:jc w:val="center"/>
      </w:pPr>
      <w:r w:rsidRPr="00B020B2">
        <w:rPr>
          <w:sz w:val="32"/>
          <w:szCs w:val="32"/>
        </w:rPr>
        <w:t xml:space="preserve">Staged Implementation Plan: Version </w:t>
      </w:r>
      <w:r>
        <w:rPr>
          <w:sz w:val="32"/>
          <w:szCs w:val="32"/>
        </w:rPr>
        <w:t>9</w:t>
      </w:r>
      <w:r w:rsidRPr="00B020B2">
        <w:rPr>
          <w:sz w:val="32"/>
          <w:szCs w:val="32"/>
        </w:rPr>
        <w:t xml:space="preserve"> (2-</w:t>
      </w:r>
      <w:r>
        <w:rPr>
          <w:sz w:val="32"/>
          <w:szCs w:val="32"/>
        </w:rPr>
        <w:t>24</w:t>
      </w:r>
      <w:r w:rsidRPr="00B020B2">
        <w:rPr>
          <w:sz w:val="32"/>
          <w:szCs w:val="32"/>
        </w:rPr>
        <w:t>-2026)</w:t>
      </w:r>
    </w:p>
    <w:p w14:paraId="2218669F" w14:textId="695AA12A" w:rsidR="00C87760" w:rsidRPr="00393C1A" w:rsidRDefault="00000000">
      <w:pPr>
        <w:pStyle w:val="Heading1"/>
        <w:rPr>
          <w:sz w:val="32"/>
          <w:szCs w:val="32"/>
        </w:rPr>
      </w:pPr>
      <w:r w:rsidRPr="00393C1A">
        <w:rPr>
          <w:sz w:val="32"/>
          <w:szCs w:val="32"/>
        </w:rPr>
        <w:t>Overview</w:t>
      </w:r>
    </w:p>
    <w:p w14:paraId="1D25935E" w14:textId="77777777" w:rsidR="00C87760" w:rsidRDefault="00000000">
      <w:pPr>
        <w:pStyle w:val="FirstParagraph"/>
      </w:pPr>
      <w:r>
        <w:t>This document describes a staged release plan for a Bayesian state space NFP nowcasting system comprising two models:</w:t>
      </w:r>
    </w:p>
    <w:p w14:paraId="45934874" w14:textId="77777777" w:rsidR="00C87760" w:rsidRDefault="00000000">
      <w:pPr>
        <w:numPr>
          <w:ilvl w:val="0"/>
          <w:numId w:val="2"/>
        </w:numPr>
      </w:pPr>
      <w:r>
        <w:rPr>
          <w:b/>
          <w:bCs/>
        </w:rPr>
        <w:t>National Accuracy Model (Release 1).</w:t>
      </w:r>
      <w:r>
        <w:t xml:space="preserve"> Produces a national NFP nowcast 2–3 weeks before the official CES release by fusing QCEW census data, CES survey data, and private payroll provider signals with structural birth/death modeling. This model’s value is a better number, faster.</w:t>
      </w:r>
    </w:p>
    <w:p w14:paraId="3E4F52AC" w14:textId="77777777" w:rsidR="00C87760" w:rsidRDefault="00000000">
      <w:pPr>
        <w:numPr>
          <w:ilvl w:val="0"/>
          <w:numId w:val="2"/>
        </w:numPr>
      </w:pPr>
      <w:r>
        <w:rPr>
          <w:b/>
          <w:bCs/>
        </w:rPr>
        <w:t>Narrative Decomposition Model (Releases 2–3).</w:t>
      </w:r>
      <w:r>
        <w:t xml:space="preserve"> Decomposes the national estimate into industry and geographic components that tell the story of where employment growth is coming from. Release 2 provides industry (</w:t>
      </w:r>
      <w:proofErr w:type="spellStart"/>
      <w:r>
        <w:t>supersector</w:t>
      </w:r>
      <w:proofErr w:type="spellEnd"/>
      <w:r>
        <w:t>) decomposition, available the same day as the national CES first print. Release 3 adds geography (state), which requires waiting ~2 additional weeks for state CES.</w:t>
      </w:r>
    </w:p>
    <w:p w14:paraId="042363BC" w14:textId="77777777" w:rsidR="00C87760" w:rsidRDefault="00000000">
      <w:pPr>
        <w:pStyle w:val="FirstParagraph"/>
      </w:pPr>
      <w:r>
        <w:t xml:space="preserve">Each release is a fully functional system. The narrative model never degrades the national model — </w:t>
      </w:r>
      <w:proofErr w:type="spellStart"/>
      <w:r>
        <w:t>MinT</w:t>
      </w:r>
      <w:proofErr w:type="spellEnd"/>
      <w:r>
        <w:t xml:space="preserve"> reconciliation guarantees that the reconciled national estimate is at least as accurate as the standalone national estimate under correct covariance specification. The national model always exists as a standalone fallback.</w:t>
      </w:r>
    </w:p>
    <w:p w14:paraId="5CB5CF34" w14:textId="77777777" w:rsidR="00C87760" w:rsidRDefault="00000000">
      <w:pPr>
        <w:pStyle w:val="Heading2"/>
      </w:pPr>
      <w:bookmarkStart w:id="1" w:name="design-principles"/>
      <w:r>
        <w:t>Design Principles</w:t>
      </w:r>
    </w:p>
    <w:p w14:paraId="45DAE8AA" w14:textId="77777777" w:rsidR="00C87760" w:rsidRDefault="00000000">
      <w:pPr>
        <w:numPr>
          <w:ilvl w:val="0"/>
          <w:numId w:val="3"/>
        </w:numPr>
      </w:pPr>
      <w:r>
        <w:rPr>
          <w:b/>
          <w:bCs/>
        </w:rPr>
        <w:t>Forecast accuracy before narrative:</w:t>
      </w:r>
      <w:r>
        <w:t xml:space="preserve"> Birth/death correction and QCEW anchoring are prioritized over decomposition. The system’s central value proposition is detecting and correcting for birth/death drift in real time.</w:t>
      </w:r>
    </w:p>
    <w:p w14:paraId="7A1C9560" w14:textId="77777777" w:rsidR="00C87760" w:rsidRDefault="00000000">
      <w:pPr>
        <w:numPr>
          <w:ilvl w:val="0"/>
          <w:numId w:val="3"/>
        </w:numPr>
      </w:pPr>
      <w:r>
        <w:rPr>
          <w:b/>
          <w:bCs/>
        </w:rPr>
        <w:t>Multi-provider from the start:</w:t>
      </w:r>
      <w:r>
        <w:t xml:space="preserve"> The measurement error framework accommodates multiple providers as independent noisy observations of latent truth, with configurable provider-specific error structures. New providers require only a configuration entry.</w:t>
      </w:r>
    </w:p>
    <w:p w14:paraId="359B78FD" w14:textId="77777777" w:rsidR="00C87760" w:rsidRDefault="00000000">
      <w:pPr>
        <w:numPr>
          <w:ilvl w:val="0"/>
          <w:numId w:val="3"/>
        </w:numPr>
      </w:pPr>
      <w:r>
        <w:rPr>
          <w:b/>
          <w:bCs/>
        </w:rPr>
        <w:t>Industry before geography:</w:t>
      </w:r>
      <w:r>
        <w:t xml:space="preserve"> CES publishes national </w:t>
      </w:r>
      <w:proofErr w:type="spellStart"/>
      <w:r>
        <w:t>supersector</w:t>
      </w:r>
      <w:proofErr w:type="spellEnd"/>
      <w:r>
        <w:t xml:space="preserve"> detail on the same day as the national total. The industry narrative is anchored to official data immediately. Geographic detail must wait for state CES (~2 weeks later) and faces sparser cells and missing revision data. Industry decomposition is deployed first.</w:t>
      </w:r>
    </w:p>
    <w:p w14:paraId="287D5828" w14:textId="77777777" w:rsidR="00C87760" w:rsidRDefault="00000000">
      <w:pPr>
        <w:numPr>
          <w:ilvl w:val="0"/>
          <w:numId w:val="3"/>
        </w:numPr>
      </w:pPr>
      <w:r>
        <w:rPr>
          <w:b/>
          <w:bCs/>
        </w:rPr>
        <w:t>Coherent hierarchical forecasts:</w:t>
      </w:r>
      <w:r>
        <w:t xml:space="preserve"> Cell contributions sum exactly to the national forecast via </w:t>
      </w:r>
      <w:proofErr w:type="spellStart"/>
      <w:r>
        <w:t>MinT</w:t>
      </w:r>
      <w:proofErr w:type="spellEnd"/>
      <w:r>
        <w:t xml:space="preserve"> reconciliation.</w:t>
      </w:r>
    </w:p>
    <w:p w14:paraId="6BABACA1" w14:textId="77777777" w:rsidR="00C87760" w:rsidRDefault="00000000">
      <w:pPr>
        <w:numPr>
          <w:ilvl w:val="0"/>
          <w:numId w:val="3"/>
        </w:numPr>
      </w:pPr>
      <w:r>
        <w:rPr>
          <w:b/>
          <w:bCs/>
        </w:rPr>
        <w:lastRenderedPageBreak/>
        <w:t>Information-regime awareness:</w:t>
      </w:r>
      <w:r>
        <w:t xml:space="preserve"> The system explicitly tracks which data sources are available at each point in the publication cycle, producing estimates with uncertainty calibrated to the current information set.</w:t>
      </w:r>
    </w:p>
    <w:p w14:paraId="340A7BE0" w14:textId="77777777" w:rsidR="00C87760" w:rsidRDefault="00000000">
      <w:pPr>
        <w:numPr>
          <w:ilvl w:val="0"/>
          <w:numId w:val="3"/>
        </w:numPr>
      </w:pPr>
      <w:r>
        <w:rPr>
          <w:b/>
          <w:bCs/>
        </w:rPr>
        <w:t>Representativeness-corrected provider signals:</w:t>
      </w:r>
      <w:r>
        <w:t xml:space="preserve"> Provider national signals are pre-processed to remove first-order composition bias by reweighting cell-level continuing-units growth (constructed from pseudo-establishments at the </w:t>
      </w:r>
      <w:proofErr w:type="spellStart"/>
      <w:r>
        <w:t>supersector</w:t>
      </w:r>
      <w:proofErr w:type="spellEnd"/>
      <w:r>
        <w:t xml:space="preserve"> </w:t>
      </w:r>
      <m:oMath>
        <m:r>
          <m:rPr>
            <m:sty m:val="p"/>
          </m:rPr>
          <w:rPr>
            <w:rFonts w:ascii="Cambria Math" w:hAnsi="Cambria Math"/>
          </w:rPr>
          <m:t>×</m:t>
        </m:r>
      </m:oMath>
      <w:r>
        <w:t xml:space="preserve"> Census region level) to national QCEW employment shares. This ensures the national model’s single-latent-state assumption — that each provider measures the same underlying growth — is approximately satisfied regardless of provider portfolio composition.</w:t>
      </w:r>
    </w:p>
    <w:p w14:paraId="113EFCB2" w14:textId="77777777" w:rsidR="00C87760" w:rsidRDefault="00000000">
      <w:pPr>
        <w:pStyle w:val="Heading2"/>
      </w:pPr>
      <w:bookmarkStart w:id="2" w:name="data-sources"/>
      <w:bookmarkEnd w:id="1"/>
      <w:r>
        <w:t>Data Sources</w:t>
      </w:r>
    </w:p>
    <w:p w14:paraId="3870F49C" w14:textId="77777777" w:rsidR="00C87760" w:rsidRDefault="00000000">
      <w:pPr>
        <w:pStyle w:val="FirstParagraph"/>
      </w:pPr>
      <w:r>
        <w:t xml:space="preserve">The system combines four classes of data, each with distinct timing, coverage, and measurement properties. </w:t>
      </w:r>
      <w:proofErr w:type="gramStart"/>
      <w:r>
        <w:t>A brief summary</w:t>
      </w:r>
      <w:proofErr w:type="gramEnd"/>
      <w:r>
        <w:t xml:space="preserve"> is provided here; detailed measurement properties are specified at point of use within each release.</w:t>
      </w:r>
    </w:p>
    <w:p w14:paraId="6064C422" w14:textId="77777777" w:rsidR="00C87760" w:rsidRDefault="00000000">
      <w:pPr>
        <w:pStyle w:val="BodyText"/>
      </w:pPr>
      <w:r>
        <w:rPr>
          <w:b/>
          <w:bCs/>
        </w:rPr>
        <w:t>QCEW (Quarterly Census of Employment and Wages).</w:t>
      </w:r>
      <w:r>
        <w:t xml:space="preserve"> Near-census of U.S. employment (&gt;95% coverage, ~97% of CES scope), based on mandatory quarterly UI tax filings. Published quarterly with ~5–</w:t>
      </w:r>
      <w:proofErr w:type="gramStart"/>
      <w:r>
        <w:t>6 month</w:t>
      </w:r>
      <w:proofErr w:type="gramEnd"/>
      <w:r>
        <w:t xml:space="preserve"> lag. Three monthly employment values per quarter: Month 3 (quarter-end) is contemporaneous at time of filing; Months 1–2 are retrospective. Revision history available from 2017Q1 at national and state levels.</w:t>
      </w:r>
    </w:p>
    <w:p w14:paraId="14C546CA" w14:textId="77777777" w:rsidR="00C87760" w:rsidRDefault="00000000">
      <w:pPr>
        <w:pStyle w:val="BodyText"/>
      </w:pPr>
      <w:r>
        <w:rPr>
          <w:b/>
          <w:bCs/>
        </w:rPr>
        <w:t>CES National (Current Employment Statistics).</w:t>
      </w:r>
      <w:r>
        <w:t xml:space="preserve"> Probability-based establishment survey (~670,000 worksites). First print ~3 weeks after reference period; two subsequent monthly revisions. Publishes total </w:t>
      </w:r>
      <w:r w:rsidRPr="00C86A6D">
        <w:t xml:space="preserve">nonfarm and </w:t>
      </w:r>
      <w:proofErr w:type="spellStart"/>
      <w:r w:rsidRPr="00C86A6D">
        <w:t>supersector</w:t>
      </w:r>
      <w:proofErr w:type="spellEnd"/>
      <w:r w:rsidRPr="00C86A6D">
        <w:t xml:space="preserve"> detail on the s</w:t>
      </w:r>
      <w:r>
        <w:t>ame day. Annual benchmark in February re-anchors to QCEW. Vintage data from May 2003 at the national level by sector.</w:t>
      </w:r>
    </w:p>
    <w:p w14:paraId="6F395F37" w14:textId="77777777" w:rsidR="00C87760" w:rsidRDefault="00000000">
      <w:pPr>
        <w:pStyle w:val="BodyText"/>
      </w:pPr>
      <w:r>
        <w:rPr>
          <w:b/>
          <w:bCs/>
        </w:rPr>
        <w:t>CES State (State and Area Employment).</w:t>
      </w:r>
      <w:r>
        <w:t xml:space="preserve"> Published ~5 weeks after reference period — approximately 2 weeks after national. One revision before annual benchmark. State final benchmarks in March (one month after national in February). States do not sum to national by design. Revision history at state level for total nonfarm only — not by industry.</w:t>
      </w:r>
    </w:p>
    <w:p w14:paraId="0706A4CA" w14:textId="77777777" w:rsidR="00C87760" w:rsidRDefault="00000000">
      <w:pPr>
        <w:pStyle w:val="BodyText"/>
      </w:pPr>
      <w:r>
        <w:rPr>
          <w:b/>
          <w:bCs/>
        </w:rPr>
        <w:t>Payroll Provider Data.</w:t>
      </w:r>
      <w:r>
        <w:t xml:space="preserve"> Continuing-units employment growth from private payroll processors. Available ~3 weeks before CES first print. Constructed from rotating, frozen measurement panels aligned to the CES reference week. Multiple providers supported with independent measurement parameters.</w:t>
      </w:r>
    </w:p>
    <w:p w14:paraId="24EC8AC3" w14:textId="77777777" w:rsidR="00C87760" w:rsidRDefault="00000000">
      <w:pPr>
        <w:pStyle w:val="Heading3"/>
      </w:pPr>
      <w:bookmarkStart w:id="3" w:name="publication-timeline"/>
      <w:r>
        <w:t>Publication Timeline</w:t>
      </w:r>
    </w:p>
    <w:p w14:paraId="21942938" w14:textId="77777777" w:rsidR="00C87760" w:rsidRDefault="00000000">
      <w:pPr>
        <w:pStyle w:val="FirstParagraph"/>
      </w:pPr>
      <w:r>
        <w:t>For a given reference month (e.g., December, reference date December 12):</w:t>
      </w:r>
    </w:p>
    <w:tbl>
      <w:tblPr>
        <w:tblStyle w:val="Table"/>
        <w:tblW w:w="5000" w:type="pct"/>
        <w:tblLayout w:type="fixed"/>
        <w:tblLook w:val="0020" w:firstRow="1" w:lastRow="0" w:firstColumn="0" w:lastColumn="0" w:noHBand="0" w:noVBand="0"/>
      </w:tblPr>
      <w:tblGrid>
        <w:gridCol w:w="2373"/>
        <w:gridCol w:w="3032"/>
        <w:gridCol w:w="3955"/>
      </w:tblGrid>
      <w:tr w:rsidR="00C87760" w14:paraId="72249B4B"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2007" w:type="dxa"/>
          </w:tcPr>
          <w:p w14:paraId="4BFDFCAB" w14:textId="77777777" w:rsidR="00C87760" w:rsidRDefault="00000000">
            <w:pPr>
              <w:pStyle w:val="Compact"/>
            </w:pPr>
            <w:r>
              <w:t>Event</w:t>
            </w:r>
          </w:p>
        </w:tc>
        <w:tc>
          <w:tcPr>
            <w:tcW w:w="2565" w:type="dxa"/>
          </w:tcPr>
          <w:p w14:paraId="69D31638" w14:textId="77777777" w:rsidR="00C87760" w:rsidRDefault="00000000">
            <w:pPr>
              <w:pStyle w:val="Compact"/>
            </w:pPr>
            <w:r>
              <w:t>Approximate Date</w:t>
            </w:r>
          </w:p>
        </w:tc>
        <w:tc>
          <w:tcPr>
            <w:tcW w:w="3346" w:type="dxa"/>
          </w:tcPr>
          <w:p w14:paraId="620843F9" w14:textId="77777777" w:rsidR="00C87760" w:rsidRDefault="00000000">
            <w:pPr>
              <w:pStyle w:val="Compact"/>
            </w:pPr>
            <w:r>
              <w:t>Information Available</w:t>
            </w:r>
          </w:p>
        </w:tc>
      </w:tr>
      <w:tr w:rsidR="00C87760" w14:paraId="59F1D424" w14:textId="77777777">
        <w:tc>
          <w:tcPr>
            <w:tcW w:w="2007" w:type="dxa"/>
          </w:tcPr>
          <w:p w14:paraId="01668569" w14:textId="77777777" w:rsidR="00C87760" w:rsidRDefault="00000000">
            <w:pPr>
              <w:pStyle w:val="Compact"/>
            </w:pPr>
            <w:r>
              <w:t>Reference period</w:t>
            </w:r>
          </w:p>
        </w:tc>
        <w:tc>
          <w:tcPr>
            <w:tcW w:w="2565" w:type="dxa"/>
          </w:tcPr>
          <w:p w14:paraId="5518B5AE" w14:textId="77777777" w:rsidR="00C87760" w:rsidRDefault="00000000">
            <w:pPr>
              <w:pStyle w:val="Compact"/>
            </w:pPr>
            <w:r>
              <w:t>Dec 12</w:t>
            </w:r>
          </w:p>
        </w:tc>
        <w:tc>
          <w:tcPr>
            <w:tcW w:w="3346" w:type="dxa"/>
          </w:tcPr>
          <w:p w14:paraId="2FFEB851" w14:textId="77777777" w:rsidR="00C87760" w:rsidRDefault="00000000">
            <w:pPr>
              <w:pStyle w:val="Compact"/>
            </w:pPr>
            <w:r>
              <w:t>—</w:t>
            </w:r>
          </w:p>
        </w:tc>
      </w:tr>
      <w:tr w:rsidR="00C87760" w14:paraId="22A528C1" w14:textId="77777777">
        <w:tc>
          <w:tcPr>
            <w:tcW w:w="2007" w:type="dxa"/>
          </w:tcPr>
          <w:p w14:paraId="2D644551" w14:textId="77777777" w:rsidR="00C87760" w:rsidRDefault="00000000">
            <w:pPr>
              <w:pStyle w:val="Compact"/>
            </w:pPr>
            <w:r>
              <w:lastRenderedPageBreak/>
              <w:t>Provider data available</w:t>
            </w:r>
          </w:p>
        </w:tc>
        <w:tc>
          <w:tcPr>
            <w:tcW w:w="2565" w:type="dxa"/>
          </w:tcPr>
          <w:p w14:paraId="7AC3FEE7" w14:textId="77777777" w:rsidR="00C87760" w:rsidRDefault="00000000">
            <w:pPr>
              <w:pStyle w:val="Compact"/>
            </w:pPr>
            <w:r>
              <w:t>~Jan 1</w:t>
            </w:r>
          </w:p>
        </w:tc>
        <w:tc>
          <w:tcPr>
            <w:tcW w:w="3346" w:type="dxa"/>
          </w:tcPr>
          <w:p w14:paraId="4C16D2E3" w14:textId="77777777" w:rsidR="00C87760" w:rsidRDefault="00000000">
            <w:pPr>
              <w:pStyle w:val="Compact"/>
            </w:pPr>
            <w:r>
              <w:t>Provider growth rates (national, by industry, by geography)</w:t>
            </w:r>
          </w:p>
        </w:tc>
      </w:tr>
      <w:tr w:rsidR="00C87760" w14:paraId="04E6A498" w14:textId="77777777">
        <w:tc>
          <w:tcPr>
            <w:tcW w:w="2007" w:type="dxa"/>
          </w:tcPr>
          <w:p w14:paraId="3519493C" w14:textId="77777777" w:rsidR="00C87760" w:rsidRDefault="00000000">
            <w:pPr>
              <w:pStyle w:val="Compact"/>
            </w:pPr>
            <w:r>
              <w:t>CES national 1st print</w:t>
            </w:r>
          </w:p>
        </w:tc>
        <w:tc>
          <w:tcPr>
            <w:tcW w:w="2565" w:type="dxa"/>
          </w:tcPr>
          <w:p w14:paraId="261B4376" w14:textId="77777777" w:rsidR="00C87760" w:rsidRDefault="00000000">
            <w:pPr>
              <w:pStyle w:val="Compact"/>
            </w:pPr>
            <w:r>
              <w:t>~Jan 9</w:t>
            </w:r>
          </w:p>
        </w:tc>
        <w:tc>
          <w:tcPr>
            <w:tcW w:w="3346" w:type="dxa"/>
          </w:tcPr>
          <w:p w14:paraId="7EF7D656" w14:textId="77777777" w:rsidR="00C87760" w:rsidRPr="00C86A6D" w:rsidRDefault="00000000">
            <w:pPr>
              <w:pStyle w:val="Compact"/>
            </w:pPr>
            <w:r w:rsidRPr="00C86A6D">
              <w:t xml:space="preserve">National total nonfarm + </w:t>
            </w:r>
            <w:proofErr w:type="spellStart"/>
            <w:r w:rsidRPr="00C86A6D">
              <w:t>supersectors</w:t>
            </w:r>
            <w:proofErr w:type="spellEnd"/>
            <w:r w:rsidRPr="00C86A6D">
              <w:t xml:space="preserve"> (SA + NSA)</w:t>
            </w:r>
          </w:p>
        </w:tc>
      </w:tr>
      <w:tr w:rsidR="00C87760" w14:paraId="1C82A079" w14:textId="77777777">
        <w:tc>
          <w:tcPr>
            <w:tcW w:w="2007" w:type="dxa"/>
          </w:tcPr>
          <w:p w14:paraId="1F451EBB" w14:textId="77777777" w:rsidR="00C87760" w:rsidRDefault="00000000">
            <w:pPr>
              <w:pStyle w:val="Compact"/>
            </w:pPr>
            <w:r>
              <w:t>CES state 1st print</w:t>
            </w:r>
          </w:p>
        </w:tc>
        <w:tc>
          <w:tcPr>
            <w:tcW w:w="2565" w:type="dxa"/>
          </w:tcPr>
          <w:p w14:paraId="39B8B8A9" w14:textId="77777777" w:rsidR="00C87760" w:rsidRDefault="00000000">
            <w:pPr>
              <w:pStyle w:val="Compact"/>
            </w:pPr>
            <w:r>
              <w:t>~Jan 24</w:t>
            </w:r>
          </w:p>
        </w:tc>
        <w:tc>
          <w:tcPr>
            <w:tcW w:w="3346" w:type="dxa"/>
          </w:tcPr>
          <w:p w14:paraId="7E91053B" w14:textId="77777777" w:rsidR="00C87760" w:rsidRPr="00C86A6D" w:rsidRDefault="00000000">
            <w:pPr>
              <w:pStyle w:val="Compact"/>
            </w:pPr>
            <w:r w:rsidRPr="00C86A6D">
              <w:t>State total nonfarm (SA + NSA)</w:t>
            </w:r>
          </w:p>
        </w:tc>
      </w:tr>
      <w:tr w:rsidR="00C87760" w14:paraId="543DDD8D" w14:textId="77777777">
        <w:tc>
          <w:tcPr>
            <w:tcW w:w="2007" w:type="dxa"/>
          </w:tcPr>
          <w:p w14:paraId="5A52F4FB" w14:textId="77777777" w:rsidR="00C87760" w:rsidRDefault="00000000">
            <w:pPr>
              <w:pStyle w:val="Compact"/>
            </w:pPr>
            <w:r>
              <w:t>CES national 2nd print</w:t>
            </w:r>
          </w:p>
        </w:tc>
        <w:tc>
          <w:tcPr>
            <w:tcW w:w="2565" w:type="dxa"/>
          </w:tcPr>
          <w:p w14:paraId="3B8D35C6" w14:textId="77777777" w:rsidR="00C87760" w:rsidRDefault="00000000">
            <w:pPr>
              <w:pStyle w:val="Compact"/>
            </w:pPr>
            <w:r>
              <w:t>~Feb 6</w:t>
            </w:r>
          </w:p>
        </w:tc>
        <w:tc>
          <w:tcPr>
            <w:tcW w:w="3346" w:type="dxa"/>
          </w:tcPr>
          <w:p w14:paraId="3354B8AF" w14:textId="77777777" w:rsidR="00C87760" w:rsidRDefault="00000000">
            <w:pPr>
              <w:pStyle w:val="Compact"/>
            </w:pPr>
            <w:r>
              <w:t>National revised</w:t>
            </w:r>
          </w:p>
        </w:tc>
      </w:tr>
      <w:tr w:rsidR="00C87760" w14:paraId="189D82FA" w14:textId="77777777">
        <w:tc>
          <w:tcPr>
            <w:tcW w:w="2007" w:type="dxa"/>
          </w:tcPr>
          <w:p w14:paraId="64694B1A" w14:textId="77777777" w:rsidR="00C87760" w:rsidRDefault="00000000">
            <w:pPr>
              <w:pStyle w:val="Compact"/>
            </w:pPr>
            <w:r>
              <w:t>CES state final print</w:t>
            </w:r>
          </w:p>
        </w:tc>
        <w:tc>
          <w:tcPr>
            <w:tcW w:w="2565" w:type="dxa"/>
          </w:tcPr>
          <w:p w14:paraId="36731F54" w14:textId="77777777" w:rsidR="00C87760" w:rsidRDefault="00000000">
            <w:pPr>
              <w:pStyle w:val="Compact"/>
            </w:pPr>
            <w:r>
              <w:t>~Feb 28</w:t>
            </w:r>
          </w:p>
        </w:tc>
        <w:tc>
          <w:tcPr>
            <w:tcW w:w="3346" w:type="dxa"/>
          </w:tcPr>
          <w:p w14:paraId="7985AF28" w14:textId="77777777" w:rsidR="00C87760" w:rsidRDefault="00000000">
            <w:pPr>
              <w:pStyle w:val="Compact"/>
            </w:pPr>
            <w:r>
              <w:t>State revised</w:t>
            </w:r>
          </w:p>
        </w:tc>
      </w:tr>
      <w:tr w:rsidR="00C87760" w14:paraId="3A55317E" w14:textId="77777777">
        <w:tc>
          <w:tcPr>
            <w:tcW w:w="2007" w:type="dxa"/>
          </w:tcPr>
          <w:p w14:paraId="6DB66472" w14:textId="77777777" w:rsidR="00C87760" w:rsidRDefault="00000000">
            <w:pPr>
              <w:pStyle w:val="Compact"/>
            </w:pPr>
            <w:r>
              <w:t>CES national 3rd (final) print</w:t>
            </w:r>
          </w:p>
        </w:tc>
        <w:tc>
          <w:tcPr>
            <w:tcW w:w="2565" w:type="dxa"/>
          </w:tcPr>
          <w:p w14:paraId="09384907" w14:textId="77777777" w:rsidR="00C87760" w:rsidRDefault="00000000">
            <w:pPr>
              <w:pStyle w:val="Compact"/>
            </w:pPr>
            <w:r>
              <w:t>~Mar 6</w:t>
            </w:r>
          </w:p>
        </w:tc>
        <w:tc>
          <w:tcPr>
            <w:tcW w:w="3346" w:type="dxa"/>
          </w:tcPr>
          <w:p w14:paraId="4F563C54" w14:textId="77777777" w:rsidR="00C87760" w:rsidRDefault="00000000">
            <w:pPr>
              <w:pStyle w:val="Compact"/>
            </w:pPr>
            <w:r>
              <w:t>National final sample-based</w:t>
            </w:r>
          </w:p>
        </w:tc>
      </w:tr>
      <w:tr w:rsidR="00C87760" w14:paraId="0AF9357D" w14:textId="77777777">
        <w:tc>
          <w:tcPr>
            <w:tcW w:w="2007" w:type="dxa"/>
          </w:tcPr>
          <w:p w14:paraId="7158737B" w14:textId="77777777" w:rsidR="00C87760" w:rsidRDefault="00000000">
            <w:pPr>
              <w:pStyle w:val="Compact"/>
            </w:pPr>
            <w:r>
              <w:t>QCEW publication</w:t>
            </w:r>
          </w:p>
        </w:tc>
        <w:tc>
          <w:tcPr>
            <w:tcW w:w="2565" w:type="dxa"/>
          </w:tcPr>
          <w:p w14:paraId="6953252D" w14:textId="77777777" w:rsidR="00C87760" w:rsidRDefault="00000000">
            <w:pPr>
              <w:pStyle w:val="Compact"/>
            </w:pPr>
            <w:r>
              <w:t>~Jun</w:t>
            </w:r>
          </w:p>
        </w:tc>
        <w:tc>
          <w:tcPr>
            <w:tcW w:w="3346" w:type="dxa"/>
          </w:tcPr>
          <w:p w14:paraId="35C613FA" w14:textId="77777777" w:rsidR="00C87760" w:rsidRDefault="00000000">
            <w:pPr>
              <w:pStyle w:val="Compact"/>
            </w:pPr>
            <w:r>
              <w:t>Full quarter census data</w:t>
            </w:r>
          </w:p>
        </w:tc>
      </w:tr>
    </w:tbl>
    <w:p w14:paraId="1585C3D2" w14:textId="77777777" w:rsidR="00C87760" w:rsidRDefault="00000000">
      <w:pPr>
        <w:pStyle w:val="Heading3"/>
      </w:pPr>
      <w:bookmarkStart w:id="4" w:name="information-regimes"/>
      <w:bookmarkEnd w:id="3"/>
      <w:r>
        <w:t>Information Regimes</w:t>
      </w:r>
    </w:p>
    <w:p w14:paraId="47B606BC" w14:textId="77777777" w:rsidR="00C87760" w:rsidRDefault="00000000">
      <w:pPr>
        <w:pStyle w:val="FirstParagraph"/>
      </w:pPr>
      <w:r>
        <w:t>The availability of official anchors determines what narratives the system can produce:</w:t>
      </w:r>
    </w:p>
    <w:p w14:paraId="2D2D4406" w14:textId="77777777" w:rsidR="00C87760" w:rsidRDefault="00000000">
      <w:pPr>
        <w:pStyle w:val="BodyText"/>
      </w:pPr>
      <w:r>
        <w:rPr>
          <w:b/>
          <w:bCs/>
        </w:rPr>
        <w:t>Regime A (~Jan 1 to Jan 9): Provider data only.</w:t>
      </w:r>
      <w:r>
        <w:t xml:space="preserve"> Both industry and geographic decompositions rely on provider signals alone. National nowcast is model-driven. Widest uncertainty bands.</w:t>
      </w:r>
    </w:p>
    <w:p w14:paraId="3C9758F8" w14:textId="77777777" w:rsidR="00C87760" w:rsidRDefault="00000000">
      <w:pPr>
        <w:pStyle w:val="BodyText"/>
      </w:pPr>
      <w:r>
        <w:rPr>
          <w:b/>
          <w:bCs/>
        </w:rPr>
        <w:t xml:space="preserve">Regime B (~Jan 9 to Jan 24): National CES with </w:t>
      </w:r>
      <w:proofErr w:type="spellStart"/>
      <w:r>
        <w:rPr>
          <w:b/>
          <w:bCs/>
        </w:rPr>
        <w:t>supersector</w:t>
      </w:r>
      <w:proofErr w:type="spellEnd"/>
      <w:r>
        <w:rPr>
          <w:b/>
          <w:bCs/>
        </w:rPr>
        <w:t xml:space="preserve"> detail, no state CES.</w:t>
      </w:r>
      <w:r>
        <w:t xml:space="preserve"> The industry </w:t>
      </w:r>
      <w:r w:rsidRPr="00C86A6D">
        <w:t xml:space="preserve">narrative is anchored — CES </w:t>
      </w:r>
      <w:proofErr w:type="spellStart"/>
      <w:r w:rsidRPr="00C86A6D">
        <w:t>supersector</w:t>
      </w:r>
      <w:proofErr w:type="spellEnd"/>
      <w:r w:rsidRPr="00C86A6D">
        <w:t xml:space="preserve"> data is in hand. The geographic narrative still relies on provider signals</w:t>
      </w:r>
      <w:r>
        <w:t xml:space="preserve"> and hierarchical priors. For most audiences, the industry story is the more important one (“healthcare carried the month” or “manufacturing contracted”). This is the highest-value regime.</w:t>
      </w:r>
    </w:p>
    <w:p w14:paraId="153D042E" w14:textId="77777777" w:rsidR="00C87760" w:rsidRDefault="00000000">
      <w:pPr>
        <w:pStyle w:val="BodyText"/>
      </w:pPr>
      <w:r>
        <w:rPr>
          <w:b/>
          <w:bCs/>
        </w:rPr>
        <w:t>Regime C (~Jan 24 onward): Full information.</w:t>
      </w:r>
      <w:r>
        <w:t xml:space="preserve"> State CES arrives, geography is anchored. Full narrative available.</w:t>
      </w:r>
    </w:p>
    <w:p w14:paraId="60D60345" w14:textId="77777777" w:rsidR="00C87760" w:rsidRDefault="00000000">
      <w:pPr>
        <w:pStyle w:val="Heading3"/>
      </w:pPr>
      <w:bookmarkStart w:id="5" w:name="revision-data-availability"/>
      <w:bookmarkEnd w:id="4"/>
      <w:r>
        <w:t>Revision-Data Availability</w:t>
      </w:r>
    </w:p>
    <w:p w14:paraId="0D484E81" w14:textId="77777777" w:rsidR="00C87760" w:rsidRDefault="00000000">
      <w:pPr>
        <w:pStyle w:val="FirstParagraph"/>
      </w:pPr>
      <w:r>
        <w:t>Calibrating vintage-specific measurement error requires revision data, which exists at different granularities: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C87760" w14:paraId="3CF89B7F"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1584" w:type="dxa"/>
          </w:tcPr>
          <w:p w14:paraId="29F85593" w14:textId="77777777" w:rsidR="00C87760" w:rsidRDefault="00000000">
            <w:pPr>
              <w:pStyle w:val="Compact"/>
            </w:pPr>
            <w:r>
              <w:t>Source</w:t>
            </w:r>
          </w:p>
        </w:tc>
        <w:tc>
          <w:tcPr>
            <w:tcW w:w="1584" w:type="dxa"/>
          </w:tcPr>
          <w:p w14:paraId="36F7B069" w14:textId="77777777" w:rsidR="00C87760" w:rsidRDefault="00000000">
            <w:pPr>
              <w:pStyle w:val="Compact"/>
            </w:pPr>
            <w:r>
              <w:t>National</w:t>
            </w:r>
          </w:p>
        </w:tc>
        <w:tc>
          <w:tcPr>
            <w:tcW w:w="1584" w:type="dxa"/>
          </w:tcPr>
          <w:p w14:paraId="573774F9" w14:textId="77777777" w:rsidR="00C87760" w:rsidRDefault="00000000">
            <w:pPr>
              <w:pStyle w:val="Compact"/>
            </w:pPr>
            <w:proofErr w:type="spellStart"/>
            <w:r>
              <w:t>Nat’l</w:t>
            </w:r>
            <w:proofErr w:type="spellEnd"/>
            <w:r>
              <w:t xml:space="preserve"> × Sector</w:t>
            </w:r>
          </w:p>
        </w:tc>
        <w:tc>
          <w:tcPr>
            <w:tcW w:w="1584" w:type="dxa"/>
          </w:tcPr>
          <w:p w14:paraId="058F6394" w14:textId="77777777" w:rsidR="00C87760" w:rsidRDefault="00000000">
            <w:pPr>
              <w:pStyle w:val="Compact"/>
            </w:pPr>
            <w:r>
              <w:t>State</w:t>
            </w:r>
          </w:p>
        </w:tc>
        <w:tc>
          <w:tcPr>
            <w:tcW w:w="1584" w:type="dxa"/>
          </w:tcPr>
          <w:p w14:paraId="68EBE68D" w14:textId="77777777" w:rsidR="00C87760" w:rsidRDefault="00000000">
            <w:pPr>
              <w:pStyle w:val="Compact"/>
            </w:pPr>
            <w:r>
              <w:t>State × Industry</w:t>
            </w:r>
          </w:p>
        </w:tc>
      </w:tr>
      <w:tr w:rsidR="00C87760" w14:paraId="4AB610CE" w14:textId="77777777">
        <w:tc>
          <w:tcPr>
            <w:tcW w:w="1584" w:type="dxa"/>
          </w:tcPr>
          <w:p w14:paraId="28721CAC" w14:textId="77777777" w:rsidR="00C87760" w:rsidRDefault="00000000">
            <w:pPr>
              <w:pStyle w:val="Compact"/>
            </w:pPr>
            <w:r>
              <w:t>QCEW revisions</w:t>
            </w:r>
          </w:p>
        </w:tc>
        <w:tc>
          <w:tcPr>
            <w:tcW w:w="1584" w:type="dxa"/>
          </w:tcPr>
          <w:p w14:paraId="3CC2BB8A" w14:textId="77777777" w:rsidR="00C87760" w:rsidRDefault="00000000">
            <w:pPr>
              <w:pStyle w:val="Compact"/>
            </w:pPr>
            <w:r>
              <w:t>✓ (2017Q1+)</w:t>
            </w:r>
          </w:p>
        </w:tc>
        <w:tc>
          <w:tcPr>
            <w:tcW w:w="1584" w:type="dxa"/>
          </w:tcPr>
          <w:p w14:paraId="15A17ACC" w14:textId="77777777" w:rsidR="00C87760" w:rsidRDefault="00000000">
            <w:pPr>
              <w:pStyle w:val="Compact"/>
            </w:pPr>
            <w:r>
              <w:t>✗</w:t>
            </w:r>
          </w:p>
        </w:tc>
        <w:tc>
          <w:tcPr>
            <w:tcW w:w="1584" w:type="dxa"/>
          </w:tcPr>
          <w:p w14:paraId="6EF09988" w14:textId="77777777" w:rsidR="00C87760" w:rsidRDefault="00000000">
            <w:pPr>
              <w:pStyle w:val="Compact"/>
            </w:pPr>
            <w:r>
              <w:t>✓ (2017Q1+)</w:t>
            </w:r>
          </w:p>
        </w:tc>
        <w:tc>
          <w:tcPr>
            <w:tcW w:w="1584" w:type="dxa"/>
          </w:tcPr>
          <w:p w14:paraId="1F3EE3CE" w14:textId="77777777" w:rsidR="00C87760" w:rsidRDefault="00000000">
            <w:pPr>
              <w:pStyle w:val="Compact"/>
            </w:pPr>
            <w:r>
              <w:t>✗</w:t>
            </w:r>
          </w:p>
        </w:tc>
      </w:tr>
      <w:tr w:rsidR="00C87760" w14:paraId="09D60082" w14:textId="77777777">
        <w:tc>
          <w:tcPr>
            <w:tcW w:w="1584" w:type="dxa"/>
          </w:tcPr>
          <w:p w14:paraId="45AF86CD" w14:textId="77777777" w:rsidR="00C87760" w:rsidRDefault="00000000">
            <w:pPr>
              <w:pStyle w:val="Compact"/>
            </w:pPr>
            <w:r>
              <w:t>CES revisions</w:t>
            </w:r>
          </w:p>
        </w:tc>
        <w:tc>
          <w:tcPr>
            <w:tcW w:w="1584" w:type="dxa"/>
          </w:tcPr>
          <w:p w14:paraId="79D349C0" w14:textId="77777777" w:rsidR="00C87760" w:rsidRDefault="00000000">
            <w:pPr>
              <w:pStyle w:val="Compact"/>
            </w:pPr>
            <w:r>
              <w:t>✓ (2003/05+)</w:t>
            </w:r>
          </w:p>
        </w:tc>
        <w:tc>
          <w:tcPr>
            <w:tcW w:w="1584" w:type="dxa"/>
          </w:tcPr>
          <w:p w14:paraId="39C13E71" w14:textId="77777777" w:rsidR="00C87760" w:rsidRDefault="00000000">
            <w:pPr>
              <w:pStyle w:val="Compact"/>
            </w:pPr>
            <w:r>
              <w:t>✓ (by sector)</w:t>
            </w:r>
          </w:p>
        </w:tc>
        <w:tc>
          <w:tcPr>
            <w:tcW w:w="1584" w:type="dxa"/>
          </w:tcPr>
          <w:p w14:paraId="458539E9" w14:textId="77777777" w:rsidR="00C87760" w:rsidRDefault="00000000">
            <w:pPr>
              <w:pStyle w:val="Compact"/>
            </w:pPr>
            <w:r>
              <w:t>✓ (total nonfarm)</w:t>
            </w:r>
          </w:p>
        </w:tc>
        <w:tc>
          <w:tcPr>
            <w:tcW w:w="1584" w:type="dxa"/>
          </w:tcPr>
          <w:p w14:paraId="230B76B7" w14:textId="77777777" w:rsidR="00C87760" w:rsidRDefault="00000000">
            <w:pPr>
              <w:pStyle w:val="Compact"/>
            </w:pPr>
            <w:r>
              <w:t>✗</w:t>
            </w:r>
          </w:p>
        </w:tc>
      </w:tr>
      <w:tr w:rsidR="00C87760" w14:paraId="76B00462" w14:textId="77777777">
        <w:tc>
          <w:tcPr>
            <w:tcW w:w="1584" w:type="dxa"/>
          </w:tcPr>
          <w:p w14:paraId="71DE2D47" w14:textId="77777777" w:rsidR="00C87760" w:rsidRDefault="00000000">
            <w:pPr>
              <w:pStyle w:val="Compact"/>
            </w:pPr>
            <w:r>
              <w:t>CES benchmark</w:t>
            </w:r>
          </w:p>
        </w:tc>
        <w:tc>
          <w:tcPr>
            <w:tcW w:w="1584" w:type="dxa"/>
          </w:tcPr>
          <w:p w14:paraId="737BE384" w14:textId="77777777" w:rsidR="00C87760" w:rsidRDefault="00000000">
            <w:pPr>
              <w:pStyle w:val="Compact"/>
            </w:pPr>
            <w:r>
              <w:t>✓</w:t>
            </w:r>
          </w:p>
        </w:tc>
        <w:tc>
          <w:tcPr>
            <w:tcW w:w="1584" w:type="dxa"/>
          </w:tcPr>
          <w:p w14:paraId="72D4405A" w14:textId="77777777" w:rsidR="00C87760" w:rsidRDefault="00000000">
            <w:pPr>
              <w:pStyle w:val="Compact"/>
            </w:pPr>
            <w:r>
              <w:t xml:space="preserve">✓ (by </w:t>
            </w:r>
            <w:proofErr w:type="spellStart"/>
            <w:r>
              <w:t>supersector</w:t>
            </w:r>
            <w:proofErr w:type="spellEnd"/>
            <w:r>
              <w:t>)</w:t>
            </w:r>
          </w:p>
        </w:tc>
        <w:tc>
          <w:tcPr>
            <w:tcW w:w="1584" w:type="dxa"/>
          </w:tcPr>
          <w:p w14:paraId="53B5B135" w14:textId="77777777" w:rsidR="00C87760" w:rsidRDefault="00000000">
            <w:pPr>
              <w:pStyle w:val="Compact"/>
            </w:pPr>
            <w:r>
              <w:t>✓ (total nonfarm)</w:t>
            </w:r>
          </w:p>
        </w:tc>
        <w:tc>
          <w:tcPr>
            <w:tcW w:w="1584" w:type="dxa"/>
          </w:tcPr>
          <w:p w14:paraId="7C5C2979" w14:textId="77777777" w:rsidR="00C87760" w:rsidRDefault="00000000">
            <w:pPr>
              <w:pStyle w:val="Compact"/>
            </w:pPr>
            <w:r>
              <w:t>✓ (annual articles only)</w:t>
            </w:r>
          </w:p>
        </w:tc>
      </w:tr>
    </w:tbl>
    <w:p w14:paraId="59A5265A" w14:textId="77777777" w:rsidR="00C87760" w:rsidRDefault="00000000">
      <w:pPr>
        <w:pStyle w:val="BodyText"/>
      </w:pPr>
      <w:r>
        <w:lastRenderedPageBreak/>
        <w:t>Release 2 (industry-only) has direct revision-data support: national × sector CES revisions exist from 2003. Release 3 (geography × industry) faces the binding constraint: state × industry revision data is unavailable and must be inferred via hierarchical priors.</w:t>
      </w:r>
    </w:p>
    <w:p w14:paraId="2FBD2330" w14:textId="77777777" w:rsidR="00C87760" w:rsidRDefault="00000000">
      <w:pPr>
        <w:pStyle w:val="Heading1"/>
      </w:pPr>
      <w:bookmarkStart w:id="6" w:name="release-1-national-accuracy-model"/>
      <w:bookmarkEnd w:id="0"/>
      <w:bookmarkEnd w:id="2"/>
      <w:bookmarkEnd w:id="5"/>
      <w:r>
        <w:t>Release 1: National Accuracy Model</w:t>
      </w:r>
    </w:p>
    <w:p w14:paraId="05FBAFC6" w14:textId="77777777" w:rsidR="00C87760" w:rsidRDefault="00000000">
      <w:pPr>
        <w:pStyle w:val="Heading2"/>
      </w:pPr>
      <w:bookmarkStart w:id="7" w:name="objective"/>
      <w:r>
        <w:t>Objective</w:t>
      </w:r>
    </w:p>
    <w:p w14:paraId="2392EF69" w14:textId="77777777" w:rsidR="00C87760" w:rsidRDefault="00000000">
      <w:pPr>
        <w:pStyle w:val="FirstParagraph"/>
      </w:pPr>
      <w:r>
        <w:t>Produce a national NFP nowcast by fusing QCEW census data, CES survey data, and multiple payroll provider signals in a Bayesian state space framework with structural birth/death modeling, Fourier seasonal adjustment, and vintage-aware CES measurement equations.</w:t>
      </w:r>
    </w:p>
    <w:p w14:paraId="56F756A0" w14:textId="77777777" w:rsidR="00C87760" w:rsidRDefault="00000000">
      <w:pPr>
        <w:pStyle w:val="Heading2"/>
      </w:pPr>
      <w:bookmarkStart w:id="8" w:name="system-description"/>
      <w:bookmarkEnd w:id="7"/>
      <w:r>
        <w:t>System Description</w:t>
      </w:r>
    </w:p>
    <w:p w14:paraId="69C31CE7" w14:textId="77777777" w:rsidR="00C87760" w:rsidRDefault="00000000">
      <w:pPr>
        <w:pStyle w:val="FirstParagraph"/>
      </w:pPr>
      <w:r>
        <w:t>Multiple data sources observe the same latent national employment growth, each with distinct timing, coverage, and measurement properties. The model decomposes total employment growth into continuing-units growth, a structural birth/death contribution, and a seasonal component. QCEW serves as the truth anchor. CES provides timely but noisy official estimates at multiple vintages. Payroll providers measure continuing-units growth with provider-specific bias, signal loading, and error structure.</w:t>
      </w:r>
    </w:p>
    <w:p w14:paraId="7D38AF84" w14:textId="77777777" w:rsidR="00C87760" w:rsidRDefault="00000000">
      <w:pPr>
        <w:pStyle w:val="Heading3"/>
      </w:pPr>
      <w:bookmarkStart w:id="9" w:name="data-inputs"/>
      <w:r>
        <w:t>Data Inputs</w:t>
      </w:r>
    </w:p>
    <w:tbl>
      <w:tblPr>
        <w:tblStyle w:val="Table"/>
        <w:tblW w:w="5000" w:type="pct"/>
        <w:tblLayout w:type="fixed"/>
        <w:tblLook w:val="0020" w:firstRow="1" w:lastRow="0" w:firstColumn="0" w:lastColumn="0" w:noHBand="0" w:noVBand="0"/>
      </w:tblPr>
      <w:tblGrid>
        <w:gridCol w:w="2080"/>
        <w:gridCol w:w="2080"/>
        <w:gridCol w:w="2080"/>
        <w:gridCol w:w="3120"/>
      </w:tblGrid>
      <w:tr w:rsidR="00C87760" w14:paraId="605FD86A"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1760" w:type="dxa"/>
          </w:tcPr>
          <w:p w14:paraId="02B266D9" w14:textId="77777777" w:rsidR="00C87760" w:rsidRDefault="00000000">
            <w:pPr>
              <w:pStyle w:val="Compact"/>
            </w:pPr>
            <w:r>
              <w:t>Source</w:t>
            </w:r>
          </w:p>
        </w:tc>
        <w:tc>
          <w:tcPr>
            <w:tcW w:w="1760" w:type="dxa"/>
          </w:tcPr>
          <w:p w14:paraId="11204B1B" w14:textId="77777777" w:rsidR="00C87760" w:rsidRDefault="00000000">
            <w:pPr>
              <w:pStyle w:val="Compact"/>
            </w:pPr>
            <w:r>
              <w:t>Frequency</w:t>
            </w:r>
          </w:p>
        </w:tc>
        <w:tc>
          <w:tcPr>
            <w:tcW w:w="1760" w:type="dxa"/>
          </w:tcPr>
          <w:p w14:paraId="1EEE0E19" w14:textId="77777777" w:rsidR="00C87760" w:rsidRDefault="00000000">
            <w:pPr>
              <w:pStyle w:val="Compact"/>
            </w:pPr>
            <w:r>
              <w:t>Lag</w:t>
            </w:r>
          </w:p>
        </w:tc>
        <w:tc>
          <w:tcPr>
            <w:tcW w:w="2640" w:type="dxa"/>
          </w:tcPr>
          <w:p w14:paraId="2D9FA3E8" w14:textId="77777777" w:rsidR="00C87760" w:rsidRDefault="00000000">
            <w:pPr>
              <w:pStyle w:val="Compact"/>
            </w:pPr>
            <w:r>
              <w:t>Description</w:t>
            </w:r>
          </w:p>
        </w:tc>
      </w:tr>
      <w:tr w:rsidR="00C87760" w14:paraId="223C8697" w14:textId="77777777">
        <w:tc>
          <w:tcPr>
            <w:tcW w:w="1760" w:type="dxa"/>
          </w:tcPr>
          <w:p w14:paraId="57FE523E" w14:textId="77777777" w:rsidR="00C87760" w:rsidRDefault="00000000">
            <w:pPr>
              <w:pStyle w:val="Compact"/>
            </w:pPr>
            <w:r>
              <w:t xml:space="preserve">Payroll Provider </w:t>
            </w:r>
            <w:r>
              <w:rPr>
                <w:i/>
                <w:iCs/>
              </w:rPr>
              <w:t>p</w:t>
            </w:r>
            <w:r>
              <w:t xml:space="preserve"> National Index</w:t>
            </w:r>
          </w:p>
        </w:tc>
        <w:tc>
          <w:tcPr>
            <w:tcW w:w="1760" w:type="dxa"/>
          </w:tcPr>
          <w:p w14:paraId="52A5F867" w14:textId="77777777" w:rsidR="00C87760" w:rsidRDefault="00000000">
            <w:pPr>
              <w:pStyle w:val="Compact"/>
            </w:pPr>
            <w:r>
              <w:t>Monthly</w:t>
            </w:r>
          </w:p>
        </w:tc>
        <w:tc>
          <w:tcPr>
            <w:tcW w:w="1760" w:type="dxa"/>
          </w:tcPr>
          <w:p w14:paraId="44376621" w14:textId="77777777" w:rsidR="00C87760" w:rsidRDefault="00000000">
            <w:pPr>
              <w:pStyle w:val="Compact"/>
            </w:pPr>
            <w:r>
              <w:t>Real-time (~Jan 1 for prior month)</w:t>
            </w:r>
          </w:p>
        </w:tc>
        <w:tc>
          <w:tcPr>
            <w:tcW w:w="2640" w:type="dxa"/>
          </w:tcPr>
          <w:p w14:paraId="1C55CA3F" w14:textId="77777777" w:rsidR="00C87760" w:rsidRDefault="00000000">
            <w:pPr>
              <w:pStyle w:val="Compact"/>
            </w:pPr>
            <w:r>
              <w:t xml:space="preserve">Representativeness-corrected national composite: QCEW-weighted average of cell-level continuing-units growth from pseudo- establishments at the </w:t>
            </w:r>
            <w:proofErr w:type="spellStart"/>
            <w:r>
              <w:t>supersector</w:t>
            </w:r>
            <w:proofErr w:type="spellEnd"/>
            <w:r>
              <w:t xml:space="preserve"> × Census region level. Constructed from rotating, frozen measurement panels (stabilized clients only; exits removed without counting as job loss).</w:t>
            </w:r>
          </w:p>
        </w:tc>
      </w:tr>
      <w:tr w:rsidR="00C87760" w14:paraId="4B796DD2" w14:textId="77777777">
        <w:tc>
          <w:tcPr>
            <w:tcW w:w="1760" w:type="dxa"/>
          </w:tcPr>
          <w:p w14:paraId="07040F13" w14:textId="77777777" w:rsidR="00C87760" w:rsidRDefault="00000000">
            <w:pPr>
              <w:pStyle w:val="Compact"/>
            </w:pPr>
            <w:r>
              <w:t>CES National (SA)</w:t>
            </w:r>
          </w:p>
        </w:tc>
        <w:tc>
          <w:tcPr>
            <w:tcW w:w="1760" w:type="dxa"/>
          </w:tcPr>
          <w:p w14:paraId="41C2F291" w14:textId="77777777" w:rsidR="00C87760" w:rsidRDefault="00000000">
            <w:pPr>
              <w:pStyle w:val="Compact"/>
            </w:pPr>
            <w:r>
              <w:t>Monthly</w:t>
            </w:r>
          </w:p>
        </w:tc>
        <w:tc>
          <w:tcPr>
            <w:tcW w:w="1760" w:type="dxa"/>
          </w:tcPr>
          <w:p w14:paraId="6EE07406" w14:textId="77777777" w:rsidR="00C87760" w:rsidRDefault="00000000">
            <w:pPr>
              <w:pStyle w:val="Compact"/>
            </w:pPr>
            <w:r>
              <w:t>~3 weeks (1st print), +1mo (2nd), +2mo (3rd)</w:t>
            </w:r>
          </w:p>
        </w:tc>
        <w:tc>
          <w:tcPr>
            <w:tcW w:w="2640" w:type="dxa"/>
          </w:tcPr>
          <w:p w14:paraId="33CFF1BB" w14:textId="77777777" w:rsidR="00C87760" w:rsidRDefault="00000000">
            <w:pPr>
              <w:pStyle w:val="Compact"/>
            </w:pPr>
            <w:r>
              <w:t>BLS CES seasonally adjusted total private nonfarm. Three vintages with declining noise.</w:t>
            </w:r>
          </w:p>
        </w:tc>
      </w:tr>
      <w:tr w:rsidR="00C87760" w14:paraId="12D2B901" w14:textId="77777777">
        <w:tc>
          <w:tcPr>
            <w:tcW w:w="1760" w:type="dxa"/>
          </w:tcPr>
          <w:p w14:paraId="0C76F7CB" w14:textId="77777777" w:rsidR="00C87760" w:rsidRDefault="00000000">
            <w:pPr>
              <w:pStyle w:val="Compact"/>
            </w:pPr>
            <w:r>
              <w:lastRenderedPageBreak/>
              <w:t>CES National (NSA)</w:t>
            </w:r>
          </w:p>
        </w:tc>
        <w:tc>
          <w:tcPr>
            <w:tcW w:w="1760" w:type="dxa"/>
          </w:tcPr>
          <w:p w14:paraId="4B0CECCE" w14:textId="77777777" w:rsidR="00C87760" w:rsidRDefault="00000000">
            <w:pPr>
              <w:pStyle w:val="Compact"/>
            </w:pPr>
            <w:r>
              <w:t>Monthly</w:t>
            </w:r>
          </w:p>
        </w:tc>
        <w:tc>
          <w:tcPr>
            <w:tcW w:w="1760" w:type="dxa"/>
          </w:tcPr>
          <w:p w14:paraId="49E56E4E" w14:textId="77777777" w:rsidR="00C87760" w:rsidRDefault="00000000">
            <w:pPr>
              <w:pStyle w:val="Compact"/>
            </w:pPr>
            <w:r>
              <w:t>Same vintage schedule</w:t>
            </w:r>
          </w:p>
        </w:tc>
        <w:tc>
          <w:tcPr>
            <w:tcW w:w="2640" w:type="dxa"/>
          </w:tcPr>
          <w:p w14:paraId="01C58D84" w14:textId="77777777" w:rsidR="00C87760" w:rsidRDefault="00000000">
            <w:pPr>
              <w:pStyle w:val="Compact"/>
            </w:pPr>
            <w:r>
              <w:t>BLS CES not seasonally adjusted.</w:t>
            </w:r>
          </w:p>
        </w:tc>
      </w:tr>
      <w:tr w:rsidR="00C87760" w14:paraId="4C93E675" w14:textId="77777777">
        <w:tc>
          <w:tcPr>
            <w:tcW w:w="1760" w:type="dxa"/>
          </w:tcPr>
          <w:p w14:paraId="391009BF" w14:textId="77777777" w:rsidR="00C87760" w:rsidRDefault="00000000">
            <w:pPr>
              <w:pStyle w:val="Compact"/>
            </w:pPr>
            <w:r>
              <w:t>QCEW National</w:t>
            </w:r>
          </w:p>
        </w:tc>
        <w:tc>
          <w:tcPr>
            <w:tcW w:w="1760" w:type="dxa"/>
          </w:tcPr>
          <w:p w14:paraId="3752BF93" w14:textId="77777777" w:rsidR="00C87760" w:rsidRDefault="00000000">
            <w:pPr>
              <w:pStyle w:val="Compact"/>
            </w:pPr>
            <w:r>
              <w:t>Quarterly (3 months)</w:t>
            </w:r>
          </w:p>
        </w:tc>
        <w:tc>
          <w:tcPr>
            <w:tcW w:w="1760" w:type="dxa"/>
          </w:tcPr>
          <w:p w14:paraId="7C8C4669" w14:textId="77777777" w:rsidR="00C87760" w:rsidRDefault="00000000">
            <w:pPr>
              <w:pStyle w:val="Compact"/>
            </w:pPr>
            <w:r>
              <w:t>~5–6 months</w:t>
            </w:r>
          </w:p>
        </w:tc>
        <w:tc>
          <w:tcPr>
            <w:tcW w:w="2640" w:type="dxa"/>
          </w:tcPr>
          <w:p w14:paraId="2C762C72" w14:textId="77777777" w:rsidR="00C87760" w:rsidRDefault="00000000">
            <w:pPr>
              <w:pStyle w:val="Compact"/>
            </w:pPr>
            <w:r>
              <w:t>Near-census total employment. M3 contemporaneous; M1–M2 retrospective.</w:t>
            </w:r>
          </w:p>
        </w:tc>
      </w:tr>
      <w:tr w:rsidR="00C87760" w14:paraId="30ADC22B" w14:textId="77777777">
        <w:tc>
          <w:tcPr>
            <w:tcW w:w="1760" w:type="dxa"/>
          </w:tcPr>
          <w:p w14:paraId="60FCF68F" w14:textId="77777777" w:rsidR="00C87760" w:rsidRDefault="00000000">
            <w:pPr>
              <w:pStyle w:val="Compact"/>
            </w:pPr>
            <w:r>
              <w:t>Cyclical Indicators</w:t>
            </w:r>
          </w:p>
        </w:tc>
        <w:tc>
          <w:tcPr>
            <w:tcW w:w="1760" w:type="dxa"/>
          </w:tcPr>
          <w:p w14:paraId="638BC6E8" w14:textId="77777777" w:rsidR="00C87760" w:rsidRDefault="00000000">
            <w:pPr>
              <w:pStyle w:val="Compact"/>
            </w:pPr>
            <w:r>
              <w:t>Monthly</w:t>
            </w:r>
          </w:p>
        </w:tc>
        <w:tc>
          <w:tcPr>
            <w:tcW w:w="1760" w:type="dxa"/>
          </w:tcPr>
          <w:p w14:paraId="045A8EE6" w14:textId="77777777" w:rsidR="00C87760" w:rsidRDefault="00000000">
            <w:pPr>
              <w:pStyle w:val="Compact"/>
            </w:pPr>
            <w:r>
              <w:t>Real-time</w:t>
            </w:r>
          </w:p>
        </w:tc>
        <w:tc>
          <w:tcPr>
            <w:tcW w:w="2640" w:type="dxa"/>
          </w:tcPr>
          <w:p w14:paraId="2128AE27" w14:textId="77777777" w:rsidR="00C87760" w:rsidRDefault="00000000">
            <w:pPr>
              <w:pStyle w:val="Compact"/>
            </w:pPr>
            <w:r>
              <w:t>Unemployment claims, financial conditions, Census business applications.</w:t>
            </w:r>
          </w:p>
        </w:tc>
      </w:tr>
      <w:tr w:rsidR="00C87760" w14:paraId="065F3B1C" w14:textId="77777777">
        <w:tc>
          <w:tcPr>
            <w:tcW w:w="1760" w:type="dxa"/>
          </w:tcPr>
          <w:p w14:paraId="14FEC7B6" w14:textId="77777777" w:rsidR="00C87760" w:rsidRDefault="00000000">
            <w:pPr>
              <w:pStyle w:val="Compact"/>
            </w:pPr>
            <w:r>
              <w:t>Provider Birth Rates</w:t>
            </w:r>
          </w:p>
        </w:tc>
        <w:tc>
          <w:tcPr>
            <w:tcW w:w="1760" w:type="dxa"/>
          </w:tcPr>
          <w:p w14:paraId="0D404DAA" w14:textId="77777777" w:rsidR="00C87760" w:rsidRDefault="00000000">
            <w:pPr>
              <w:pStyle w:val="Compact"/>
            </w:pPr>
            <w:r>
              <w:t>Monthly</w:t>
            </w:r>
          </w:p>
        </w:tc>
        <w:tc>
          <w:tcPr>
            <w:tcW w:w="1760" w:type="dxa"/>
          </w:tcPr>
          <w:p w14:paraId="76F01D3D" w14:textId="77777777" w:rsidR="00C87760" w:rsidRDefault="00000000">
            <w:pPr>
              <w:pStyle w:val="Compact"/>
            </w:pPr>
            <w:r>
              <w:t>Real-time</w:t>
            </w:r>
          </w:p>
        </w:tc>
        <w:tc>
          <w:tcPr>
            <w:tcW w:w="2640" w:type="dxa"/>
          </w:tcPr>
          <w:p w14:paraId="749EACFC" w14:textId="77777777" w:rsidR="00C87760" w:rsidRDefault="00000000">
            <w:pPr>
              <w:pStyle w:val="Compact"/>
            </w:pPr>
            <w:r>
              <w:t>New-client formation rates from payroll providers that report this signal.</w:t>
            </w:r>
          </w:p>
        </w:tc>
      </w:tr>
      <w:tr w:rsidR="00C87760" w14:paraId="48B79CED" w14:textId="77777777">
        <w:tc>
          <w:tcPr>
            <w:tcW w:w="1760" w:type="dxa"/>
          </w:tcPr>
          <w:p w14:paraId="0E6B4285" w14:textId="77777777" w:rsidR="00C87760" w:rsidRDefault="00000000">
            <w:pPr>
              <w:pStyle w:val="Compact"/>
            </w:pPr>
            <w:r>
              <w:t>QCEW Birth/Death Proxy</w:t>
            </w:r>
          </w:p>
        </w:tc>
        <w:tc>
          <w:tcPr>
            <w:tcW w:w="1760" w:type="dxa"/>
          </w:tcPr>
          <w:p w14:paraId="43E39546" w14:textId="77777777" w:rsidR="00C87760" w:rsidRDefault="00000000">
            <w:pPr>
              <w:pStyle w:val="Compact"/>
            </w:pPr>
            <w:r>
              <w:t>Quarterly</w:t>
            </w:r>
          </w:p>
        </w:tc>
        <w:tc>
          <w:tcPr>
            <w:tcW w:w="1760" w:type="dxa"/>
          </w:tcPr>
          <w:p w14:paraId="0CE277AC" w14:textId="77777777" w:rsidR="00C87760" w:rsidRDefault="00000000">
            <w:pPr>
              <w:pStyle w:val="Compact"/>
            </w:pPr>
            <w:r>
              <w:t>~5–6 months</w:t>
            </w:r>
          </w:p>
        </w:tc>
        <w:tc>
          <w:tcPr>
            <w:tcW w:w="2640" w:type="dxa"/>
          </w:tcPr>
          <w:p w14:paraId="6715C1C5" w14:textId="77777777" w:rsidR="00C87760" w:rsidRDefault="00000000">
            <w:pPr>
              <w:pStyle w:val="Compact"/>
            </w:pPr>
            <m:oMath>
              <m:sSup>
                <m:sSupPr>
                  <m:ctrlPr>
                    <w:rPr>
                      <w:rFonts w:ascii="Cambria Math" w:hAnsi="Cambria Math"/>
                    </w:rPr>
                  </m:ctrlPr>
                </m:sSupPr>
                <m:e>
                  <m:r>
                    <w:rPr>
                      <w:rFonts w:ascii="Cambria Math" w:hAnsi="Cambria Math"/>
                    </w:rPr>
                    <m:t>g</m:t>
                  </m:r>
                </m:e>
                <m:sup>
                  <m:r>
                    <w:rPr>
                      <w:rFonts w:ascii="Cambria Math" w:hAnsi="Cambria Math"/>
                    </w:rPr>
                    <m:t>QCEW</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PP</m:t>
                  </m:r>
                </m:sup>
              </m:sSup>
            </m:oMath>
            <w:r>
              <w:t>: QCEW growth minus mean provider growth (approximates actual BD).</w:t>
            </w:r>
          </w:p>
        </w:tc>
      </w:tr>
    </w:tbl>
    <w:p w14:paraId="470BFB53" w14:textId="77777777" w:rsidR="00C87760" w:rsidRDefault="00000000">
      <w:pPr>
        <w:pStyle w:val="Heading3"/>
      </w:pPr>
      <w:bookmarkStart w:id="10" w:name="Xf83dcc8234b6124277edc974d669334191a55b5"/>
      <w:bookmarkEnd w:id="9"/>
      <w:r>
        <w:t>Provider Series Construction: Rotating, Frozen Measurement Panel</w:t>
      </w:r>
    </w:p>
    <w:p w14:paraId="31B58714" w14:textId="77777777" w:rsidR="00C87760" w:rsidRDefault="00000000">
      <w:pPr>
        <w:pStyle w:val="FirstParagraph"/>
      </w:pPr>
      <w:r>
        <w:t>Payroll-provider observations are explicitly interpreted as continuing-units (intensive-margin) employment change. Each provider’s input series is constructed using a rotating, frozen measurement panel aligned to the CES reference week.</w:t>
      </w:r>
    </w:p>
    <w:p w14:paraId="1C0BE1A2" w14:textId="77777777" w:rsidR="00C87760" w:rsidRDefault="00000000">
      <w:pPr>
        <w:pStyle w:val="BodyText"/>
      </w:pPr>
      <w:r>
        <w:t xml:space="preserve">Let </w:t>
      </w:r>
      <m:oMath>
        <m:r>
          <w:rPr>
            <w:rFonts w:ascii="Cambria Math" w:hAnsi="Cambria Math"/>
          </w:rPr>
          <m:t>k</m:t>
        </m:r>
        <m:d>
          <m:dPr>
            <m:ctrlPr>
              <w:rPr>
                <w:rFonts w:ascii="Cambria Math" w:hAnsi="Cambria Math"/>
              </w:rPr>
            </m:ctrlPr>
          </m:dPr>
          <m:e>
            <m:r>
              <w:rPr>
                <w:rFonts w:ascii="Cambria Math" w:hAnsi="Cambria Math"/>
              </w:rPr>
              <m:t>t</m:t>
            </m:r>
          </m:e>
        </m:d>
      </m:oMath>
      <w:r>
        <w:t xml:space="preserve"> denote the active panel at time </w:t>
      </w:r>
      <m:oMath>
        <m:r>
          <w:rPr>
            <w:rFonts w:ascii="Cambria Math" w:hAnsi="Cambria Math"/>
          </w:rPr>
          <m:t>t</m:t>
        </m:r>
      </m:oMath>
      <w:r>
        <w:t xml:space="preserve">. The observed provider series </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Sub>
      </m:oMath>
      <w:r>
        <w:t xml:space="preserve"> is the panel-based continuing-units growth signal. Within the frozen window, month-to-month growth is computed using matched client observations only. Clients that administratively exit the provider during the window are removed from the panel and do not contribute negative change.</w:t>
      </w:r>
    </w:p>
    <w:p w14:paraId="0EDBD5C0" w14:textId="77777777" w:rsidR="00C87760" w:rsidRDefault="00000000">
      <w:pPr>
        <w:pStyle w:val="BodyText"/>
      </w:pPr>
      <w:r>
        <w:t xml:space="preserve">Panel mechanics: at fixed refresh intervals (e.g., quarterly), define an eligible set of clients that have satisfied a stabilization rule (e.g., </w:t>
      </w:r>
      <m:oMath>
        <m:r>
          <m:rPr>
            <m:sty m:val="p"/>
          </m:rPr>
          <w:rPr>
            <w:rFonts w:ascii="Cambria Math" w:hAnsi="Cambria Math"/>
          </w:rPr>
          <m:t>≥</m:t>
        </m:r>
        <m:r>
          <w:rPr>
            <w:rFonts w:ascii="Cambria Math" w:hAnsi="Cambria Math"/>
          </w:rPr>
          <m:t>K</m:t>
        </m:r>
      </m:oMath>
      <w:r>
        <w:t xml:space="preserve"> consecutive reference periods or change-point-based stabilization). Freeze this set for the panel window; do not add new clients mid-window even if they become eligible later.</w:t>
      </w:r>
    </w:p>
    <w:p w14:paraId="22A3EEAF" w14:textId="77777777" w:rsidR="00C87760" w:rsidRDefault="00000000">
      <w:pPr>
        <w:pStyle w:val="BodyText"/>
      </w:pPr>
      <w:r>
        <w:t xml:space="preserve">This ensures that the provider likelihood loads on </w:t>
      </w:r>
      <m:oMath>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oMath>
      <w:r>
        <w:t xml:space="preserve"> and that administrative churn (client onboarding/offboarding) is excluded from the measurement equation rather than implicitly absorbed into the birth/death component.</w:t>
      </w:r>
    </w:p>
    <w:p w14:paraId="06087171" w14:textId="77777777" w:rsidR="00C87760" w:rsidRDefault="00000000">
      <w:pPr>
        <w:pStyle w:val="Heading3"/>
      </w:pPr>
      <w:bookmarkStart w:id="11" w:name="X45abe5161254c81cbfd80b680078b17c509329e"/>
      <w:bookmarkEnd w:id="10"/>
      <w:r>
        <w:lastRenderedPageBreak/>
        <w:t>Pseudo-Establishment Construction and Representativeness Correction</w:t>
      </w:r>
    </w:p>
    <w:p w14:paraId="0CF4A291" w14:textId="77777777" w:rsidR="00C87760" w:rsidRDefault="00000000">
      <w:pPr>
        <w:pStyle w:val="Heading4"/>
      </w:pPr>
      <w:bookmarkStart w:id="12" w:name="motivation"/>
      <w:r>
        <w:t>Motivation</w:t>
      </w:r>
    </w:p>
    <w:p w14:paraId="200D5617" w14:textId="77777777" w:rsidR="00C87760" w:rsidRDefault="00000000">
      <w:pPr>
        <w:pStyle w:val="FirstParagraph"/>
      </w:pPr>
      <w:r>
        <w:t>A raw aggregate provider growth signal reflects the compositional mix of the provider’s client base, which differs from the national employment distribution by industry and geography. When the composition of national growth shifts — e.g., healthcare surging while manufacturing contracts — providers with different client portfolios produce divergent aggregate signals. The national model’s single latent state interprets this divergence as measurement noise rather than informative compositional heterogeneity. The result is attenuated signal extraction during periods of heterogeneous sectoral growth.</w:t>
      </w:r>
    </w:p>
    <w:p w14:paraId="3AAC79C9" w14:textId="77777777" w:rsidR="00C87760" w:rsidRDefault="00000000">
      <w:pPr>
        <w:pStyle w:val="BodyText"/>
      </w:pPr>
      <w:r>
        <w:t>Representativeness correction addresses this by constructing a provider-specific national composite that reweights cell-level continuing-units growth to national employment shares, so that each provider’s signal approximates what it would measure if its client base matched the national employment distribution.</w:t>
      </w:r>
    </w:p>
    <w:p w14:paraId="05C8EE2A" w14:textId="77777777" w:rsidR="00C87760" w:rsidRDefault="00000000">
      <w:pPr>
        <w:pStyle w:val="Heading4"/>
      </w:pPr>
      <w:bookmarkStart w:id="13" w:name="pseudo-establishment-construction"/>
      <w:bookmarkEnd w:id="12"/>
      <w:r>
        <w:t>Pseudo-Establishment Construction</w:t>
      </w:r>
    </w:p>
    <w:p w14:paraId="08656215" w14:textId="77777777" w:rsidR="00C87760" w:rsidRDefault="00000000">
      <w:pPr>
        <w:pStyle w:val="FirstParagraph"/>
      </w:pPr>
      <w:r>
        <w:t>Payroll provider data are organized at the client level, where a client is a legal entity that may operate multiple establishments across different states and industries. Client-level NAICS codes and headquarters locations do not reliably identify where employment is situated, particularly for large multi-establishment firms. However, employee-level geocodes are available for all clients.</w:t>
      </w:r>
    </w:p>
    <w:p w14:paraId="3470622C" w14:textId="77777777" w:rsidR="00C87760" w:rsidRDefault="00000000">
      <w:pPr>
        <w:pStyle w:val="BodyText"/>
      </w:pPr>
      <w:r>
        <w:t xml:space="preserve">Pseudo-establishments are constructed by clustering employees within each client by geographic proximity. The spatial dispersion of a client’s workforce identifies distinct worksites: a national retail chain with employees clustered in 50 metro areas produces 50 pseudo-establishments, each assigned to the appropriate state. Industry classification is inherited from the client’s NAICS code, which is reliable at the </w:t>
      </w:r>
      <w:proofErr w:type="spellStart"/>
      <w:r>
        <w:t>supersector</w:t>
      </w:r>
      <w:proofErr w:type="spellEnd"/>
      <w:r>
        <w:t xml:space="preserve"> level — retail workers at a retail chain are in retail regardless of which store location they work at. NAICS codes almost never cross </w:t>
      </w:r>
      <w:proofErr w:type="spellStart"/>
      <w:r>
        <w:t>supersector</w:t>
      </w:r>
      <w:proofErr w:type="spellEnd"/>
      <w:r>
        <w:t xml:space="preserve"> boundaries.</w:t>
      </w:r>
    </w:p>
    <w:p w14:paraId="567301B5" w14:textId="77777777" w:rsidR="00C87760" w:rsidRDefault="00000000">
      <w:pPr>
        <w:pStyle w:val="BodyText"/>
      </w:pPr>
      <w:r>
        <w:t>This procedure transforms client-level records into worksite-level employment observations suitable for geographic and industry stratification.</w:t>
      </w:r>
    </w:p>
    <w:p w14:paraId="151560C9" w14:textId="77777777" w:rsidR="00C87760" w:rsidRDefault="00000000">
      <w:pPr>
        <w:pStyle w:val="Heading4"/>
      </w:pPr>
      <w:bookmarkStart w:id="14" w:name="cell-level-signal-construction"/>
      <w:bookmarkEnd w:id="13"/>
      <w:r>
        <w:t>Cell-Level Signal Construction</w:t>
      </w:r>
    </w:p>
    <w:p w14:paraId="702EC54D" w14:textId="77777777" w:rsidR="00C87760" w:rsidRDefault="00000000">
      <w:pPr>
        <w:pStyle w:val="FirstParagraph"/>
      </w:pPr>
      <w:r>
        <w:t xml:space="preserve">Pseudo-establishments are assigned to cells defined at the </w:t>
      </w:r>
      <w:proofErr w:type="spellStart"/>
      <w:r>
        <w:t>supersector</w:t>
      </w:r>
      <w:proofErr w:type="spellEnd"/>
      <w:r>
        <w:t xml:space="preserve"> </w:t>
      </w:r>
      <m:oMath>
        <m:r>
          <m:rPr>
            <m:sty m:val="p"/>
          </m:rPr>
          <w:rPr>
            <w:rFonts w:ascii="Cambria Math" w:hAnsi="Cambria Math"/>
          </w:rPr>
          <m:t>×</m:t>
        </m:r>
      </m:oMath>
      <w:r>
        <w:t xml:space="preserve"> Census region level. This aggregation is coarse enough that residual misclassification is rare: supersector boundaries are wide, and a headquarters in one Census region with operations in the same region is the dominant pattern (as opposed to state-level assignment, where headquarter bias is more problematic).</w:t>
      </w:r>
    </w:p>
    <w:p w14:paraId="4D540359" w14:textId="77777777" w:rsidR="00C87760" w:rsidRDefault="00000000">
      <w:pPr>
        <w:pStyle w:val="BodyText"/>
      </w:pPr>
      <w:r>
        <w:t xml:space="preserve">Within each cell </w:t>
      </w:r>
      <m:oMath>
        <m:r>
          <w:rPr>
            <w:rFonts w:ascii="Cambria Math" w:hAnsi="Cambria Math"/>
          </w:rPr>
          <m:t>c</m:t>
        </m:r>
      </m:oMath>
      <w:r>
        <w:t xml:space="preserve">, continuing-units growth is computed from the frozen measurement panel restricted to pseudo-establishments in that cell. The same panel mechanics </w:t>
      </w:r>
      <w:proofErr w:type="gramStart"/>
      <w:r>
        <w:t>apply:</w:t>
      </w:r>
      <w:proofErr w:type="gramEnd"/>
      <w:r>
        <w:t xml:space="preserve"> matched pseudo-establishment observations within the frozen window, exits removed without contributing negative change.</w:t>
      </w:r>
    </w:p>
    <w:p w14:paraId="2B114839" w14:textId="77777777" w:rsidR="00C87760" w:rsidRDefault="00000000">
      <w:pPr>
        <w:pStyle w:val="BodyText"/>
      </w:pPr>
      <w:r>
        <w:lastRenderedPageBreak/>
        <w:t xml:space="preserve">Let </w:t>
      </w: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G</m:t>
            </m:r>
          </m:sup>
        </m:sSubSup>
      </m:oMath>
      <w:r>
        <w:t xml:space="preserve"> denote provider </w:t>
      </w:r>
      <m:oMath>
        <m:r>
          <w:rPr>
            <w:rFonts w:ascii="Cambria Math" w:hAnsi="Cambria Math"/>
          </w:rPr>
          <m:t>p</m:t>
        </m:r>
      </m:oMath>
      <w:r>
        <w:t xml:space="preserve">’s continuing-units growth in cell </w:t>
      </w:r>
      <m:oMath>
        <m:r>
          <w:rPr>
            <w:rFonts w:ascii="Cambria Math" w:hAnsi="Cambria Math"/>
          </w:rPr>
          <m:t>c</m:t>
        </m:r>
      </m:oMath>
      <w:r>
        <w:t xml:space="preserve"> at time </w:t>
      </w:r>
      <m:oMath>
        <m:r>
          <w:rPr>
            <w:rFonts w:ascii="Cambria Math" w:hAnsi="Cambria Math"/>
          </w:rPr>
          <m:t>t</m:t>
        </m:r>
      </m:oMath>
      <w:r>
        <w:t xml:space="preserve">, and let </w:t>
      </w:r>
      <m:oMath>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QCEW</m:t>
            </m:r>
          </m:sup>
        </m:sSubSup>
      </m:oMath>
      <w:r>
        <w:t xml:space="preserve"> denote cell </w:t>
      </w:r>
      <m:oMath>
        <m:r>
          <w:rPr>
            <w:rFonts w:ascii="Cambria Math" w:hAnsi="Cambria Math"/>
          </w:rPr>
          <m:t>c</m:t>
        </m:r>
      </m:oMath>
      <w:r>
        <w:t>’s share of national employment from the most recent QCEW vintage.</w:t>
      </w:r>
    </w:p>
    <w:p w14:paraId="510C72D8" w14:textId="77777777" w:rsidR="00C87760" w:rsidRDefault="00000000">
      <w:pPr>
        <w:pStyle w:val="Heading4"/>
      </w:pPr>
      <w:bookmarkStart w:id="15" w:name="X714eb494de5c0b4774633c9009ec98a7db62cd3"/>
      <w:bookmarkEnd w:id="14"/>
      <w:r>
        <w:t>Representativeness-Corrected National Composite</w:t>
      </w:r>
    </w:p>
    <w:p w14:paraId="659EB4E3" w14:textId="77777777" w:rsidR="00C87760" w:rsidRDefault="00000000">
      <w:pPr>
        <w:pStyle w:val="FirstParagraph"/>
      </w:pPr>
      <w:r>
        <w:t>The provider’s national signal entering the measurement equation is a weighted composite of cell-level signals:</w:t>
      </w:r>
    </w:p>
    <w:p w14:paraId="148E624D"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G</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QCEW</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G</m:t>
              </m:r>
            </m:sup>
          </m:sSubSup>
        </m:oMath>
      </m:oMathPara>
    </w:p>
    <w:p w14:paraId="355DE4C9" w14:textId="77777777" w:rsidR="00C87760" w:rsidRDefault="00000000">
      <w:pPr>
        <w:pStyle w:val="FirstParagraph"/>
      </w:pPr>
      <w:r>
        <w:t xml:space="preserve">where the summation is over all cells </w:t>
      </w:r>
      <m:oMath>
        <m:r>
          <w:rPr>
            <w:rFonts w:ascii="Cambria Math" w:hAnsi="Cambria Math"/>
          </w:rPr>
          <m:t>c</m:t>
        </m:r>
      </m:oMath>
      <w:r>
        <w:t xml:space="preserve"> with non-missing provider coverage. QCEW employment weights </w:t>
      </w:r>
      <m:oMath>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QCEW</m:t>
            </m:r>
          </m:sup>
        </m:sSubSup>
      </m:oMath>
      <w:r>
        <w:t xml:space="preserve"> are updated as new QCEW vintages become available. For cells where a provider has no coverage, the weight is redistributed proportionally across covered cells within the same supersector or region (preserving the marginal industry and geographic distributions as closely as possible).</w:t>
      </w:r>
    </w:p>
    <w:p w14:paraId="6E1ED16D" w14:textId="77777777" w:rsidR="00C87760" w:rsidRDefault="00000000">
      <w:pPr>
        <w:pStyle w:val="BodyText"/>
      </w:pPr>
      <w:r>
        <w:t>This composite removes the first-order composition bias: a provider concentrated in healthcare no longer overstates national growth when healthcare outperforms. The measurement equation retains its existing form — one signal per provider loading on a single national latent state — but the signal is now approximately representative of national employment dynamics rather than the provider’s idiosyncratic client portfolio.</w:t>
      </w:r>
    </w:p>
    <w:p w14:paraId="2F553DB5" w14:textId="77777777" w:rsidR="00C87760" w:rsidRDefault="00000000">
      <w:pPr>
        <w:pStyle w:val="Heading4"/>
      </w:pPr>
      <w:bookmarkStart w:id="16" w:name="residual-composition-effects"/>
      <w:bookmarkEnd w:id="15"/>
      <w:r>
        <w:t>Residual Composition Effects</w:t>
      </w:r>
    </w:p>
    <w:p w14:paraId="742D0D03" w14:textId="77777777" w:rsidR="00C87760" w:rsidRDefault="00000000">
      <w:pPr>
        <w:pStyle w:val="FirstParagraph"/>
      </w:pPr>
      <w:r>
        <w:t xml:space="preserve">Representativeness correction at the </w:t>
      </w:r>
      <w:proofErr w:type="spellStart"/>
      <w:r>
        <w:t>supersector</w:t>
      </w:r>
      <w:proofErr w:type="spellEnd"/>
      <w:r>
        <w:t xml:space="preserve"> </w:t>
      </w:r>
      <m:oMath>
        <m:r>
          <m:rPr>
            <m:sty m:val="p"/>
          </m:rPr>
          <w:rPr>
            <w:rFonts w:ascii="Cambria Math" w:hAnsi="Cambria Math"/>
          </w:rPr>
          <m:t>×</m:t>
        </m:r>
      </m:oMath>
      <w:r>
        <w:t xml:space="preserve"> Census region level does not eliminate all composition effects. Within-cell heterogeneity (e.g., size class skew, sub-industry concentration) can still create provider-specific deviations from national growth. These residual effects are absorbed by the provider-specific bias </w:t>
      </w:r>
      <m:oMath>
        <m:sSub>
          <m:sSubPr>
            <m:ctrlPr>
              <w:rPr>
                <w:rFonts w:ascii="Cambria Math" w:hAnsi="Cambria Math"/>
              </w:rPr>
            </m:ctrlPr>
          </m:sSubPr>
          <m:e>
            <m:r>
              <w:rPr>
                <w:rFonts w:ascii="Cambria Math" w:hAnsi="Cambria Math"/>
              </w:rPr>
              <m:t>α</m:t>
            </m:r>
          </m:e>
          <m:sub>
            <m:r>
              <w:rPr>
                <w:rFonts w:ascii="Cambria Math" w:hAnsi="Cambria Math"/>
              </w:rPr>
              <m:t>p</m:t>
            </m:r>
          </m:sub>
        </m:sSub>
      </m:oMath>
      <w:r>
        <w:t xml:space="preserve"> and noise </w:t>
      </w:r>
      <m:oMath>
        <m:sSub>
          <m:sSubPr>
            <m:ctrlPr>
              <w:rPr>
                <w:rFonts w:ascii="Cambria Math" w:hAnsi="Cambria Math"/>
              </w:rPr>
            </m:ctrlPr>
          </m:sSub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Sub>
      </m:oMath>
      <w:r>
        <w:t xml:space="preserve"> in the measurement equation. The correction reduces the time-varying component of composition bias — the part that matters for nowcasting accuracy — while leaving the time-invariant component to the existing parameter structure.</w:t>
      </w:r>
    </w:p>
    <w:p w14:paraId="7F591822" w14:textId="77777777" w:rsidR="00C87760" w:rsidRDefault="00000000">
      <w:pPr>
        <w:pStyle w:val="Heading4"/>
      </w:pPr>
      <w:bookmarkStart w:id="17" w:name="pipeline-reuse"/>
      <w:bookmarkEnd w:id="16"/>
      <w:r>
        <w:t>Pipeline Reuse</w:t>
      </w:r>
    </w:p>
    <w:p w14:paraId="17FFCDB6" w14:textId="77777777" w:rsidR="00C87760" w:rsidRDefault="00000000">
      <w:pPr>
        <w:pStyle w:val="FirstParagraph"/>
      </w:pPr>
      <w:r>
        <w:t xml:space="preserve">The cell-level signals </w:t>
      </w: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G</m:t>
            </m:r>
          </m:sup>
        </m:sSubSup>
      </m:oMath>
      <w:r>
        <w:t xml:space="preserve"> constructed for representativeness correction are stored and carried forward to Release 2, where they load directly on supersector-level latent states. The pseudo-establishment pipeline and cell-level signal construction are shared infrastructure across releases; the national model consumes a weighted composite while the narrative model consumes the cell-level components.</w:t>
      </w:r>
    </w:p>
    <w:p w14:paraId="4B836E3F" w14:textId="77777777" w:rsidR="00C87760" w:rsidRDefault="00000000">
      <w:pPr>
        <w:pStyle w:val="Heading3"/>
      </w:pPr>
      <w:bookmarkStart w:id="18" w:name="complete-model-specification"/>
      <w:bookmarkEnd w:id="11"/>
      <w:bookmarkEnd w:id="17"/>
      <w:r>
        <w:t>Complete Model Specification</w:t>
      </w:r>
    </w:p>
    <w:p w14:paraId="0C294A65" w14:textId="77777777" w:rsidR="00C87760" w:rsidRDefault="00000000">
      <w:pPr>
        <w:pStyle w:val="Heading4"/>
      </w:pPr>
      <w:bookmarkStart w:id="19" w:name="latent-state-continuing-units-growth"/>
      <w:r>
        <w:t>Latent State: Continuing-Units Growth</w:t>
      </w:r>
    </w:p>
    <w:p w14:paraId="2717C090" w14:textId="77777777" w:rsidR="00C87760" w:rsidRDefault="00000000">
      <w:pPr>
        <w:pStyle w:val="FirstParagraph"/>
      </w:pPr>
      <w:r>
        <w:t xml:space="preserve">Continuing-units employment growth follows a mean-reverting </w:t>
      </w:r>
      <w:proofErr w:type="gramStart"/>
      <w:r>
        <w:t>AR(</w:t>
      </w:r>
      <w:proofErr w:type="gramEnd"/>
      <w:r>
        <w:t>1):</w:t>
      </w:r>
    </w:p>
    <w:p w14:paraId="55430CCF"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r>
            <w:rPr>
              <w:rFonts w:ascii="Cambria Math" w:hAnsi="Cambria Math"/>
            </w:rPr>
            <m:t>ϕ</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sub>
          </m:sSub>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084F3965" w14:textId="77777777" w:rsidR="00C87760" w:rsidRDefault="00000000">
      <w:pPr>
        <w:pStyle w:val="FirstParagraph"/>
      </w:pPr>
      <w:r>
        <w:lastRenderedPageBreak/>
        <w:t xml:space="preserve">Mean reversion is empirically supported: employment growth does not persist indefinitely in either direction. The </w:t>
      </w:r>
      <w:proofErr w:type="gramStart"/>
      <w:r>
        <w:t>AR(</w:t>
      </w:r>
      <w:proofErr w:type="gramEnd"/>
      <w:r>
        <w:t xml:space="preserve">1) specification avoids unit-root drift over long samples while accommodating high persistence through </w:t>
      </w:r>
      <m:oMath>
        <m:r>
          <w:rPr>
            <w:rFonts w:ascii="Cambria Math" w:hAnsi="Cambria Math"/>
          </w:rPr>
          <m:t>ϕ</m:t>
        </m:r>
      </m:oMath>
      <w:r>
        <w:t xml:space="preserve">. Cajner et al. (2019) estimated </w:t>
      </w:r>
      <m:oMath>
        <m:r>
          <w:rPr>
            <w:rFonts w:ascii="Cambria Math" w:hAnsi="Cambria Math"/>
          </w:rPr>
          <m:t>ρ</m:t>
        </m:r>
        <m:r>
          <m:rPr>
            <m:sty m:val="p"/>
          </m:rPr>
          <w:rPr>
            <w:rFonts w:ascii="Cambria Math" w:hAnsi="Cambria Math"/>
          </w:rPr>
          <m:t>≈</m:t>
        </m:r>
        <m:r>
          <w:rPr>
            <w:rFonts w:ascii="Cambria Math" w:hAnsi="Cambria Math"/>
          </w:rPr>
          <m:t>0.96</m:t>
        </m:r>
      </m:oMath>
      <w:r>
        <w:t xml:space="preserve"> on monthly employment changes, consistent with near-unit-root but stationary dynamics.</w:t>
      </w:r>
    </w:p>
    <w:p w14:paraId="62598326" w14:textId="77777777" w:rsidR="00C87760" w:rsidRDefault="00000000">
      <w:pPr>
        <w:pStyle w:val="Heading4"/>
      </w:pPr>
      <w:bookmarkStart w:id="20" w:name="structural-birthdeath"/>
      <w:bookmarkEnd w:id="19"/>
      <w:r>
        <w:t>Structural Birth/Death</w:t>
      </w:r>
    </w:p>
    <w:p w14:paraId="1F093022" w14:textId="77777777" w:rsidR="00C87760" w:rsidRDefault="00000000">
      <w:pPr>
        <w:pStyle w:val="FirstParagraph"/>
      </w:pPr>
      <w:r>
        <w:t>Total employment growth decomposes into continuing-units growth and a birth/death offset:</w:t>
      </w:r>
    </w:p>
    <w:p w14:paraId="3E884E56"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0E3205BF" w14:textId="77777777" w:rsidR="00C87760" w:rsidRDefault="00000000">
      <w:pPr>
        <w:pStyle w:val="FirstParagraph"/>
      </w:pPr>
      <w:r>
        <w:t>The birth/death component captures net establishment entry minus exit — the systematic gap between what payroll providers measure (continuing units) and what official NFP reports (total employment including births and deaths).</w:t>
      </w:r>
    </w:p>
    <w:p w14:paraId="30133552" w14:textId="77777777" w:rsidR="00C87760" w:rsidRDefault="00000000">
      <w:pPr>
        <w:pStyle w:val="BodyText"/>
      </w:pPr>
      <w:r>
        <w:t>The BD component is modeled as a time-varying structural process combining supply-side and demand-side information:</w:t>
      </w:r>
    </w:p>
    <w:p w14:paraId="6BF168D2" w14:textId="77777777" w:rsidR="00C87760" w:rsidRDefault="00000000">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birth</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L</m:t>
              </m:r>
            </m:sub>
            <m:sup>
              <m:r>
                <w:rPr>
                  <w:rFonts w:ascii="Cambria Math" w:hAnsi="Cambria Math"/>
                </w:rPr>
                <m:t>QCEW</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cycle</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BD</m:t>
              </m:r>
            </m:sub>
          </m:sSub>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274F3EEB" w14:textId="77777777" w:rsidR="00C87760" w:rsidRDefault="00000000">
      <w:pPr>
        <w:pStyle w:val="FirstParagraph"/>
      </w:pPr>
      <w:r>
        <w:t>where:</w:t>
      </w:r>
    </w:p>
    <w:p w14:paraId="262D962A" w14:textId="77777777" w:rsidR="00C87760" w:rsidRDefault="00000000">
      <w:pPr>
        <w:pStyle w:val="Compact"/>
        <w:numPr>
          <w:ilvl w:val="0"/>
          <w:numId w:val="4"/>
        </w:numPr>
      </w:pP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birth</m:t>
            </m:r>
          </m:sup>
        </m:sSubSup>
      </m:oMath>
      <w:r>
        <w:t xml:space="preserve"> is the centered composite provider birth rate (averaged across providers that report it; centered so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absorbs the mean)</w:t>
      </w:r>
    </w:p>
    <w:p w14:paraId="3DE6861A" w14:textId="77777777" w:rsidR="00C87760" w:rsidRDefault="00000000">
      <w:pPr>
        <w:pStyle w:val="Compact"/>
        <w:numPr>
          <w:ilvl w:val="0"/>
          <w:numId w:val="4"/>
        </w:numPr>
      </w:pPr>
      <m:oMath>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L</m:t>
            </m:r>
          </m:sub>
          <m:sup>
            <m:r>
              <w:rPr>
                <w:rFonts w:ascii="Cambria Math" w:hAnsi="Cambria Math"/>
              </w:rPr>
              <m:t>QCEW</m:t>
            </m:r>
          </m:sup>
        </m:sSubSup>
      </m:oMath>
      <w:r>
        <w:t xml:space="preserve"> is the centered QCEW-based BD proxy (</w:t>
      </w:r>
      <m:oMath>
        <m:sSup>
          <m:sSupPr>
            <m:ctrlPr>
              <w:rPr>
                <w:rFonts w:ascii="Cambria Math" w:hAnsi="Cambria Math"/>
              </w:rPr>
            </m:ctrlPr>
          </m:sSupPr>
          <m:e>
            <m:r>
              <w:rPr>
                <w:rFonts w:ascii="Cambria Math" w:hAnsi="Cambria Math"/>
              </w:rPr>
              <m:t>g</m:t>
            </m:r>
          </m:e>
          <m:sup>
            <m:r>
              <w:rPr>
                <w:rFonts w:ascii="Cambria Math" w:hAnsi="Cambria Math"/>
              </w:rPr>
              <m:t>QCEW</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PP</m:t>
            </m:r>
          </m:sup>
        </m:sSup>
      </m:oMath>
      <w:r>
        <w:t xml:space="preserve">), lagged by </w:t>
      </w:r>
      <m:oMath>
        <m:r>
          <w:rPr>
            <w:rFonts w:ascii="Cambria Math" w:hAnsi="Cambria Math"/>
          </w:rPr>
          <m:t>L</m:t>
        </m:r>
        <m:r>
          <m:rPr>
            <m:sty m:val="p"/>
          </m:rPr>
          <w:rPr>
            <w:rFonts w:ascii="Cambria Math" w:hAnsi="Cambria Math"/>
          </w:rPr>
          <m:t>=</m:t>
        </m:r>
        <m:r>
          <w:rPr>
            <w:rFonts w:ascii="Cambria Math" w:hAnsi="Cambria Math"/>
          </w:rPr>
          <m:t>6</m:t>
        </m:r>
      </m:oMath>
      <w:r>
        <w:t xml:space="preserve"> months (QCEW publication delay)</w:t>
      </w:r>
    </w:p>
    <w:p w14:paraId="4FB359CD" w14:textId="77777777" w:rsidR="00C87760" w:rsidRDefault="00000000">
      <w:pPr>
        <w:pStyle w:val="Compact"/>
        <w:numPr>
          <w:ilvl w:val="0"/>
          <w:numId w:val="4"/>
        </w:numPr>
      </w:pP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cycle</m:t>
            </m:r>
          </m:sup>
        </m:sSubSup>
      </m:oMath>
      <w:r>
        <w:t xml:space="preserve"> is a vector of centered cyclical indicators (unemployment claims, financial conditions index, Census business application data)</w:t>
      </w:r>
    </w:p>
    <w:p w14:paraId="2E88FCD1" w14:textId="77777777" w:rsidR="00C87760" w:rsidRDefault="00000000">
      <w:pPr>
        <w:pStyle w:val="Compact"/>
        <w:numPr>
          <w:ilvl w:val="0"/>
          <w:numId w:val="4"/>
        </w:numPr>
      </w:pP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represents mean BD contribution at average covariate values</w:t>
      </w:r>
    </w:p>
    <w:p w14:paraId="5857B49E" w14:textId="77777777" w:rsidR="00C87760" w:rsidRDefault="00000000">
      <w:pPr>
        <w:pStyle w:val="FirstParagraph"/>
      </w:pPr>
      <w:r>
        <w:t xml:space="preserve">Where covariates are unavailable (early sample, nowcast horizon, missing provider birth rate data), centered covariate values are set to zero and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collapses gracefully to </w:t>
      </w:r>
      <m:oMath>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BD</m:t>
            </m:r>
          </m:sub>
        </m:sSub>
        <m:sSub>
          <m:sSubPr>
            <m:ctrlPr>
              <w:rPr>
                <w:rFonts w:ascii="Cambria Math" w:hAnsi="Cambria Math"/>
              </w:rPr>
            </m:ctrlPr>
          </m:sSubPr>
          <m:e>
            <m:r>
              <w:rPr>
                <w:rFonts w:ascii="Cambria Math" w:hAnsi="Cambria Math"/>
              </w:rPr>
              <m:t>ξ</m:t>
            </m:r>
          </m:e>
          <m:sub>
            <m:r>
              <w:rPr>
                <w:rFonts w:ascii="Cambria Math" w:hAnsi="Cambria Math"/>
              </w:rPr>
              <m:t>t</m:t>
            </m:r>
          </m:sub>
        </m:sSub>
      </m:oMath>
      <w:r>
        <w:t>.</w:t>
      </w:r>
    </w:p>
    <w:p w14:paraId="37B8F14F" w14:textId="77777777" w:rsidR="00C87760" w:rsidRDefault="00000000">
      <w:pPr>
        <w:pStyle w:val="BodyText"/>
      </w:pPr>
      <w:r>
        <w:t>The provider birth rate captures supply-side formation dynamics observed in real time. The QCEW proxy anchors BD to census-quality data with a lag. Cyclical indicators capture demand-side forces that drive BD at turning points — the primary source of systematic CES error.</w:t>
      </w:r>
    </w:p>
    <w:p w14:paraId="4D0E2A5B" w14:textId="77777777" w:rsidR="00C87760" w:rsidRDefault="00000000">
      <w:pPr>
        <w:pStyle w:val="Heading4"/>
      </w:pPr>
      <w:bookmarkStart w:id="21" w:name="X36a0e6d21d2849b099ac53c8a82f222d5bfb248"/>
      <w:bookmarkEnd w:id="20"/>
      <w:r>
        <w:t>Seasonality: Truncated Fourier Expansion with Time-Varying Amplitude</w:t>
      </w:r>
    </w:p>
    <w:p w14:paraId="337BC9EA" w14:textId="77777777" w:rsidR="00C87760" w:rsidRDefault="00000000">
      <w:pPr>
        <w:pStyle w:val="FirstParagraph"/>
      </w:pPr>
      <w:r>
        <w:t xml:space="preserve">Employment seasonality is modeled as a truncated Fourier expansion with </w:t>
      </w:r>
      <m:oMath>
        <m:r>
          <w:rPr>
            <w:rFonts w:ascii="Cambria Math" w:hAnsi="Cambria Math"/>
          </w:rPr>
          <m:t>K</m:t>
        </m:r>
      </m:oMath>
      <w:r>
        <w:t xml:space="preserve"> harmonics and </w:t>
      </w:r>
      <w:proofErr w:type="gramStart"/>
      <w:r>
        <w:t>annually-evolving</w:t>
      </w:r>
      <w:proofErr w:type="gramEnd"/>
      <w:r>
        <w:t xml:space="preserve"> amplitudes:</w:t>
      </w:r>
    </w:p>
    <w:p w14:paraId="2EFDDC38"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2πk m</m:t>
                          </m:r>
                          <m:d>
                            <m:dPr>
                              <m:ctrlPr>
                                <w:rPr>
                                  <w:rFonts w:ascii="Cambria Math" w:hAnsi="Cambria Math"/>
                                </w:rPr>
                              </m:ctrlPr>
                            </m:dPr>
                            <m:e>
                              <m:r>
                                <w:rPr>
                                  <w:rFonts w:ascii="Cambria Math" w:hAnsi="Cambria Math"/>
                                </w:rPr>
                                <m:t>t</m:t>
                              </m:r>
                            </m:e>
                          </m:d>
                        </m:num>
                        <m:den>
                          <m:r>
                            <w:rPr>
                              <w:rFonts w:ascii="Cambria Math" w:hAnsi="Cambria Math"/>
                            </w:rPr>
                            <m:t>12</m:t>
                          </m:r>
                        </m:den>
                      </m:f>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t</m:t>
                          </m:r>
                        </m:e>
                      </m:d>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2πk m</m:t>
                          </m:r>
                          <m:d>
                            <m:dPr>
                              <m:ctrlPr>
                                <w:rPr>
                                  <w:rFonts w:ascii="Cambria Math" w:hAnsi="Cambria Math"/>
                                </w:rPr>
                              </m:ctrlPr>
                            </m:dPr>
                            <m:e>
                              <m:r>
                                <w:rPr>
                                  <w:rFonts w:ascii="Cambria Math" w:hAnsi="Cambria Math"/>
                                </w:rPr>
                                <m:t>t</m:t>
                              </m:r>
                            </m:e>
                          </m:d>
                        </m:num>
                        <m:den>
                          <m:r>
                            <w:rPr>
                              <w:rFonts w:ascii="Cambria Math" w:hAnsi="Cambria Math"/>
                            </w:rPr>
                            <m:t>12</m:t>
                          </m:r>
                        </m:den>
                      </m:f>
                    </m:e>
                  </m:d>
                </m:e>
              </m:d>
            </m:e>
          </m:nary>
        </m:oMath>
      </m:oMathPara>
    </w:p>
    <w:p w14:paraId="5BF60B63" w14:textId="77777777" w:rsidR="00C87760" w:rsidRDefault="00000000">
      <w:pPr>
        <w:pStyle w:val="FirstParagraph"/>
      </w:pPr>
      <w:r>
        <w:lastRenderedPageBreak/>
        <w:t xml:space="preserve">where </w:t>
      </w:r>
      <m:oMath>
        <m:r>
          <w:rPr>
            <w:rFonts w:ascii="Cambria Math" w:hAnsi="Cambria Math"/>
          </w:rPr>
          <m:t>m</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r>
          <m:rPr>
            <m:sty m:val="p"/>
          </m:rPr>
          <w:rPr>
            <w:rFonts w:ascii="Cambria Math" w:hAnsi="Cambria Math"/>
          </w:rPr>
          <m:t>}</m:t>
        </m:r>
      </m:oMath>
      <w:r>
        <w:t xml:space="preserve"> is the month index and </w:t>
      </w:r>
      <m:oMath>
        <m:r>
          <w:rPr>
            <w:rFonts w:ascii="Cambria Math" w:hAnsi="Cambria Math"/>
          </w:rPr>
          <m:t>y</m:t>
        </m:r>
        <m:d>
          <m:dPr>
            <m:ctrlPr>
              <w:rPr>
                <w:rFonts w:ascii="Cambria Math" w:hAnsi="Cambria Math"/>
              </w:rPr>
            </m:ctrlPr>
          </m:dPr>
          <m:e>
            <m:r>
              <w:rPr>
                <w:rFonts w:ascii="Cambria Math" w:hAnsi="Cambria Math"/>
              </w:rPr>
              <m:t>t</m:t>
            </m:r>
          </m:e>
        </m:d>
      </m:oMath>
      <w:r>
        <w:t xml:space="preserve"> is the year index.</w:t>
      </w:r>
    </w:p>
    <w:p w14:paraId="091FB3E7" w14:textId="77777777" w:rsidR="00C87760" w:rsidRDefault="00000000">
      <w:pPr>
        <w:pStyle w:val="BodyText"/>
      </w:pPr>
      <w:r>
        <w:t>The Fourier coefficients evolve annually via Gaussian random walks:</w:t>
      </w:r>
    </w:p>
    <w:p w14:paraId="20455DB7"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oMath>
      </m:oMathPara>
    </w:p>
    <w:p w14:paraId="2029032F"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oMath>
      </m:oMathPara>
    </w:p>
    <w:p w14:paraId="606BE369" w14:textId="77777777" w:rsidR="00C87760" w:rsidRDefault="00000000">
      <w:pPr>
        <w:pStyle w:val="FirstParagraph"/>
      </w:pPr>
      <w:r>
        <w:t xml:space="preserve">Annual-step drift is preferred over monthly drift. The model </w:t>
      </w:r>
      <w:proofErr w:type="gramStart"/>
      <w:r>
        <w:t>asks</w:t>
      </w:r>
      <w:proofErr w:type="gramEnd"/>
      <w:r>
        <w:t xml:space="preserve"> “how did this year’s seasonal pattern differ from last year’s?” without confounding seasonal evolution with the latent state dynamics. The innovation variance </w:t>
      </w:r>
      <m:oMath>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oMath>
      <w:r>
        <w:t xml:space="preserve"> decreases with harmonic number, reflecting the prior that broad seasonal swings (annual cycle) evolve more than fine-grained higher-frequency artifacts.</w:t>
      </w:r>
    </w:p>
    <w:p w14:paraId="26001BF9" w14:textId="77777777" w:rsidR="00C87760" w:rsidRDefault="00000000">
      <w:pPr>
        <w:pStyle w:val="BodyText"/>
      </w:pPr>
      <w:r>
        <w:t xml:space="preserve">With </w:t>
      </w:r>
      <m:oMath>
        <m:r>
          <w:rPr>
            <w:rFonts w:ascii="Cambria Math" w:hAnsi="Cambria Math"/>
          </w:rPr>
          <m:t>K</m:t>
        </m:r>
        <m:r>
          <m:rPr>
            <m:sty m:val="p"/>
          </m:rPr>
          <w:rPr>
            <w:rFonts w:ascii="Cambria Math" w:hAnsi="Cambria Math"/>
          </w:rPr>
          <m:t>=</m:t>
        </m:r>
        <m:r>
          <w:rPr>
            <w:rFonts w:ascii="Cambria Math" w:hAnsi="Cambria Math"/>
          </w:rPr>
          <m:t>3</m:t>
        </m:r>
      </m:oMath>
      <w:r>
        <w:t xml:space="preserve"> or </w:t>
      </w:r>
      <m:oMath>
        <m:r>
          <w:rPr>
            <w:rFonts w:ascii="Cambria Math" w:hAnsi="Cambria Math"/>
          </w:rPr>
          <m:t>K</m:t>
        </m:r>
        <m:r>
          <m:rPr>
            <m:sty m:val="p"/>
          </m:rPr>
          <w:rPr>
            <w:rFonts w:ascii="Cambria Math" w:hAnsi="Cambria Math"/>
          </w:rPr>
          <m:t>=</m:t>
        </m:r>
        <m:r>
          <w:rPr>
            <w:rFonts w:ascii="Cambria Math" w:hAnsi="Cambria Math"/>
          </w:rPr>
          <m:t>4</m:t>
        </m:r>
      </m:oMath>
      <w:r>
        <w:t xml:space="preserve">, the expansion uses </w:t>
      </w:r>
      <m:oMath>
        <m:r>
          <w:rPr>
            <w:rFonts w:ascii="Cambria Math" w:hAnsi="Cambria Math"/>
          </w:rPr>
          <m:t>2K</m:t>
        </m:r>
        <m:r>
          <m:rPr>
            <m:sty m:val="p"/>
          </m:rPr>
          <w:rPr>
            <w:rFonts w:ascii="Cambria Math" w:hAnsi="Cambria Math"/>
          </w:rPr>
          <m:t>=</m:t>
        </m:r>
        <m:r>
          <w:rPr>
            <w:rFonts w:ascii="Cambria Math" w:hAnsi="Cambria Math"/>
          </w:rPr>
          <m:t>6</m:t>
        </m:r>
      </m:oMath>
      <w:r>
        <w:t xml:space="preserve"> or </w:t>
      </w:r>
      <m:oMath>
        <m:r>
          <w:rPr>
            <w:rFonts w:ascii="Cambria Math" w:hAnsi="Cambria Math"/>
          </w:rPr>
          <m:t>8</m:t>
        </m:r>
      </m:oMath>
      <w:r>
        <w:t xml:space="preserve"> free parameters per year (versus 11 for unconstrained monthly effects) while capturing the dominant patterns: annual cycle (spring hiring, holiday retail), semi-annual, and quarterly.</w:t>
      </w:r>
    </w:p>
    <w:p w14:paraId="6D3DD75A" w14:textId="77777777" w:rsidR="00C87760" w:rsidRDefault="00000000">
      <w:pPr>
        <w:pStyle w:val="Heading4"/>
      </w:pPr>
      <w:bookmarkStart w:id="22" w:name="composite-growth-signals"/>
      <w:bookmarkEnd w:id="21"/>
      <w:r>
        <w:t>Composite Growth Signals</w:t>
      </w:r>
    </w:p>
    <w:p w14:paraId="787B84DD" w14:textId="77777777" w:rsidR="00C87760" w:rsidRDefault="00000000">
      <w:pPr>
        <w:pStyle w:val="FirstParagraph"/>
      </w:pPr>
      <w:r>
        <w:t>The latent state produces three composite signals consumed by different measurement equations:</w:t>
      </w:r>
    </w:p>
    <w:p w14:paraId="35A50527"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16C36E2E"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62669959"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1515E5D8" w14:textId="77777777" w:rsidR="00C87760" w:rsidRDefault="00000000">
      <w:pPr>
        <w:pStyle w:val="Heading4"/>
      </w:pPr>
      <w:bookmarkStart w:id="23" w:name="qcew-measurement-equation-truth-anchor"/>
      <w:bookmarkEnd w:id="22"/>
      <w:r>
        <w:t>QCEW Measurement Equation — Truth Anchor</w:t>
      </w:r>
    </w:p>
    <w:p w14:paraId="041F4246" w14:textId="77777777" w:rsidR="00C87760" w:rsidRDefault="00000000">
      <w:pPr>
        <w:pStyle w:val="FirstParagraph"/>
      </w:pPr>
      <w:r>
        <w:t>QCEW observations are modeled as high-precision measurements of total NSA growth, with fixed noise differentiated by filing timing:</w:t>
      </w:r>
    </w:p>
    <w:p w14:paraId="3E3E30C0"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QCEW</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QCEW</m:t>
                  </m:r>
                </m:sub>
                <m:sup>
                  <m:r>
                    <w:rPr>
                      <w:rFonts w:ascii="Cambria Math" w:hAnsi="Cambria Math"/>
                    </w:rPr>
                    <m:t>2</m:t>
                  </m:r>
                </m:sup>
              </m:sSubSup>
              <m:d>
                <m:dPr>
                  <m:ctrlPr>
                    <w:rPr>
                      <w:rFonts w:ascii="Cambria Math" w:hAnsi="Cambria Math"/>
                    </w:rPr>
                  </m:ctrlPr>
                </m:dPr>
                <m:e>
                  <m:r>
                    <w:rPr>
                      <w:rFonts w:ascii="Cambria Math" w:hAnsi="Cambria Math"/>
                    </w:rPr>
                    <m:t>t</m:t>
                  </m:r>
                </m:e>
              </m:d>
            </m:e>
          </m:d>
        </m:oMath>
      </m:oMathPara>
    </w:p>
    <w:p w14:paraId="72E10DDD"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QCEW</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M3</m:t>
                        </m:r>
                      </m:sub>
                    </m:sSub>
                  </m:e>
                  <m:e>
                    <m:r>
                      <m:rPr>
                        <m:nor/>
                      </m:rPr>
                      <m:t xml:space="preserve">if </m:t>
                    </m:r>
                    <m:r>
                      <w:rPr>
                        <w:rFonts w:ascii="Cambria Math" w:hAnsi="Cambria Math"/>
                      </w:rPr>
                      <m:t>t</m:t>
                    </m:r>
                    <m:r>
                      <m:rPr>
                        <m:nor/>
                      </m:rPr>
                      <m:t xml:space="preserve"> is a quarter-end month (M3)</m:t>
                    </m:r>
                  </m:e>
                </m:mr>
                <m:mr>
                  <m:e>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M12</m:t>
                        </m:r>
                      </m:sub>
                    </m:sSub>
                  </m:e>
                  <m:e>
                    <m:r>
                      <m:rPr>
                        <m:nor/>
                      </m:rPr>
                      <m:t xml:space="preserve">if </m:t>
                    </m:r>
                    <m:r>
                      <w:rPr>
                        <w:rFonts w:ascii="Cambria Math" w:hAnsi="Cambria Math"/>
                      </w:rPr>
                      <m:t>t</m:t>
                    </m:r>
                    <m:r>
                      <m:rPr>
                        <m:nor/>
                      </m:rPr>
                      <m:t xml:space="preserve"> is a retrospective month (M1 or M2)</m:t>
                    </m:r>
                  </m:e>
                </m:mr>
              </m:m>
            </m:e>
          </m:d>
          <m:r>
            <w:rPr>
              <w:rFonts w:ascii="Cambria Math" w:hAnsi="Cambria Math"/>
            </w:rPr>
            <m:t> </m:t>
          </m:r>
        </m:oMath>
      </m:oMathPara>
    </w:p>
    <w:p w14:paraId="3EDDC881" w14:textId="77777777" w:rsidR="00C87760" w:rsidRDefault="00000000">
      <w:pPr>
        <w:pStyle w:val="FirstParagraph"/>
      </w:pPr>
      <w:r>
        <w:t>Month 3 (quarter-end) is filed contemporaneously — the employer’s payroll records for that month are weeks old at filing time. Months 1 and 2 are reconstructed retrospectively from records 2–3 months stale, introducing recall error, interpolation, and rounding.</w:t>
      </w:r>
    </w:p>
    <w:p w14:paraId="5D61C205" w14:textId="77777777" w:rsidR="00C87760" w:rsidRDefault="00000000">
      <w:pPr>
        <w:pStyle w:val="BodyText"/>
      </w:pPr>
      <w:r>
        <w:t xml:space="preserve">The noise values are treated as fixed (not estimated), reflecting the near-census nature of QCEW. Sensitivity analysis across </w:t>
      </w:r>
      <m:oMath>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noise scales </w:t>
      </w:r>
      <w:proofErr w:type="gramStart"/>
      <w:r>
        <w:t>confirms</w:t>
      </w:r>
      <w:proofErr w:type="gramEnd"/>
      <w:r>
        <w:t xml:space="preserve"> parameter stability. The differential treatment can be further calibrated using the QCEW revision data available from 2017Q1 at national and state levels.</w:t>
      </w:r>
    </w:p>
    <w:p w14:paraId="0A5D2CC3" w14:textId="77777777" w:rsidR="00C87760" w:rsidRDefault="00000000">
      <w:pPr>
        <w:pStyle w:val="BodyText"/>
      </w:pPr>
      <w:r>
        <w:lastRenderedPageBreak/>
        <w:t xml:space="preserve">This is a </w:t>
      </w:r>
      <w:r w:rsidRPr="00C86A6D">
        <w:t>conditioning</w:t>
      </w:r>
      <w:r>
        <w:t xml:space="preserve"> approach (high-precision observation) rather than hard benchmarking (constraining the state to match QCEW exactly). Conditioning maintains probabilistic coherence while effectively pinning the latent state to QCEW at observed dates.</w:t>
      </w:r>
    </w:p>
    <w:p w14:paraId="338ADA61" w14:textId="77777777" w:rsidR="00C87760" w:rsidRDefault="00000000">
      <w:pPr>
        <w:pStyle w:val="Heading4"/>
      </w:pPr>
      <w:bookmarkStart w:id="24" w:name="X1b43a338ad1b999e3733adb73ba1f4d5a0d0a99"/>
      <w:bookmarkEnd w:id="23"/>
      <w:r>
        <w:t>CES Measurement Equations — Vintage-Specific</w:t>
      </w:r>
    </w:p>
    <w:p w14:paraId="70E89526" w14:textId="77777777" w:rsidR="00C87760" w:rsidRDefault="00000000">
      <w:pPr>
        <w:pStyle w:val="FirstParagraph"/>
      </w:pPr>
      <w:r>
        <w:t>Each CES print (first, second, final) enters as a separate observation with vintage-specific noise, reflecting the declining sampling error as additional survey responses arrive. Both SA and NSA series are modeled with shared bias and signal loading but separate noise terms.</w:t>
      </w:r>
    </w:p>
    <w:p w14:paraId="25AED1CF" w14:textId="77777777" w:rsidR="00C87760" w:rsidRDefault="00000000">
      <w:pPr>
        <w:pStyle w:val="BodyText"/>
      </w:pPr>
      <w:r>
        <w:t xml:space="preserve">For vintage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3EB3C78B"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CES</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11FAF511"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CES</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NSA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63985149" w14:textId="77777777" w:rsidR="00C87760" w:rsidRDefault="00000000">
      <w:pPr>
        <w:pStyle w:val="FirstParagraph"/>
      </w:pPr>
      <w:r>
        <w:t>where:</w:t>
      </w:r>
    </w:p>
    <w:p w14:paraId="65733BA1" w14:textId="77777777" w:rsidR="00C87760" w:rsidRDefault="00000000">
      <w:pPr>
        <w:pStyle w:val="Compact"/>
        <w:numPr>
          <w:ilvl w:val="0"/>
          <w:numId w:val="5"/>
        </w:numPr>
      </w:pPr>
      <m:oMath>
        <m:sSup>
          <m:sSupPr>
            <m:ctrlPr>
              <w:rPr>
                <w:rFonts w:ascii="Cambria Math" w:hAnsi="Cambria Math"/>
              </w:rPr>
            </m:ctrlPr>
          </m:sSupPr>
          <m:e>
            <m:r>
              <w:rPr>
                <w:rFonts w:ascii="Cambria Math" w:hAnsi="Cambria Math"/>
              </w:rPr>
              <m:t>α</m:t>
            </m:r>
          </m:e>
          <m:sup>
            <m:r>
              <w:rPr>
                <w:rFonts w:ascii="Cambria Math" w:hAnsi="Cambria Math"/>
              </w:rPr>
              <m:t>CES</m:t>
            </m:r>
          </m:sup>
        </m:sSup>
      </m:oMath>
      <w:r>
        <w:t xml:space="preserve"> is CES-specific bias (absorbs scope differences, seasonal adjustment residuals)</w:t>
      </w:r>
    </w:p>
    <w:p w14:paraId="10C36EBA" w14:textId="77777777" w:rsidR="00C87760" w:rsidRDefault="00000000">
      <w:pPr>
        <w:pStyle w:val="Compact"/>
        <w:numPr>
          <w:ilvl w:val="0"/>
          <w:numId w:val="5"/>
        </w:numPr>
      </w:pPr>
      <m:oMath>
        <m:sSup>
          <m:sSupPr>
            <m:ctrlPr>
              <w:rPr>
                <w:rFonts w:ascii="Cambria Math" w:hAnsi="Cambria Math"/>
              </w:rPr>
            </m:ctrlPr>
          </m:sSupPr>
          <m:e>
            <m:r>
              <w:rPr>
                <w:rFonts w:ascii="Cambria Math" w:hAnsi="Cambria Math"/>
              </w:rPr>
              <m:t>λ</m:t>
            </m:r>
          </m:e>
          <m:sup>
            <m:r>
              <w:rPr>
                <w:rFonts w:ascii="Cambria Math" w:hAnsi="Cambria Math"/>
              </w:rPr>
              <m:t>CES</m:t>
            </m:r>
          </m:sup>
        </m:sSup>
      </m:oMath>
      <w:r>
        <w:t xml:space="preserve"> is CES signal loading (should be near 1 if scales are aligned)</w:t>
      </w:r>
    </w:p>
    <w:p w14:paraId="347B83E1" w14:textId="77777777" w:rsidR="00C87760" w:rsidRDefault="00000000">
      <w:pPr>
        <w:pStyle w:val="Compact"/>
        <w:numPr>
          <w:ilvl w:val="0"/>
          <w:numId w:val="5"/>
        </w:numPr>
      </w:pP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NSA</m:t>
            </m:r>
            <m:r>
              <m:rPr>
                <m:sty m:val="p"/>
              </m:rPr>
              <w:rPr>
                <w:rFonts w:ascii="Cambria Math" w:hAnsi="Cambria Math"/>
              </w:rPr>
              <m:t>,</m:t>
            </m:r>
            <m:r>
              <w:rPr>
                <w:rFonts w:ascii="Cambria Math" w:hAnsi="Cambria Math"/>
              </w:rPr>
              <m:t>v</m:t>
            </m:r>
          </m:sub>
        </m:sSub>
      </m:oMath>
      <w:r>
        <w:t xml:space="preserve"> are vintage-specific observation noise</w:t>
      </w:r>
    </w:p>
    <w:p w14:paraId="017F0BF5" w14:textId="77777777" w:rsidR="00C87760" w:rsidRDefault="00000000">
      <w:pPr>
        <w:pStyle w:val="FirstParagraph"/>
      </w:pPr>
      <w:r>
        <w:t>The first-print standard error is approximately 65,000 jobs for total nonfarm (~0.04% in growth-rate space), declining with each subsequent closure. Vintage-specific noise parameters are calibrated from the CES revision data available from May 2003 at the national level by sector.</w:t>
      </w:r>
    </w:p>
    <w:p w14:paraId="01FA78D8" w14:textId="77777777" w:rsidR="00C87760" w:rsidRDefault="00000000">
      <w:pPr>
        <w:pStyle w:val="BodyText"/>
      </w:pPr>
      <w:r>
        <w:rPr>
          <w:b/>
          <w:bCs/>
        </w:rPr>
        <w:t>Annual benchmark scope.</w:t>
      </w:r>
      <w:r>
        <w:t xml:space="preserve"> The February benchmark re-anchors the prior year’s March employment level to QCEW-derived universe counts, with a wedge-back over the preceding 11 months. The total scope is 21 months of NSA data and 5 years of re-seasonalized SA data. </w:t>
      </w:r>
      <w:proofErr w:type="spellStart"/>
      <w:r>
        <w:t>Backtests</w:t>
      </w:r>
      <w:proofErr w:type="spellEnd"/>
      <w:r>
        <w:t xml:space="preserve"> using SA data must track re-</w:t>
      </w:r>
      <w:proofErr w:type="spellStart"/>
      <w:r>
        <w:t>seasonalization</w:t>
      </w:r>
      <w:proofErr w:type="spellEnd"/>
      <w:r>
        <w:t xml:space="preserve"> vintages, not just level revisions.</w:t>
      </w:r>
    </w:p>
    <w:p w14:paraId="00FAAAD9" w14:textId="77777777" w:rsidR="00C87760" w:rsidRDefault="00000000">
      <w:pPr>
        <w:pStyle w:val="Heading4"/>
      </w:pPr>
      <w:bookmarkStart w:id="25" w:name="Xbba9365ef8fe7794164976067d8bcfd47509226"/>
      <w:bookmarkEnd w:id="24"/>
      <w:r>
        <w:t>Payroll Provider Measurement Equations — Config-Driven</w:t>
      </w:r>
    </w:p>
    <w:p w14:paraId="2B790489" w14:textId="77777777" w:rsidR="00C87760" w:rsidRDefault="00000000">
      <w:pPr>
        <w:pStyle w:val="FirstParagraph"/>
      </w:pPr>
      <w:r>
        <w:t xml:space="preserve">Each provider </w:t>
      </w:r>
      <m:oMath>
        <m:r>
          <w:rPr>
            <w:rFonts w:ascii="Cambria Math" w:hAnsi="Cambria Math"/>
          </w:rPr>
          <m:t>p</m:t>
        </m:r>
      </m:oMath>
      <w:r>
        <w:t xml:space="preserve"> gets independent measurement parameters with configurable error structure. Provider observations load on continuing-units NSA growth (not total growth), since payroll data excludes birth/death dynamics by construction. The input signal </w:t>
      </w: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G</m:t>
            </m:r>
          </m:sup>
        </m:sSubSup>
      </m:oMath>
      <w:r>
        <w:t xml:space="preserve"> is the representativeness-corrected national composite described above — a QCEW-weighted average of cell-level continuing-units growth from pseudo-establishments at the supersector </w:t>
      </w:r>
      <m:oMath>
        <m:r>
          <m:rPr>
            <m:sty m:val="p"/>
          </m:rPr>
          <w:rPr>
            <w:rFonts w:ascii="Cambria Math" w:hAnsi="Cambria Math"/>
          </w:rPr>
          <m:t>×</m:t>
        </m:r>
      </m:oMath>
      <w:r>
        <w:t xml:space="preserve"> Census region level.</w:t>
      </w:r>
    </w:p>
    <w:p w14:paraId="5CAFC1B9" w14:textId="77777777" w:rsidR="00C87760" w:rsidRDefault="00000000">
      <w:pPr>
        <w:pStyle w:val="BodyText"/>
      </w:pPr>
      <w:proofErr w:type="spellStart"/>
      <w:r>
        <w:rPr>
          <w:b/>
          <w:bCs/>
        </w:rPr>
        <w:t>iid</w:t>
      </w:r>
      <w:proofErr w:type="spellEnd"/>
      <w:r>
        <w:rPr>
          <w:b/>
          <w:bCs/>
        </w:rPr>
        <w:t xml:space="preserve"> measurement error (default):</w:t>
      </w:r>
    </w:p>
    <w:p w14:paraId="5DA7B627"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up>
                  <m:r>
                    <w:rPr>
                      <w:rFonts w:ascii="Cambria Math" w:hAnsi="Cambria Math"/>
                    </w:rPr>
                    <m:t>2</m:t>
                  </m:r>
                </m:sup>
              </m:sSubSup>
            </m:e>
          </m:d>
        </m:oMath>
      </m:oMathPara>
    </w:p>
    <w:p w14:paraId="0603D388" w14:textId="77777777" w:rsidR="00C87760" w:rsidRDefault="00000000">
      <w:pPr>
        <w:pStyle w:val="FirstParagraph"/>
      </w:pPr>
      <w:proofErr w:type="gramStart"/>
      <w:r>
        <w:rPr>
          <w:b/>
          <w:bCs/>
        </w:rPr>
        <w:lastRenderedPageBreak/>
        <w:t>AR(</w:t>
      </w:r>
      <w:proofErr w:type="gramEnd"/>
      <w:r>
        <w:rPr>
          <w:b/>
          <w:bCs/>
        </w:rPr>
        <w:t>1) measurement error</w:t>
      </w:r>
      <w:r>
        <w:t xml:space="preserve"> (for providers whose client base creates autocorrelated residuals, e.g., multi-establishment firms restructuring internally):</w:t>
      </w:r>
    </w:p>
    <w:p w14:paraId="5BD6C852"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G</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base</m:t>
                  </m:r>
                </m:sup>
              </m:sSub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base</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up>
                  <m:r>
                    <w:rPr>
                      <w:rFonts w:ascii="Cambria Math" w:hAnsi="Cambria Math"/>
                    </w:rPr>
                    <m:t>2</m:t>
                  </m:r>
                </m:sup>
              </m:sSubSup>
            </m:e>
          </m:d>
        </m:oMath>
      </m:oMathPara>
    </w:p>
    <w:p w14:paraId="59CFC94E" w14:textId="77777777" w:rsidR="00C87760" w:rsidRDefault="00000000">
      <w:pPr>
        <w:pStyle w:val="FirstParagraph"/>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base</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oMath>
      <w:r>
        <w:t>.</w:t>
      </w:r>
    </w:p>
    <w:p w14:paraId="136A952C" w14:textId="77777777" w:rsidR="00C87760" w:rsidRDefault="00000000">
      <w:pPr>
        <w:pStyle w:val="BodyText"/>
      </w:pPr>
      <w:r>
        <w:t xml:space="preserve">The marginal variance at </w:t>
      </w:r>
      <m:oMath>
        <m:r>
          <w:rPr>
            <w:rFonts w:ascii="Cambria Math" w:hAnsi="Cambria Math"/>
          </w:rPr>
          <m:t>t</m:t>
        </m:r>
        <m:r>
          <m:rPr>
            <m:sty m:val="p"/>
          </m:rPr>
          <w:rPr>
            <w:rFonts w:ascii="Cambria Math" w:hAnsi="Cambria Math"/>
          </w:rPr>
          <m:t>=</m:t>
        </m:r>
        <m:r>
          <w:rPr>
            <w:rFonts w:ascii="Cambria Math" w:hAnsi="Cambria Math"/>
          </w:rPr>
          <m:t>0</m:t>
        </m:r>
      </m:oMath>
      <w:r>
        <w:t xml:space="preserve"> is </w:t>
      </w:r>
      <m:oMath>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p</m:t>
                </m:r>
              </m:sub>
              <m:sup>
                <m:r>
                  <w:rPr>
                    <w:rFonts w:ascii="Cambria Math" w:hAnsi="Cambria Math"/>
                  </w:rPr>
                  <m:t>2</m:t>
                </m:r>
              </m:sup>
            </m:sSubSup>
          </m:e>
        </m:d>
      </m:oMath>
      <w:r>
        <w:t xml:space="preserve">, ensuring stationarity. The effective precision contribution of an </w:t>
      </w:r>
      <w:proofErr w:type="gramStart"/>
      <w:r>
        <w:t>AR(</w:t>
      </w:r>
      <w:proofErr w:type="gramEnd"/>
      <w:r>
        <w:t xml:space="preserve">1) provider is reduced by the factor </w:t>
      </w:r>
      <m:oMath>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p</m:t>
                </m:r>
              </m:sub>
              <m:sup>
                <m:r>
                  <w:rPr>
                    <w:rFonts w:ascii="Cambria Math" w:hAnsi="Cambria Math"/>
                  </w:rPr>
                  <m:t>2</m:t>
                </m:r>
              </m:sup>
            </m:sSubSup>
          </m:e>
        </m:d>
      </m:oMath>
      <w:r>
        <w:t xml:space="preserve"> relative to an iid provider with the same noise level.</w:t>
      </w:r>
    </w:p>
    <w:p w14:paraId="7AE978AC" w14:textId="77777777" w:rsidR="00C87760" w:rsidRDefault="00000000">
      <w:pPr>
        <w:pStyle w:val="BodyText"/>
      </w:pPr>
      <w:r>
        <w:t xml:space="preserve">Because the input signal is representativeness-corrected, the bias parameter </w:t>
      </w:r>
      <m:oMath>
        <m:sSub>
          <m:sSubPr>
            <m:ctrlPr>
              <w:rPr>
                <w:rFonts w:ascii="Cambria Math" w:hAnsi="Cambria Math"/>
              </w:rPr>
            </m:ctrlPr>
          </m:sSubPr>
          <m:e>
            <m:r>
              <w:rPr>
                <w:rFonts w:ascii="Cambria Math" w:hAnsi="Cambria Math"/>
              </w:rPr>
              <m:t>α</m:t>
            </m:r>
          </m:e>
          <m:sub>
            <m:r>
              <w:rPr>
                <w:rFonts w:ascii="Cambria Math" w:hAnsi="Cambria Math"/>
              </w:rPr>
              <m:t>p</m:t>
            </m:r>
          </m:sub>
        </m:sSub>
      </m:oMath>
      <w:r>
        <w:t xml:space="preserve"> primarily captures residual within-cell composition effects (size class skew, sub-industry concentration) rather than the provider’s overall portfolio tilt. Similarly, the signal loading </w:t>
      </w:r>
      <m:oMath>
        <m:sSub>
          <m:sSubPr>
            <m:ctrlPr>
              <w:rPr>
                <w:rFonts w:ascii="Cambria Math" w:hAnsi="Cambria Math"/>
              </w:rPr>
            </m:ctrlPr>
          </m:sSubPr>
          <m:e>
            <m:r>
              <w:rPr>
                <w:rFonts w:ascii="Cambria Math" w:hAnsi="Cambria Math"/>
              </w:rPr>
              <m:t>λ</m:t>
            </m:r>
          </m:e>
          <m:sub>
            <m:r>
              <w:rPr>
                <w:rFonts w:ascii="Cambria Math" w:hAnsi="Cambria Math"/>
              </w:rPr>
              <m:t>p</m:t>
            </m:r>
          </m:sub>
        </m:sSub>
      </m:oMath>
      <w:r>
        <w:t xml:space="preserve"> reflects the provider’s measurement fidelity rather than conflating fidelity with compositional similarity to the national distribution.</w:t>
      </w:r>
    </w:p>
    <w:p w14:paraId="69C74775" w14:textId="77777777" w:rsidR="00C87760" w:rsidRDefault="00000000">
      <w:pPr>
        <w:pStyle w:val="BodyText"/>
      </w:pPr>
      <w:r>
        <w:t xml:space="preserve">New providers require only a </w:t>
      </w:r>
      <w:proofErr w:type="spellStart"/>
      <w:r>
        <w:rPr>
          <w:rStyle w:val="VerbatimChar"/>
        </w:rPr>
        <w:t>ProviderConfig</w:t>
      </w:r>
      <w:proofErr w:type="spellEnd"/>
      <w:r>
        <w:t xml:space="preserve"> entry specifying name, data file, error model (</w:t>
      </w:r>
      <w:proofErr w:type="spellStart"/>
      <w:r>
        <w:t>iid</w:t>
      </w:r>
      <w:proofErr w:type="spellEnd"/>
      <w:r>
        <w:t xml:space="preserve"> or </w:t>
      </w:r>
      <w:proofErr w:type="gramStart"/>
      <w:r>
        <w:t>AR(</w:t>
      </w:r>
      <w:proofErr w:type="gramEnd"/>
      <w:r>
        <w:t>1)), and optional birth-rate file. The model, diagnostics, and plots adapt automatically.</w:t>
      </w:r>
    </w:p>
    <w:p w14:paraId="1D0D3FC7" w14:textId="77777777" w:rsidR="00C87760" w:rsidRDefault="00000000">
      <w:pPr>
        <w:pStyle w:val="Heading3"/>
      </w:pPr>
      <w:bookmarkStart w:id="26" w:name="priors"/>
      <w:bookmarkEnd w:id="18"/>
      <w:bookmarkEnd w:id="25"/>
      <w:r>
        <w:t>Priors</w:t>
      </w:r>
    </w:p>
    <w:p w14:paraId="20547AD4" w14:textId="77777777" w:rsidR="00C87760" w:rsidRDefault="00000000">
      <w:pPr>
        <w:pStyle w:val="Heading4"/>
      </w:pPr>
      <w:bookmarkStart w:id="27" w:name="latent-state-dynamics"/>
      <w:r>
        <w:t>Latent state dynamics</w:t>
      </w:r>
    </w:p>
    <w:p w14:paraId="63F8E012"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r>
            <w:rPr>
              <w:rFonts w:ascii="Cambria Math" w:hAnsi="Cambria Math"/>
            </w:rPr>
            <m:t> </m:t>
          </m:r>
          <m:r>
            <m:rPr>
              <m:nor/>
            </m:rPr>
            <m:t>[ 0.1%/mo mean growth, weakly informative]</m:t>
          </m:r>
        </m:oMath>
      </m:oMathPara>
    </w:p>
    <w:p w14:paraId="5DB8F033" w14:textId="77777777" w:rsidR="00C87760" w:rsidRDefault="00000000">
      <w:pPr>
        <w:pStyle w:val="FirstParagraph"/>
      </w:pPr>
      <m:oMathPara>
        <m:oMathParaPr>
          <m:jc m:val="center"/>
        </m:oMathParaPr>
        <m:oMath>
          <m:r>
            <w:rPr>
              <w:rFonts w:ascii="Cambria Math" w:hAnsi="Cambria Math"/>
            </w:rPr>
            <m:t>ϕ</m:t>
          </m:r>
          <m:r>
            <m:rPr>
              <m:sty m:val="p"/>
            </m:rPr>
            <w:rPr>
              <w:rFonts w:ascii="Cambria Math" w:hAnsi="Cambria Math"/>
            </w:rPr>
            <m:t>∼</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0.99</m:t>
              </m:r>
            </m:e>
          </m:d>
          <m:r>
            <w:rPr>
              <w:rFonts w:ascii="Cambria Math" w:hAnsi="Cambria Math"/>
            </w:rPr>
            <m:t> </m:t>
          </m:r>
          <m:r>
            <m:rPr>
              <m:nor/>
            </m:rPr>
            <m:t xml:space="preserve">[allows high persistence; Cajner et al.: </m:t>
          </m:r>
          <m:r>
            <w:rPr>
              <w:rFonts w:ascii="Cambria Math" w:hAnsi="Cambria Math"/>
            </w:rPr>
            <m:t>ρ</m:t>
          </m:r>
          <m:r>
            <m:rPr>
              <m:sty m:val="p"/>
            </m:rPr>
            <w:rPr>
              <w:rFonts w:ascii="Cambria Math" w:hAnsi="Cambria Math"/>
            </w:rPr>
            <m:t>≈</m:t>
          </m:r>
          <m:r>
            <w:rPr>
              <w:rFonts w:ascii="Cambria Math" w:hAnsi="Cambria Math"/>
            </w:rPr>
            <m:t>0.96</m:t>
          </m:r>
          <m:r>
            <m:rPr>
              <m:nor/>
            </m:rPr>
            <m:t>]</m:t>
          </m:r>
        </m:oMath>
      </m:oMathPara>
    </w:p>
    <w:p w14:paraId="1AE3B051"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η</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e>
          </m:d>
        </m:oMath>
      </m:oMathPara>
    </w:p>
    <w:p w14:paraId="2BEFDA76" w14:textId="77777777" w:rsidR="00C87760" w:rsidRDefault="00000000">
      <w:pPr>
        <w:pStyle w:val="Heading4"/>
      </w:pPr>
      <w:bookmarkStart w:id="28" w:name="birthdeath-parameters"/>
      <w:bookmarkEnd w:id="27"/>
      <w:r>
        <w:t>Birth/death parameters</w:t>
      </w:r>
    </w:p>
    <w:p w14:paraId="2B9C9BD6"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0.002</m:t>
                  </m:r>
                </m:e>
                <m:sup>
                  <m:r>
                    <w:rPr>
                      <w:rFonts w:ascii="Cambria Math" w:hAnsi="Cambria Math"/>
                    </w:rPr>
                    <m:t>2</m:t>
                  </m:r>
                </m:sup>
              </m:sSup>
            </m:e>
          </m:d>
          <m:r>
            <w:rPr>
              <w:rFonts w:ascii="Cambria Math" w:hAnsi="Cambria Math"/>
            </w:rPr>
            <m:t> </m:t>
          </m:r>
          <m:r>
            <m:rPr>
              <m:nor/>
            </m:rPr>
            <m:t>[mean BD contribution]</m:t>
          </m:r>
        </m:oMath>
      </m:oMathPara>
    </w:p>
    <w:p w14:paraId="321338B6"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0.5</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r>
            <w:rPr>
              <w:rFonts w:ascii="Cambria Math" w:hAnsi="Cambria Math"/>
            </w:rPr>
            <m:t> </m:t>
          </m:r>
          <m:r>
            <m:rPr>
              <m:nor/>
            </m:rPr>
            <m:t>[birth rate loading; positive = procyclical]</m:t>
          </m:r>
        </m:oMath>
      </m:oMathPara>
    </w:p>
    <w:p w14:paraId="26735B09"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0.3</m:t>
              </m:r>
              <m:r>
                <m:rPr>
                  <m:sty m:val="p"/>
                </m:rP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2</m:t>
                  </m:r>
                </m:sup>
              </m:sSup>
            </m:e>
          </m:d>
          <m:r>
            <w:rPr>
              <w:rFonts w:ascii="Cambria Math" w:hAnsi="Cambria Math"/>
            </w:rPr>
            <m:t> </m:t>
          </m:r>
          <m:r>
            <m:rPr>
              <m:nor/>
            </m:rPr>
            <m:t>[QCEW BD proxy persistence]</m:t>
          </m:r>
        </m:oMath>
      </m:oMathPara>
    </w:p>
    <w:p w14:paraId="32783599"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3</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2</m:t>
                  </m:r>
                </m:sup>
              </m:sSup>
            </m:e>
          </m:d>
          <m:r>
            <w:rPr>
              <w:rFonts w:ascii="Cambria Math" w:hAnsi="Cambria Math"/>
            </w:rPr>
            <m:t> </m:t>
          </m:r>
          <m:r>
            <m:rPr>
              <m:nor/>
            </m:rPr>
            <m:t>[cyclical indicator loadings]</m:t>
          </m:r>
        </m:oMath>
      </m:oMathPara>
    </w:p>
    <w:p w14:paraId="48ACF371"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BD</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0.001</m:t>
              </m:r>
            </m:e>
          </m:d>
        </m:oMath>
      </m:oMathPara>
    </w:p>
    <w:p w14:paraId="2E040D1E" w14:textId="77777777" w:rsidR="00C87760" w:rsidRDefault="00000000">
      <w:pPr>
        <w:pStyle w:val="Heading4"/>
      </w:pPr>
      <w:bookmarkStart w:id="29" w:name="seasonal-parameters"/>
      <w:bookmarkEnd w:id="28"/>
      <w:r>
        <w:t>Seasonal parameters</w:t>
      </w:r>
    </w:p>
    <w:p w14:paraId="6C781448"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0.015</m:t>
                  </m:r>
                </m:e>
                <m:sup>
                  <m:r>
                    <w:rPr>
                      <w:rFonts w:ascii="Cambria Math" w:hAnsi="Cambria Math"/>
                    </w:rPr>
                    <m:t>2</m:t>
                  </m:r>
                </m:sup>
              </m:sSup>
            </m:e>
          </m:d>
          <m:r>
            <w:rPr>
              <w:rFonts w:ascii="Cambria Math" w:hAnsi="Cambria Math"/>
            </w:rPr>
            <m:t> </m:t>
          </m:r>
          <m:r>
            <m:rPr>
              <m:nor/>
            </m:rPr>
            <m:t xml:space="preserve">for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55AF0CEF"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k</m:t>
              </m:r>
            </m:e>
          </m:d>
          <m:r>
            <w:rPr>
              <w:rFonts w:ascii="Cambria Math" w:hAnsi="Cambria Math"/>
            </w:rPr>
            <m:t> </m:t>
          </m:r>
          <m:r>
            <m:rPr>
              <m:nor/>
            </m:rPr>
            <m:t>[tighter for higher harmonics]</m:t>
          </m:r>
        </m:oMath>
      </m:oMathPara>
    </w:p>
    <w:p w14:paraId="3790138D" w14:textId="77777777" w:rsidR="00C87760" w:rsidRDefault="00000000">
      <w:pPr>
        <w:pStyle w:val="Heading4"/>
      </w:pPr>
      <w:bookmarkStart w:id="30" w:name="qcew-fixed-noise"/>
      <w:bookmarkEnd w:id="29"/>
      <w:r>
        <w:lastRenderedPageBreak/>
        <w:t>QCEW fixed noise</w:t>
      </w:r>
    </w:p>
    <w:p w14:paraId="2D4AE330"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M3</m:t>
              </m:r>
            </m:sub>
          </m:sSub>
          <m:r>
            <m:rPr>
              <m:sty m:val="p"/>
            </m:rPr>
            <w:rPr>
              <w:rFonts w:ascii="Cambria Math" w:hAnsi="Cambria Math"/>
            </w:rPr>
            <m:t>=</m:t>
          </m:r>
          <m:r>
            <w:rPr>
              <w:rFonts w:ascii="Cambria Math" w:hAnsi="Cambria Math"/>
            </w:rPr>
            <m:t>0.0005 </m:t>
          </m:r>
          <m:r>
            <m:rPr>
              <m:nor/>
            </m:rPr>
            <m:t>[ 0.05%/mo — contemporaneous tax filing]</m:t>
          </m:r>
        </m:oMath>
      </m:oMathPara>
    </w:p>
    <w:p w14:paraId="2CFA6F8C"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M12</m:t>
              </m:r>
            </m:sub>
          </m:sSub>
          <m:r>
            <m:rPr>
              <m:sty m:val="p"/>
            </m:rPr>
            <w:rPr>
              <w:rFonts w:ascii="Cambria Math" w:hAnsi="Cambria Math"/>
            </w:rPr>
            <m:t>=</m:t>
          </m:r>
          <m:r>
            <w:rPr>
              <w:rFonts w:ascii="Cambria Math" w:hAnsi="Cambria Math"/>
            </w:rPr>
            <m:t>0.0015 </m:t>
          </m:r>
          <m:r>
            <m:rPr>
              <m:nor/>
            </m:rPr>
            <m:t>[ 0.15%/mo — retrospective UI months]</m:t>
          </m:r>
        </m:oMath>
      </m:oMathPara>
    </w:p>
    <w:p w14:paraId="1E960FCC" w14:textId="77777777" w:rsidR="00C87760" w:rsidRDefault="00000000">
      <w:pPr>
        <w:pStyle w:val="Heading4"/>
      </w:pPr>
      <w:bookmarkStart w:id="31" w:name="ces-parameters"/>
      <w:bookmarkEnd w:id="30"/>
      <w:r>
        <w:t>CES parameters</w:t>
      </w:r>
    </w:p>
    <w:p w14:paraId="7DE8D8F3" w14:textId="77777777" w:rsidR="00C87760" w:rsidRDefault="00000000">
      <w:pPr>
        <w:pStyle w:val="FirstParagraph"/>
      </w:pPr>
      <m:oMathPara>
        <m:oMathParaPr>
          <m:jc m:val="center"/>
        </m:oMathParaPr>
        <m:oMath>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oMath>
      </m:oMathPara>
    </w:p>
    <w:p w14:paraId="68D7EC4B" w14:textId="77777777" w:rsidR="00C87760" w:rsidRDefault="00000000">
      <w:pPr>
        <w:pStyle w:val="FirstParagraph"/>
      </w:pPr>
      <m:oMathPara>
        <m:oMathParaPr>
          <m:jc m:val="center"/>
        </m:oMathParaPr>
        <m:oMath>
          <m:sSup>
            <m:sSupPr>
              <m:ctrlPr>
                <w:rPr>
                  <w:rFonts w:ascii="Cambria Math" w:hAnsi="Cambria Math"/>
                </w:rPr>
              </m:ctrlPr>
            </m:sSupPr>
            <m:e>
              <m:r>
                <w:rPr>
                  <w:rFonts w:ascii="Cambria Math" w:hAnsi="Cambria Math"/>
                </w:rPr>
                <m:t>λ</m:t>
              </m:r>
            </m:e>
            <m:sup>
              <m:r>
                <w:rPr>
                  <w:rFonts w:ascii="Cambria Math" w:hAnsi="Cambria Math"/>
                </w:rPr>
                <m:t>CES</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0.15</m:t>
                  </m:r>
                </m:e>
                <m:sup>
                  <m:r>
                    <w:rPr>
                      <w:rFonts w:ascii="Cambria Math" w:hAnsi="Cambria Math"/>
                    </w:rPr>
                    <m:t>2</m:t>
                  </m:r>
                </m:sup>
              </m:sSup>
            </m:e>
          </m:d>
        </m:oMath>
      </m:oMathPara>
    </w:p>
    <w:p w14:paraId="3E90E96A"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Sub>
          <m:r>
            <m:rPr>
              <m:sty m:val="p"/>
            </m:rPr>
            <w:rPr>
              <w:rFonts w:ascii="Cambria Math" w:hAnsi="Cambria Math"/>
            </w:rPr>
            <m:t>∼</m:t>
          </m:r>
          <m:r>
            <m:rPr>
              <m:nor/>
            </m:rPr>
            <m:t>InverseGamma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0.004</m:t>
              </m:r>
            </m:e>
          </m:d>
          <m:r>
            <w:rPr>
              <w:rFonts w:ascii="Cambria Math" w:hAnsi="Cambria Math"/>
            </w:rPr>
            <m:t> </m:t>
          </m:r>
          <m:r>
            <m:rPr>
              <m:nor/>
            </m:rPr>
            <m:t xml:space="preserve">for each vintage </m:t>
          </m:r>
          <m:r>
            <w:rPr>
              <w:rFonts w:ascii="Cambria Math" w:hAnsi="Cambria Math"/>
            </w:rPr>
            <m:t>v</m:t>
          </m:r>
        </m:oMath>
      </m:oMathPara>
    </w:p>
    <w:p w14:paraId="58575E20"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NSA</m:t>
              </m:r>
              <m:r>
                <m:rPr>
                  <m:sty m:val="p"/>
                </m:rPr>
                <w:rPr>
                  <w:rFonts w:ascii="Cambria Math" w:hAnsi="Cambria Math"/>
                </w:rPr>
                <m:t>,</m:t>
              </m:r>
              <m:r>
                <w:rPr>
                  <w:rFonts w:ascii="Cambria Math" w:hAnsi="Cambria Math"/>
                </w:rPr>
                <m:t>v</m:t>
              </m:r>
            </m:sub>
          </m:sSub>
          <m:r>
            <m:rPr>
              <m:sty m:val="p"/>
            </m:rPr>
            <w:rPr>
              <w:rFonts w:ascii="Cambria Math" w:hAnsi="Cambria Math"/>
            </w:rPr>
            <m:t>∼</m:t>
          </m:r>
          <m:r>
            <m:rPr>
              <m:nor/>
            </m:rPr>
            <m:t>InverseGamma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0.004</m:t>
              </m:r>
            </m:e>
          </m:d>
          <m:r>
            <w:rPr>
              <w:rFonts w:ascii="Cambria Math" w:hAnsi="Cambria Math"/>
            </w:rPr>
            <m:t> </m:t>
          </m:r>
          <m:r>
            <m:rPr>
              <m:nor/>
            </m:rPr>
            <m:t xml:space="preserve">for each vintage </m:t>
          </m:r>
          <m:r>
            <w:rPr>
              <w:rFonts w:ascii="Cambria Math" w:hAnsi="Cambria Math"/>
            </w:rPr>
            <m:t>v</m:t>
          </m:r>
        </m:oMath>
      </m:oMathPara>
    </w:p>
    <w:p w14:paraId="2AC2CA91" w14:textId="77777777" w:rsidR="00C87760" w:rsidRDefault="00000000">
      <w:pPr>
        <w:pStyle w:val="FirstParagraph"/>
      </w:pPr>
      <w:r>
        <w:t xml:space="preserve">The </w:t>
      </w:r>
      <w:proofErr w:type="spellStart"/>
      <w:r>
        <w:t>InverseGamma</w:t>
      </w:r>
      <w:proofErr w:type="spellEnd"/>
      <w:r>
        <w:t xml:space="preserve"> prior keeps </w:t>
      </w:r>
      <m:oMath>
        <m:r>
          <w:rPr>
            <w:rFonts w:ascii="Cambria Math" w:hAnsi="Cambria Math"/>
          </w:rPr>
          <m:t>σ</m:t>
        </m:r>
      </m:oMath>
      <w:r>
        <w:t xml:space="preserve"> away from zero (mode </w:t>
      </w:r>
      <m:oMath>
        <m:r>
          <m:rPr>
            <m:sty m:val="p"/>
          </m:rPr>
          <w:rPr>
            <w:rFonts w:ascii="Cambria Math" w:hAnsi="Cambria Math"/>
          </w:rPr>
          <m:t>≈</m:t>
        </m:r>
        <m:r>
          <w:rPr>
            <w:rFonts w:ascii="Cambria Math" w:hAnsi="Cambria Math"/>
          </w:rPr>
          <m:t>0.001</m:t>
        </m:r>
      </m:oMath>
      <w:r>
        <w:t>), preventing the Neal’s funnel pathology while allowing data to pull toward larger values for noisier vintages.</w:t>
      </w:r>
    </w:p>
    <w:p w14:paraId="0DE1E775" w14:textId="77777777" w:rsidR="00C87760" w:rsidRDefault="00000000">
      <w:pPr>
        <w:pStyle w:val="Heading4"/>
      </w:pPr>
      <w:bookmarkStart w:id="32" w:name="per-provider-parameters"/>
      <w:bookmarkEnd w:id="31"/>
      <w:r>
        <w:t>Per-provider parameters</w:t>
      </w:r>
    </w:p>
    <w:p w14:paraId="2E79319F"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oMath>
      </m:oMathPara>
    </w:p>
    <w:p w14:paraId="7A716A7D"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0.15</m:t>
                  </m:r>
                </m:e>
                <m:sup>
                  <m:r>
                    <w:rPr>
                      <w:rFonts w:ascii="Cambria Math" w:hAnsi="Cambria Math"/>
                    </w:rPr>
                    <m:t>2</m:t>
                  </m:r>
                </m:sup>
              </m:sSup>
            </m:e>
          </m:d>
        </m:oMath>
      </m:oMathPara>
    </w:p>
    <w:p w14:paraId="6C0F336B"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Sub>
          <m:r>
            <m:rPr>
              <m:sty m:val="p"/>
            </m:rPr>
            <w:rPr>
              <w:rFonts w:ascii="Cambria Math" w:hAnsi="Cambria Math"/>
            </w:rPr>
            <m:t>∼</m:t>
          </m:r>
          <m:r>
            <m:rPr>
              <m:nor/>
            </m:rPr>
            <m:t>InverseGamma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0.004</m:t>
              </m:r>
            </m:e>
          </m:d>
        </m:oMath>
      </m:oMathPara>
    </w:p>
    <w:p w14:paraId="1E34935F"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m:t>
          </m:r>
          <m:r>
            <m:rPr>
              <m:nor/>
            </m:rPr>
            <m:t>Beta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w:rPr>
              <w:rFonts w:ascii="Cambria Math" w:hAnsi="Cambria Math"/>
            </w:rPr>
            <m:t> </m:t>
          </m:r>
          <m:r>
            <m:rPr>
              <m:nor/>
            </m:rPr>
            <m:t xml:space="preserve">[AR(1) providers only; mode </m:t>
          </m:r>
          <m:r>
            <m:rPr>
              <m:sty m:val="p"/>
            </m:rPr>
            <w:rPr>
              <w:rFonts w:ascii="Cambria Math" w:hAnsi="Cambria Math"/>
            </w:rPr>
            <m:t>≈</m:t>
          </m:r>
          <m:r>
            <w:rPr>
              <w:rFonts w:ascii="Cambria Math" w:hAnsi="Cambria Math"/>
            </w:rPr>
            <m:t>0.25</m:t>
          </m:r>
          <m:r>
            <m:rPr>
              <m:nor/>
            </m:rPr>
            <m:t xml:space="preserve">, allows up to </m:t>
          </m:r>
          <m:r>
            <m:rPr>
              <m:sty m:val="p"/>
            </m:rPr>
            <w:rPr>
              <w:rFonts w:ascii="Cambria Math" w:hAnsi="Cambria Math"/>
            </w:rPr>
            <m:t>∼</m:t>
          </m:r>
          <m:r>
            <w:rPr>
              <w:rFonts w:ascii="Cambria Math" w:hAnsi="Cambria Math"/>
            </w:rPr>
            <m:t>0.8</m:t>
          </m:r>
          <m:r>
            <m:rPr>
              <m:nor/>
            </m:rPr>
            <m:t>]</m:t>
          </m:r>
        </m:oMath>
      </m:oMathPara>
    </w:p>
    <w:p w14:paraId="620674F5" w14:textId="77777777" w:rsidR="00C87760" w:rsidRDefault="00000000">
      <w:pPr>
        <w:pStyle w:val="Heading3"/>
      </w:pPr>
      <w:bookmarkStart w:id="33" w:name="forecast-production"/>
      <w:bookmarkEnd w:id="26"/>
      <w:bookmarkEnd w:id="32"/>
      <w:r>
        <w:t>Forecast Production</w:t>
      </w:r>
    </w:p>
    <w:p w14:paraId="2CC1C5DA" w14:textId="77777777" w:rsidR="00C87760" w:rsidRDefault="00000000">
      <w:pPr>
        <w:pStyle w:val="Compact"/>
        <w:numPr>
          <w:ilvl w:val="0"/>
          <w:numId w:val="6"/>
        </w:numPr>
      </w:pPr>
      <w:r>
        <w:rPr>
          <w:b/>
          <w:bCs/>
        </w:rPr>
        <w:t>Historical Estimation:</w:t>
      </w:r>
      <w:r>
        <w:t xml:space="preserve"> Run MCMC on all data through </w:t>
      </w:r>
      <m:oMath>
        <m:r>
          <w:rPr>
            <w:rFonts w:ascii="Cambria Math" w:hAnsi="Cambria Math"/>
          </w:rPr>
          <m:t>T</m:t>
        </m:r>
        <m:r>
          <m:rPr>
            <m:sty m:val="p"/>
          </m:rPr>
          <w:rPr>
            <w:rFonts w:ascii="Cambria Math" w:hAnsi="Cambria Math"/>
          </w:rPr>
          <m:t>-</m:t>
        </m:r>
        <m:r>
          <w:rPr>
            <w:rFonts w:ascii="Cambria Math" w:hAnsi="Cambria Math"/>
          </w:rPr>
          <m:t>1</m:t>
        </m:r>
      </m:oMath>
    </w:p>
    <w:p w14:paraId="20D016C9" w14:textId="77777777" w:rsidR="00C87760" w:rsidRDefault="00000000">
      <w:pPr>
        <w:pStyle w:val="Compact"/>
        <w:numPr>
          <w:ilvl w:val="0"/>
          <w:numId w:val="6"/>
        </w:numPr>
      </w:pPr>
      <w:r>
        <w:rPr>
          <w:b/>
          <w:bCs/>
        </w:rPr>
        <w:t>BD Forecast:</w:t>
      </w:r>
      <w:r>
        <w:t xml:space="preserve"> Estimate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using cyclical indicators, provider birth rates, and lagged QCEW BD proxy</w:t>
      </w:r>
    </w:p>
    <w:p w14:paraId="6A06E7A5" w14:textId="77777777" w:rsidR="00C87760" w:rsidRDefault="00000000">
      <w:pPr>
        <w:pStyle w:val="Compact"/>
        <w:numPr>
          <w:ilvl w:val="0"/>
          <w:numId w:val="6"/>
        </w:numPr>
      </w:pPr>
      <w:r>
        <w:rPr>
          <w:b/>
          <w:bCs/>
        </w:rPr>
        <w:t>Continuing-Units Filtering:</w:t>
      </w:r>
      <w:r>
        <w:t xml:space="preserve"> Filter </w:t>
      </w:r>
      <m:oMath>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oMath>
      <w:r>
        <w:t xml:space="preserve"> from all payroll provider data for current month </w:t>
      </w:r>
      <m:oMath>
        <m:r>
          <w:rPr>
            <w:rFonts w:ascii="Cambria Math" w:hAnsi="Cambria Math"/>
          </w:rPr>
          <m:t>T</m:t>
        </m:r>
      </m:oMath>
    </w:p>
    <w:p w14:paraId="25F1A1D9" w14:textId="77777777" w:rsidR="00C87760" w:rsidRDefault="00000000">
      <w:pPr>
        <w:pStyle w:val="Compact"/>
        <w:numPr>
          <w:ilvl w:val="0"/>
          <w:numId w:val="6"/>
        </w:numPr>
      </w:pPr>
      <w:r>
        <w:rPr>
          <w:b/>
          <w:bCs/>
        </w:rPr>
        <w:t>Nowcast:</w:t>
      </w:r>
      <w:r>
        <w:t xml:space="preserve"> Posterior predictive distribution for </w:t>
      </w:r>
      <m:oMath>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p>
    <w:p w14:paraId="41DAD3CE" w14:textId="77777777" w:rsidR="00C87760" w:rsidRDefault="00000000">
      <w:pPr>
        <w:pStyle w:val="Heading3"/>
      </w:pPr>
      <w:bookmarkStart w:id="34" w:name="output-specification"/>
      <w:bookmarkEnd w:id="33"/>
      <w:r>
        <w:t>Output Specification</w:t>
      </w:r>
    </w:p>
    <w:tbl>
      <w:tblPr>
        <w:tblStyle w:val="Table"/>
        <w:tblW w:w="5000" w:type="pct"/>
        <w:tblLayout w:type="fixed"/>
        <w:tblLook w:val="0020" w:firstRow="1" w:lastRow="0" w:firstColumn="0" w:lastColumn="0" w:noHBand="0" w:noVBand="0"/>
      </w:tblPr>
      <w:tblGrid>
        <w:gridCol w:w="3744"/>
        <w:gridCol w:w="5616"/>
      </w:tblGrid>
      <w:tr w:rsidR="00C87760" w14:paraId="5F8900AB"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3168" w:type="dxa"/>
          </w:tcPr>
          <w:p w14:paraId="02FC54BD" w14:textId="77777777" w:rsidR="00C87760" w:rsidRDefault="00000000">
            <w:pPr>
              <w:pStyle w:val="Compact"/>
            </w:pPr>
            <w:r>
              <w:t>Output</w:t>
            </w:r>
          </w:p>
        </w:tc>
        <w:tc>
          <w:tcPr>
            <w:tcW w:w="4752" w:type="dxa"/>
          </w:tcPr>
          <w:p w14:paraId="254B9467" w14:textId="77777777" w:rsidR="00C87760" w:rsidRDefault="00000000">
            <w:pPr>
              <w:pStyle w:val="Compact"/>
            </w:pPr>
            <w:r>
              <w:t>Description</w:t>
            </w:r>
          </w:p>
        </w:tc>
      </w:tr>
      <w:tr w:rsidR="00C87760" w14:paraId="5FF86842" w14:textId="77777777">
        <w:tc>
          <w:tcPr>
            <w:tcW w:w="3168" w:type="dxa"/>
          </w:tcPr>
          <w:p w14:paraId="25EB9B61" w14:textId="77777777" w:rsidR="00C87760" w:rsidRDefault="00000000">
            <w:pPr>
              <w:pStyle w:val="Compact"/>
            </w:pPr>
            <w:proofErr w:type="spellStart"/>
            <w:r>
              <w:rPr>
                <w:rStyle w:val="VerbatimChar"/>
              </w:rPr>
              <w:t>nfp_nowcast</w:t>
            </w:r>
            <w:proofErr w:type="spellEnd"/>
          </w:p>
        </w:tc>
        <w:tc>
          <w:tcPr>
            <w:tcW w:w="4752" w:type="dxa"/>
          </w:tcPr>
          <w:p w14:paraId="5AB4AA5C" w14:textId="77777777" w:rsidR="00C87760" w:rsidRDefault="00000000">
            <w:pPr>
              <w:pStyle w:val="Compact"/>
            </w:pPr>
            <w:r>
              <w:t xml:space="preserve">Point estimate (posterior mean of </w:t>
            </w:r>
            <m:oMath>
              <m:sSub>
                <m:sSubPr>
                  <m:ctrlPr>
                    <w:rPr>
                      <w:rFonts w:ascii="Cambria Math" w:hAnsi="Cambria Math"/>
                    </w:rPr>
                  </m:ctrlPr>
                </m:sSubPr>
                <m:e>
                  <m:r>
                    <w:rPr>
                      <w:rFonts w:ascii="Cambria Math" w:hAnsi="Cambria Math"/>
                    </w:rPr>
                    <m:t>μ</m:t>
                  </m:r>
                </m:e>
                <m:sub>
                  <m:r>
                    <w:rPr>
                      <w:rFonts w:ascii="Cambria Math" w:hAnsi="Cambria Math"/>
                    </w:rPr>
                    <m:t>T</m:t>
                  </m:r>
                </m:sub>
              </m:sSub>
            </m:oMath>
            <w:r>
              <w:t>)</w:t>
            </w:r>
          </w:p>
        </w:tc>
      </w:tr>
      <w:tr w:rsidR="00C87760" w14:paraId="63491604" w14:textId="77777777">
        <w:tc>
          <w:tcPr>
            <w:tcW w:w="3168" w:type="dxa"/>
          </w:tcPr>
          <w:p w14:paraId="57C487D6" w14:textId="77777777" w:rsidR="00C87760" w:rsidRDefault="00000000">
            <w:pPr>
              <w:pStyle w:val="Compact"/>
            </w:pPr>
            <w:proofErr w:type="spellStart"/>
            <w:r>
              <w:rPr>
                <w:rStyle w:val="VerbatimChar"/>
              </w:rPr>
              <w:t>nfp_nowcast_std</w:t>
            </w:r>
            <w:proofErr w:type="spellEnd"/>
          </w:p>
        </w:tc>
        <w:tc>
          <w:tcPr>
            <w:tcW w:w="4752" w:type="dxa"/>
          </w:tcPr>
          <w:p w14:paraId="299C111C" w14:textId="77777777" w:rsidR="00C87760" w:rsidRDefault="00000000">
            <w:pPr>
              <w:pStyle w:val="Compact"/>
            </w:pPr>
            <w:r>
              <w:t xml:space="preserve">Uncertainty (posterior std of </w:t>
            </w:r>
            <m:oMath>
              <m:sSub>
                <m:sSubPr>
                  <m:ctrlPr>
                    <w:rPr>
                      <w:rFonts w:ascii="Cambria Math" w:hAnsi="Cambria Math"/>
                    </w:rPr>
                  </m:ctrlPr>
                </m:sSubPr>
                <m:e>
                  <m:r>
                    <w:rPr>
                      <w:rFonts w:ascii="Cambria Math" w:hAnsi="Cambria Math"/>
                    </w:rPr>
                    <m:t>μ</m:t>
                  </m:r>
                </m:e>
                <m:sub>
                  <m:r>
                    <w:rPr>
                      <w:rFonts w:ascii="Cambria Math" w:hAnsi="Cambria Math"/>
                    </w:rPr>
                    <m:t>T</m:t>
                  </m:r>
                </m:sub>
              </m:sSub>
            </m:oMath>
            <w:r>
              <w:t>)</w:t>
            </w:r>
          </w:p>
        </w:tc>
      </w:tr>
      <w:tr w:rsidR="00C87760" w14:paraId="186861F8" w14:textId="77777777">
        <w:tc>
          <w:tcPr>
            <w:tcW w:w="3168" w:type="dxa"/>
          </w:tcPr>
          <w:p w14:paraId="05DE9629" w14:textId="77777777" w:rsidR="00C87760" w:rsidRDefault="00000000">
            <w:pPr>
              <w:pStyle w:val="Compact"/>
            </w:pPr>
            <w:proofErr w:type="spellStart"/>
            <w:r>
              <w:rPr>
                <w:rStyle w:val="VerbatimChar"/>
              </w:rPr>
              <w:t>nfp_nowcast_ci</w:t>
            </w:r>
            <w:proofErr w:type="spellEnd"/>
          </w:p>
        </w:tc>
        <w:tc>
          <w:tcPr>
            <w:tcW w:w="4752" w:type="dxa"/>
          </w:tcPr>
          <w:p w14:paraId="47335C4A" w14:textId="77777777" w:rsidR="00C87760" w:rsidRDefault="00000000">
            <w:pPr>
              <w:pStyle w:val="Compact"/>
            </w:pPr>
            <w:r>
              <w:t>80% and 95% credible intervals</w:t>
            </w:r>
          </w:p>
        </w:tc>
      </w:tr>
      <w:tr w:rsidR="00C87760" w14:paraId="5800817B" w14:textId="77777777">
        <w:tc>
          <w:tcPr>
            <w:tcW w:w="3168" w:type="dxa"/>
          </w:tcPr>
          <w:p w14:paraId="77832DD3" w14:textId="77777777" w:rsidR="00C87760" w:rsidRDefault="00000000">
            <w:pPr>
              <w:pStyle w:val="Compact"/>
            </w:pPr>
            <w:proofErr w:type="spellStart"/>
            <w:r>
              <w:rPr>
                <w:rStyle w:val="VerbatimChar"/>
              </w:rPr>
              <w:t>g_cont</w:t>
            </w:r>
            <w:proofErr w:type="spellEnd"/>
          </w:p>
        </w:tc>
        <w:tc>
          <w:tcPr>
            <w:tcW w:w="4752" w:type="dxa"/>
          </w:tcPr>
          <w:p w14:paraId="7E81E378" w14:textId="77777777" w:rsidR="00C87760" w:rsidRDefault="00000000">
            <w:pPr>
              <w:pStyle w:val="Compact"/>
            </w:pPr>
            <w:r>
              <w:t>Continuing-units growth trajectory</w:t>
            </w:r>
          </w:p>
        </w:tc>
      </w:tr>
      <w:tr w:rsidR="00C87760" w14:paraId="0AB6AB39" w14:textId="77777777">
        <w:tc>
          <w:tcPr>
            <w:tcW w:w="3168" w:type="dxa"/>
          </w:tcPr>
          <w:p w14:paraId="26743483" w14:textId="77777777" w:rsidR="00C87760" w:rsidRDefault="00000000">
            <w:pPr>
              <w:pStyle w:val="Compact"/>
            </w:pPr>
            <w:r>
              <w:rPr>
                <w:rStyle w:val="VerbatimChar"/>
              </w:rPr>
              <w:t>bd</w:t>
            </w:r>
          </w:p>
        </w:tc>
        <w:tc>
          <w:tcPr>
            <w:tcW w:w="4752" w:type="dxa"/>
          </w:tcPr>
          <w:p w14:paraId="530F3D7C" w14:textId="77777777" w:rsidR="00C87760" w:rsidRDefault="00000000">
            <w:pPr>
              <w:pStyle w:val="Compact"/>
            </w:pPr>
            <w:r>
              <w:t>Structural BD trajectory</w:t>
            </w:r>
          </w:p>
        </w:tc>
      </w:tr>
      <w:tr w:rsidR="00C87760" w14:paraId="59695F59" w14:textId="77777777">
        <w:tc>
          <w:tcPr>
            <w:tcW w:w="3168" w:type="dxa"/>
          </w:tcPr>
          <w:p w14:paraId="1CD34FC6" w14:textId="77777777" w:rsidR="00C87760" w:rsidRDefault="00000000">
            <w:pPr>
              <w:pStyle w:val="Compact"/>
            </w:pPr>
            <w:r>
              <w:rPr>
                <w:rStyle w:val="VerbatimChar"/>
              </w:rPr>
              <w:t>seasonal</w:t>
            </w:r>
          </w:p>
        </w:tc>
        <w:tc>
          <w:tcPr>
            <w:tcW w:w="4752" w:type="dxa"/>
          </w:tcPr>
          <w:p w14:paraId="71A81CE5" w14:textId="77777777" w:rsidR="00C87760" w:rsidRDefault="00000000">
            <w:pPr>
              <w:pStyle w:val="Compact"/>
            </w:pPr>
            <w:r>
              <w:t>Fourier seasonal component</w:t>
            </w:r>
          </w:p>
        </w:tc>
      </w:tr>
      <w:tr w:rsidR="00C87760" w14:paraId="6AE8F543" w14:textId="77777777">
        <w:tc>
          <w:tcPr>
            <w:tcW w:w="3168" w:type="dxa"/>
          </w:tcPr>
          <w:p w14:paraId="3A7BB139" w14:textId="77777777" w:rsidR="00C87760" w:rsidRDefault="00000000">
            <w:pPr>
              <w:pStyle w:val="Compact"/>
            </w:pPr>
            <w:proofErr w:type="spellStart"/>
            <w:r>
              <w:rPr>
                <w:rStyle w:val="VerbatimChar"/>
              </w:rPr>
              <w:t>provider_signal_quality</w:t>
            </w:r>
            <w:proofErr w:type="spellEnd"/>
          </w:p>
        </w:tc>
        <w:tc>
          <w:tcPr>
            <w:tcW w:w="4752" w:type="dxa"/>
          </w:tcPr>
          <w:p w14:paraId="364AB405" w14:textId="77777777" w:rsidR="00C87760" w:rsidRDefault="00000000">
            <w:pPr>
              <w:pStyle w:val="Compact"/>
            </w:pPr>
            <w:r>
              <w:t xml:space="preserve">Posterior mean of </w:t>
            </w:r>
            <m:oMath>
              <m:sSub>
                <m:sSubPr>
                  <m:ctrlPr>
                    <w:rPr>
                      <w:rFonts w:ascii="Cambria Math" w:hAnsi="Cambria Math"/>
                    </w:rPr>
                  </m:ctrlPr>
                </m:sSubPr>
                <m:e>
                  <m:r>
                    <w:rPr>
                      <w:rFonts w:ascii="Cambria Math" w:hAnsi="Cambria Math"/>
                    </w:rPr>
                    <m:t>λ</m:t>
                  </m:r>
                </m:e>
                <m:sub>
                  <m:r>
                    <w:rPr>
                      <w:rFonts w:ascii="Cambria Math" w:hAnsi="Cambria Math"/>
                    </w:rPr>
                    <m:t>p</m:t>
                  </m:r>
                </m:sub>
              </m:sSub>
            </m:oMath>
            <w:r>
              <w:t xml:space="preserve"> for each provider</w:t>
            </w:r>
          </w:p>
        </w:tc>
      </w:tr>
      <w:tr w:rsidR="00C87760" w14:paraId="72FA592B" w14:textId="77777777">
        <w:tc>
          <w:tcPr>
            <w:tcW w:w="3168" w:type="dxa"/>
          </w:tcPr>
          <w:p w14:paraId="0615F631" w14:textId="77777777" w:rsidR="00C87760" w:rsidRDefault="00000000">
            <w:pPr>
              <w:pStyle w:val="Compact"/>
            </w:pPr>
            <w:proofErr w:type="spellStart"/>
            <w:r>
              <w:rPr>
                <w:rStyle w:val="VerbatimChar"/>
              </w:rPr>
              <w:lastRenderedPageBreak/>
              <w:t>provider_bias</w:t>
            </w:r>
            <w:proofErr w:type="spellEnd"/>
          </w:p>
        </w:tc>
        <w:tc>
          <w:tcPr>
            <w:tcW w:w="4752" w:type="dxa"/>
          </w:tcPr>
          <w:p w14:paraId="13926A07" w14:textId="77777777" w:rsidR="00C87760" w:rsidRDefault="00000000">
            <w:pPr>
              <w:pStyle w:val="Compact"/>
            </w:pPr>
            <w:r>
              <w:t xml:space="preserve">Posterior mean of </w:t>
            </w:r>
            <m:oMath>
              <m:sSub>
                <m:sSubPr>
                  <m:ctrlPr>
                    <w:rPr>
                      <w:rFonts w:ascii="Cambria Math" w:hAnsi="Cambria Math"/>
                    </w:rPr>
                  </m:ctrlPr>
                </m:sSubPr>
                <m:e>
                  <m:r>
                    <w:rPr>
                      <w:rFonts w:ascii="Cambria Math" w:hAnsi="Cambria Math"/>
                    </w:rPr>
                    <m:t>α</m:t>
                  </m:r>
                </m:e>
                <m:sub>
                  <m:r>
                    <w:rPr>
                      <w:rFonts w:ascii="Cambria Math" w:hAnsi="Cambria Math"/>
                    </w:rPr>
                    <m:t>p</m:t>
                  </m:r>
                </m:sub>
              </m:sSub>
            </m:oMath>
            <w:r>
              <w:t xml:space="preserve"> for each provider</w:t>
            </w:r>
          </w:p>
        </w:tc>
      </w:tr>
      <w:tr w:rsidR="00C87760" w14:paraId="39E31C39" w14:textId="77777777">
        <w:tc>
          <w:tcPr>
            <w:tcW w:w="3168" w:type="dxa"/>
          </w:tcPr>
          <w:p w14:paraId="093BC388" w14:textId="77777777" w:rsidR="00C87760" w:rsidRDefault="00000000">
            <w:pPr>
              <w:pStyle w:val="Compact"/>
            </w:pPr>
            <w:proofErr w:type="spellStart"/>
            <w:r>
              <w:rPr>
                <w:rStyle w:val="VerbatimChar"/>
              </w:rPr>
              <w:t>provider_weights</w:t>
            </w:r>
            <w:proofErr w:type="spellEnd"/>
          </w:p>
        </w:tc>
        <w:tc>
          <w:tcPr>
            <w:tcW w:w="4752" w:type="dxa"/>
          </w:tcPr>
          <w:p w14:paraId="54C8E417" w14:textId="77777777" w:rsidR="00C87760" w:rsidRDefault="00000000">
            <w:pPr>
              <w:pStyle w:val="Compact"/>
            </w:pPr>
            <w:r>
              <w:t>Effective weight (precision share) of each provider in nowcast</w:t>
            </w:r>
          </w:p>
        </w:tc>
      </w:tr>
      <w:tr w:rsidR="00C87760" w14:paraId="1B2D51D5" w14:textId="77777777">
        <w:tc>
          <w:tcPr>
            <w:tcW w:w="3168" w:type="dxa"/>
          </w:tcPr>
          <w:p w14:paraId="58BE96B0" w14:textId="77777777" w:rsidR="00C87760" w:rsidRDefault="00000000">
            <w:pPr>
              <w:pStyle w:val="Compact"/>
            </w:pPr>
            <w:proofErr w:type="spellStart"/>
            <w:r>
              <w:rPr>
                <w:rStyle w:val="VerbatimChar"/>
              </w:rPr>
              <w:t>precision_budget</w:t>
            </w:r>
            <w:proofErr w:type="spellEnd"/>
          </w:p>
        </w:tc>
        <w:tc>
          <w:tcPr>
            <w:tcW w:w="4752" w:type="dxa"/>
          </w:tcPr>
          <w:p w14:paraId="22A7D1EE" w14:textId="77777777" w:rsidR="00C87760" w:rsidRDefault="00000000">
            <w:pPr>
              <w:pStyle w:val="Compact"/>
            </w:pPr>
            <w:r>
              <w:t>Share of total precision from QCEW, CES (by vintage), each provider</w:t>
            </w:r>
          </w:p>
        </w:tc>
      </w:tr>
    </w:tbl>
    <w:p w14:paraId="34A91EF6" w14:textId="77777777" w:rsidR="00C87760" w:rsidRDefault="00000000">
      <w:pPr>
        <w:pStyle w:val="Heading3"/>
      </w:pPr>
      <w:bookmarkStart w:id="35" w:name="diagnostics"/>
      <w:bookmarkEnd w:id="34"/>
      <w:r>
        <w:t>Diagnostics</w:t>
      </w:r>
    </w:p>
    <w:p w14:paraId="5715A140" w14:textId="77777777" w:rsidR="00C87760" w:rsidRDefault="00000000">
      <w:pPr>
        <w:pStyle w:val="Compact"/>
        <w:numPr>
          <w:ilvl w:val="0"/>
          <w:numId w:val="7"/>
        </w:numPr>
      </w:pPr>
      <w:r>
        <w:t>Standardized residuals by source (QCEW, CES SA/NSA, each provider)</w:t>
      </w:r>
    </w:p>
    <w:p w14:paraId="73D804F0" w14:textId="77777777" w:rsidR="00C87760" w:rsidRDefault="00000000">
      <w:pPr>
        <w:pStyle w:val="Compact"/>
        <w:numPr>
          <w:ilvl w:val="0"/>
          <w:numId w:val="7"/>
        </w:numPr>
      </w:pPr>
      <w:r>
        <w:t>Posterior predictive checks: test statistics (skewness, lag-1 ACF) against replicated data</w:t>
      </w:r>
    </w:p>
    <w:p w14:paraId="41427295" w14:textId="77777777" w:rsidR="00C87760" w:rsidRDefault="00000000">
      <w:pPr>
        <w:pStyle w:val="Compact"/>
        <w:numPr>
          <w:ilvl w:val="0"/>
          <w:numId w:val="7"/>
        </w:numPr>
      </w:pPr>
      <w:r>
        <w:t xml:space="preserve">LOO-CV with Pareto </w:t>
      </w:r>
      <m:oMath>
        <m:acc>
          <m:accPr>
            <m:ctrlPr>
              <w:rPr>
                <w:rFonts w:ascii="Cambria Math" w:hAnsi="Cambria Math"/>
              </w:rPr>
            </m:ctrlPr>
          </m:accPr>
          <m:e>
            <m:r>
              <w:rPr>
                <w:rFonts w:ascii="Cambria Math" w:hAnsi="Cambria Math"/>
              </w:rPr>
              <m:t>k</m:t>
            </m:r>
          </m:e>
        </m:acc>
      </m:oMath>
      <w:r>
        <w:t xml:space="preserve"> diagnostics flagging influential observations</w:t>
      </w:r>
    </w:p>
    <w:p w14:paraId="2D32A0A9" w14:textId="77777777" w:rsidR="00C87760" w:rsidRDefault="00000000">
      <w:pPr>
        <w:pStyle w:val="Compact"/>
        <w:numPr>
          <w:ilvl w:val="0"/>
          <w:numId w:val="7"/>
        </w:numPr>
      </w:pPr>
      <w:r>
        <w:t xml:space="preserve">QCEW sigma sensitivity: parameter stability across </w:t>
      </w:r>
      <m:oMath>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noise scales</w:t>
      </w:r>
    </w:p>
    <w:p w14:paraId="0A4A47C4" w14:textId="77777777" w:rsidR="00C87760" w:rsidRDefault="00000000">
      <w:pPr>
        <w:pStyle w:val="Compact"/>
        <w:numPr>
          <w:ilvl w:val="0"/>
          <w:numId w:val="7"/>
        </w:numPr>
      </w:pPr>
      <w:r>
        <w:t>Precision budget decomposition across noise scale configurations</w:t>
      </w:r>
    </w:p>
    <w:p w14:paraId="5EAFF1E8" w14:textId="77777777" w:rsidR="00C87760" w:rsidRDefault="00000000">
      <w:pPr>
        <w:pStyle w:val="Compact"/>
        <w:numPr>
          <w:ilvl w:val="0"/>
          <w:numId w:val="7"/>
        </w:numPr>
      </w:pPr>
      <w:r>
        <w:t xml:space="preserve">Expanding-window out-of-sample </w:t>
      </w:r>
      <w:proofErr w:type="spellStart"/>
      <w:r>
        <w:t>backtest</w:t>
      </w:r>
      <w:proofErr w:type="spellEnd"/>
      <w:r>
        <w:t xml:space="preserve"> against NFP releases</w:t>
      </w:r>
    </w:p>
    <w:p w14:paraId="1EE04AF8" w14:textId="77777777" w:rsidR="00C87760" w:rsidRDefault="00000000">
      <w:pPr>
        <w:pStyle w:val="Compact"/>
        <w:numPr>
          <w:ilvl w:val="0"/>
          <w:numId w:val="7"/>
        </w:numPr>
      </w:pPr>
      <w:r>
        <w:t>Representativeness correction impact: comparison of provider residual dispersion with and without QCEW-weighted compositing, stratified by periods of high vs. low sectoral growth dispersion</w:t>
      </w:r>
    </w:p>
    <w:p w14:paraId="1DA8BEF9" w14:textId="77777777" w:rsidR="00C87760" w:rsidRDefault="00000000">
      <w:pPr>
        <w:pStyle w:val="Heading3"/>
      </w:pPr>
      <w:bookmarkStart w:id="36" w:name="validation-metrics"/>
      <w:bookmarkEnd w:id="35"/>
      <w:r>
        <w:t>Validation Metrics</w:t>
      </w:r>
    </w:p>
    <w:p w14:paraId="6DB316BE" w14:textId="77777777" w:rsidR="00C87760" w:rsidRDefault="00000000">
      <w:pPr>
        <w:pStyle w:val="Compact"/>
        <w:numPr>
          <w:ilvl w:val="0"/>
          <w:numId w:val="8"/>
        </w:numPr>
      </w:pPr>
      <w:r>
        <w:t>Out-of-sample RMSE against NFP releases (by CES vintage: first, second, final, benchmarked)</w:t>
      </w:r>
    </w:p>
    <w:p w14:paraId="0A7C7163" w14:textId="77777777" w:rsidR="00C87760" w:rsidRDefault="00000000">
      <w:pPr>
        <w:pStyle w:val="Compact"/>
        <w:numPr>
          <w:ilvl w:val="0"/>
          <w:numId w:val="8"/>
        </w:numPr>
      </w:pPr>
      <w:r>
        <w:t>Coverage of credible intervals (80% and 95%)</w:t>
      </w:r>
    </w:p>
    <w:p w14:paraId="631687E7" w14:textId="77777777" w:rsidR="00C87760" w:rsidRDefault="00000000">
      <w:pPr>
        <w:pStyle w:val="Compact"/>
        <w:numPr>
          <w:ilvl w:val="0"/>
          <w:numId w:val="8"/>
        </w:numPr>
      </w:pPr>
      <w:r>
        <w:t>Comparison to naive forecast (random walk on NFP)</w:t>
      </w:r>
    </w:p>
    <w:p w14:paraId="726897CF" w14:textId="77777777" w:rsidR="00C87760" w:rsidRDefault="00000000">
      <w:pPr>
        <w:pStyle w:val="Compact"/>
        <w:numPr>
          <w:ilvl w:val="0"/>
          <w:numId w:val="8"/>
        </w:numPr>
      </w:pPr>
      <w:r>
        <w:t>Comparison to post-2026 BLS NBDM (with WLR-regression improvement)</w:t>
      </w:r>
    </w:p>
    <w:p w14:paraId="3194D9CF" w14:textId="77777777" w:rsidR="00C87760" w:rsidRDefault="00000000">
      <w:pPr>
        <w:pStyle w:val="Compact"/>
        <w:numPr>
          <w:ilvl w:val="0"/>
          <w:numId w:val="8"/>
        </w:numPr>
      </w:pPr>
      <w:r>
        <w:t>Provider-specific signal quality rankings</w:t>
      </w:r>
    </w:p>
    <w:p w14:paraId="3674AC8C" w14:textId="77777777" w:rsidR="00C87760" w:rsidRDefault="00000000">
      <w:pPr>
        <w:pStyle w:val="Compact"/>
        <w:numPr>
          <w:ilvl w:val="0"/>
          <w:numId w:val="8"/>
        </w:numPr>
      </w:pPr>
      <w:r>
        <w:t>BD component accuracy against annual benchmark revisions</w:t>
      </w:r>
    </w:p>
    <w:p w14:paraId="350C423D" w14:textId="77777777" w:rsidR="00C87760" w:rsidRDefault="00000000">
      <w:pPr>
        <w:pStyle w:val="Heading3"/>
      </w:pPr>
      <w:bookmarkStart w:id="37" w:name="limitations"/>
      <w:bookmarkEnd w:id="36"/>
      <w:r>
        <w:t>Limitations</w:t>
      </w:r>
    </w:p>
    <w:p w14:paraId="3255EDA9" w14:textId="77777777" w:rsidR="00C87760" w:rsidRDefault="00000000">
      <w:pPr>
        <w:pStyle w:val="Compact"/>
        <w:numPr>
          <w:ilvl w:val="0"/>
          <w:numId w:val="9"/>
        </w:numPr>
      </w:pPr>
      <w:r>
        <w:t>No geographic or industry decomposition</w:t>
      </w:r>
    </w:p>
    <w:p w14:paraId="258B3B85" w14:textId="77777777" w:rsidR="00C87760" w:rsidRDefault="00000000">
      <w:pPr>
        <w:pStyle w:val="Compact"/>
        <w:numPr>
          <w:ilvl w:val="0"/>
          <w:numId w:val="9"/>
        </w:numPr>
      </w:pPr>
      <w:r>
        <w:t>Cannot explain drivers of national forecast</w:t>
      </w:r>
    </w:p>
    <w:p w14:paraId="69772FF6" w14:textId="77777777" w:rsidR="00C87760" w:rsidRDefault="00000000">
      <w:pPr>
        <w:pStyle w:val="Compact"/>
        <w:numPr>
          <w:ilvl w:val="0"/>
          <w:numId w:val="9"/>
        </w:numPr>
      </w:pPr>
      <w:r>
        <w:t>Static provider bias (no drift accommodation)</w:t>
      </w:r>
    </w:p>
    <w:p w14:paraId="1C77D79F" w14:textId="77777777" w:rsidR="00C87760" w:rsidRDefault="00000000">
      <w:pPr>
        <w:pStyle w:val="Compact"/>
        <w:numPr>
          <w:ilvl w:val="0"/>
          <w:numId w:val="9"/>
        </w:numPr>
      </w:pPr>
      <w:r>
        <w:t xml:space="preserve">Representativeness correction removes first-order composition </w:t>
      </w:r>
      <w:proofErr w:type="gramStart"/>
      <w:r>
        <w:t>bias</w:t>
      </w:r>
      <w:proofErr w:type="gramEnd"/>
      <w:r>
        <w:t xml:space="preserve"> but within-cell heterogeneity (size class skew, sub-industry concentration) can still create residual provider-specific deviations that vary with the business cycle</w:t>
      </w:r>
    </w:p>
    <w:p w14:paraId="3C97ADC7" w14:textId="77777777" w:rsidR="00C87760" w:rsidRDefault="00000000">
      <w:pPr>
        <w:pStyle w:val="Heading1"/>
      </w:pPr>
      <w:bookmarkStart w:id="38" w:name="X440dca1ff2d4f176e2a520951e134966f92bc66"/>
      <w:bookmarkEnd w:id="6"/>
      <w:bookmarkEnd w:id="8"/>
      <w:bookmarkEnd w:id="37"/>
      <w:r>
        <w:lastRenderedPageBreak/>
        <w:t xml:space="preserve">Release 2: Industry Decomposition (Narrative Model — </w:t>
      </w:r>
      <w:proofErr w:type="spellStart"/>
      <w:r>
        <w:t>Supersector</w:t>
      </w:r>
      <w:proofErr w:type="spellEnd"/>
      <w:r>
        <w:t>)</w:t>
      </w:r>
    </w:p>
    <w:p w14:paraId="21F27BEB" w14:textId="77777777" w:rsidR="00C87760" w:rsidRDefault="00000000">
      <w:pPr>
        <w:pStyle w:val="Heading2"/>
      </w:pPr>
      <w:bookmarkStart w:id="39" w:name="objective-1"/>
      <w:r>
        <w:t>Objective</w:t>
      </w:r>
    </w:p>
    <w:p w14:paraId="6E88AAEE" w14:textId="77777777" w:rsidR="00C87760" w:rsidRDefault="00000000">
      <w:pPr>
        <w:pStyle w:val="FirstParagraph"/>
      </w:pPr>
      <w:r>
        <w:t xml:space="preserve">Decompose the national estimate into </w:t>
      </w:r>
      <w:proofErr w:type="spellStart"/>
      <w:r>
        <w:t>supersector</w:t>
      </w:r>
      <w:proofErr w:type="spellEnd"/>
      <w:r>
        <w:t xml:space="preserve"> components, producing an industry narrative of where national employment growth is coming from. Because CES publishes </w:t>
      </w:r>
      <w:proofErr w:type="spellStart"/>
      <w:r>
        <w:t>supersector</w:t>
      </w:r>
      <w:proofErr w:type="spellEnd"/>
      <w:r>
        <w:t xml:space="preserve"> detail on the same day as the national total, the industry narrative is </w:t>
      </w:r>
      <w:r w:rsidRPr="00C86A6D">
        <w:t xml:space="preserve">anchored to official data from Regime B onward — </w:t>
      </w:r>
      <w:r>
        <w:t>no waiting for state CES.</w:t>
      </w:r>
    </w:p>
    <w:p w14:paraId="0C124E05" w14:textId="77777777" w:rsidR="00C87760" w:rsidRDefault="00000000">
      <w:pPr>
        <w:pStyle w:val="Heading2"/>
      </w:pPr>
      <w:bookmarkStart w:id="40" w:name="two-models"/>
      <w:bookmarkEnd w:id="39"/>
      <w:r>
        <w:t>Two Models</w:t>
      </w:r>
    </w:p>
    <w:p w14:paraId="3547DC53" w14:textId="77777777" w:rsidR="00C87760" w:rsidRDefault="00000000">
      <w:pPr>
        <w:pStyle w:val="FirstParagraph"/>
      </w:pPr>
      <w:r>
        <w:t>Release 2 introduces the dual-model architecture that persists through all subsequent releases:</w:t>
      </w:r>
    </w:p>
    <w:p w14:paraId="20DC3312" w14:textId="77777777" w:rsidR="00C87760" w:rsidRDefault="00000000">
      <w:pPr>
        <w:pStyle w:val="Compact"/>
        <w:numPr>
          <w:ilvl w:val="0"/>
          <w:numId w:val="10"/>
        </w:numPr>
      </w:pPr>
      <w:r>
        <w:rPr>
          <w:b/>
          <w:bCs/>
        </w:rPr>
        <w:t>National Accuracy Model</w:t>
      </w:r>
      <w:r>
        <w:t xml:space="preserve"> (Release 1, unchanged). Produces the national nowcast independently.</w:t>
      </w:r>
    </w:p>
    <w:p w14:paraId="3AA007FD" w14:textId="77777777" w:rsidR="00C87760" w:rsidRDefault="00000000">
      <w:pPr>
        <w:pStyle w:val="Compact"/>
        <w:numPr>
          <w:ilvl w:val="0"/>
          <w:numId w:val="10"/>
        </w:numPr>
      </w:pPr>
      <w:r>
        <w:rPr>
          <w:b/>
          <w:bCs/>
        </w:rPr>
        <w:t>Industry Narrative Model</w:t>
      </w:r>
      <w:r>
        <w:t xml:space="preserve"> (this release). Produces </w:t>
      </w:r>
      <w:proofErr w:type="spellStart"/>
      <w:r>
        <w:t>supersector</w:t>
      </w:r>
      <w:proofErr w:type="spellEnd"/>
      <w:r>
        <w:t xml:space="preserve"> estimates independently, then reconciles to national via </w:t>
      </w:r>
      <w:proofErr w:type="spellStart"/>
      <w:r>
        <w:t>MinT</w:t>
      </w:r>
      <w:proofErr w:type="spellEnd"/>
      <w:r>
        <w:t>.</w:t>
      </w:r>
    </w:p>
    <w:p w14:paraId="285F5592" w14:textId="77777777" w:rsidR="00C87760" w:rsidRDefault="00000000">
      <w:pPr>
        <w:pStyle w:val="FirstParagraph"/>
      </w:pPr>
      <w:r>
        <w:t xml:space="preserve">The narrative model never degrades the national model. </w:t>
      </w:r>
      <w:proofErr w:type="spellStart"/>
      <w:r>
        <w:t>MinT</w:t>
      </w:r>
      <w:proofErr w:type="spellEnd"/>
      <w:r>
        <w:t xml:space="preserve"> reconciliation guarantees that the reconciled national estimate is at least as accurate as the standalone national estimate (under correct specification of the error covariance matrix </w:t>
      </w:r>
      <m:oMath>
        <m:r>
          <m:rPr>
            <m:sty m:val="b"/>
          </m:rPr>
          <w:rPr>
            <w:rFonts w:ascii="Cambria Math" w:hAnsi="Cambria Math"/>
          </w:rPr>
          <m:t>W</m:t>
        </m:r>
      </m:oMath>
      <w:r>
        <w:t>). The national model always exists as a standalone fallback.</w:t>
      </w:r>
    </w:p>
    <w:p w14:paraId="6C6281A7" w14:textId="77777777" w:rsidR="00C87760" w:rsidRDefault="00000000">
      <w:pPr>
        <w:pStyle w:val="Heading2"/>
      </w:pPr>
      <w:bookmarkStart w:id="41" w:name="incremental-changes-from-release-1"/>
      <w:bookmarkEnd w:id="40"/>
      <w:r>
        <w:t>Incremental Changes from Release 1</w:t>
      </w:r>
    </w:p>
    <w:p w14:paraId="1A14C5AD" w14:textId="77777777" w:rsidR="00C87760" w:rsidRDefault="00000000">
      <w:pPr>
        <w:pStyle w:val="Compact"/>
        <w:numPr>
          <w:ilvl w:val="0"/>
          <w:numId w:val="11"/>
        </w:numPr>
      </w:pPr>
      <w:r>
        <w:t xml:space="preserve">Decompose national latent state into </w:t>
      </w:r>
      <w:proofErr w:type="spellStart"/>
      <w:r>
        <w:t>supersector</w:t>
      </w:r>
      <w:proofErr w:type="spellEnd"/>
      <w:r>
        <w:t xml:space="preserve"> cells</w:t>
      </w:r>
    </w:p>
    <w:p w14:paraId="29F047CE" w14:textId="77777777" w:rsidR="00C87760" w:rsidRDefault="00000000">
      <w:pPr>
        <w:pStyle w:val="Compact"/>
        <w:numPr>
          <w:ilvl w:val="0"/>
          <w:numId w:val="11"/>
        </w:numPr>
      </w:pPr>
      <w:r>
        <w:t xml:space="preserve">Each </w:t>
      </w:r>
      <w:proofErr w:type="spellStart"/>
      <w:r>
        <w:t>supersector</w:t>
      </w:r>
      <w:proofErr w:type="spellEnd"/>
      <w:r>
        <w:t xml:space="preserve"> has its own latent state, BD intensity, and seasonal pattern</w:t>
      </w:r>
    </w:p>
    <w:p w14:paraId="01FF6808" w14:textId="77777777" w:rsidR="00C87760" w:rsidRDefault="00000000">
      <w:pPr>
        <w:pStyle w:val="Compact"/>
        <w:numPr>
          <w:ilvl w:val="0"/>
          <w:numId w:val="11"/>
        </w:numPr>
      </w:pPr>
      <w:r>
        <w:t xml:space="preserve">Dual estimation: independent national model + independent </w:t>
      </w:r>
      <w:proofErr w:type="spellStart"/>
      <w:r>
        <w:t>supersector</w:t>
      </w:r>
      <w:proofErr w:type="spellEnd"/>
      <w:r>
        <w:t xml:space="preserve"> models</w:t>
      </w:r>
    </w:p>
    <w:p w14:paraId="3E46A53E" w14:textId="77777777" w:rsidR="00C87760" w:rsidRDefault="00000000">
      <w:pPr>
        <w:pStyle w:val="Compact"/>
        <w:numPr>
          <w:ilvl w:val="0"/>
          <w:numId w:val="11"/>
        </w:numPr>
      </w:pPr>
      <w:proofErr w:type="spellStart"/>
      <w:r>
        <w:t>MinT</w:t>
      </w:r>
      <w:proofErr w:type="spellEnd"/>
      <w:r>
        <w:t xml:space="preserve"> reconciliation produces coherent </w:t>
      </w:r>
      <w:proofErr w:type="spellStart"/>
      <w:r>
        <w:t>supersector</w:t>
      </w:r>
      <w:proofErr w:type="spellEnd"/>
      <w:r>
        <w:t xml:space="preserve"> estimates that sum to national</w:t>
      </w:r>
    </w:p>
    <w:p w14:paraId="373E070E" w14:textId="77777777" w:rsidR="00C87760" w:rsidRDefault="00000000">
      <w:pPr>
        <w:pStyle w:val="Compact"/>
        <w:numPr>
          <w:ilvl w:val="0"/>
          <w:numId w:val="11"/>
        </w:numPr>
      </w:pPr>
      <w:r>
        <w:t>Discrepancy model absorbs structural gap between sum-of-</w:t>
      </w:r>
      <w:proofErr w:type="spellStart"/>
      <w:r>
        <w:t>supersectors</w:t>
      </w:r>
      <w:proofErr w:type="spellEnd"/>
      <w:r>
        <w:t xml:space="preserve"> and national</w:t>
      </w:r>
    </w:p>
    <w:p w14:paraId="61A17229" w14:textId="77777777" w:rsidR="00C87760" w:rsidRDefault="00000000">
      <w:pPr>
        <w:pStyle w:val="Compact"/>
        <w:numPr>
          <w:ilvl w:val="0"/>
          <w:numId w:val="11"/>
        </w:numPr>
      </w:pPr>
      <w:r>
        <w:t>Hierarchical Fourier seasonal with shared hyperparameters</w:t>
      </w:r>
    </w:p>
    <w:p w14:paraId="09A57314" w14:textId="77777777" w:rsidR="00C87760" w:rsidRDefault="00000000">
      <w:pPr>
        <w:pStyle w:val="Compact"/>
        <w:numPr>
          <w:ilvl w:val="0"/>
          <w:numId w:val="11"/>
        </w:numPr>
      </w:pPr>
      <w:r>
        <w:t xml:space="preserve">CES </w:t>
      </w:r>
      <w:proofErr w:type="spellStart"/>
      <w:r>
        <w:t>supersector</w:t>
      </w:r>
      <w:proofErr w:type="spellEnd"/>
      <w:r>
        <w:t xml:space="preserve"> measurement equations with industry-level vintage noise</w:t>
      </w:r>
    </w:p>
    <w:p w14:paraId="2B3C7420" w14:textId="77777777" w:rsidR="00C87760" w:rsidRDefault="00000000">
      <w:pPr>
        <w:pStyle w:val="Heading2"/>
      </w:pPr>
      <w:bookmarkStart w:id="42" w:name="system-description-1"/>
      <w:bookmarkEnd w:id="41"/>
      <w:r>
        <w:t>System Description</w:t>
      </w:r>
    </w:p>
    <w:p w14:paraId="493FA965" w14:textId="77777777" w:rsidR="00C87760" w:rsidRDefault="00000000">
      <w:pPr>
        <w:pStyle w:val="FirstParagraph"/>
      </w:pPr>
      <w:r>
        <w:t xml:space="preserve">Each </w:t>
      </w:r>
      <w:proofErr w:type="spellStart"/>
      <w:r>
        <w:t>supersector</w:t>
      </w:r>
      <w:proofErr w:type="spellEnd"/>
      <w:r>
        <w:t xml:space="preserv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has its own latent continuing-units growth, BD contribution, and seasonal pattern. The system runs the national model (Release 1) and independent supersector models, then reconciles via MinT.</w:t>
      </w:r>
    </w:p>
    <w:p w14:paraId="2A526341" w14:textId="77777777" w:rsidR="00C87760" w:rsidRDefault="00000000">
      <w:pPr>
        <w:pStyle w:val="BodyText"/>
      </w:pPr>
      <w:r>
        <w:t xml:space="preserve">CES publishes </w:t>
      </w:r>
      <w:proofErr w:type="spellStart"/>
      <w:r>
        <w:t>supersector</w:t>
      </w:r>
      <w:proofErr w:type="spellEnd"/>
      <w:r>
        <w:t xml:space="preserve"> estimates on the same first Friday as the national total. This means the industry decomposition enters Regime B simultaneously with the national number — there is no timing lag. The industry narrative is available immediately.</w:t>
      </w:r>
    </w:p>
    <w:p w14:paraId="35B68D1B" w14:textId="77777777" w:rsidR="00C87760" w:rsidRDefault="00000000">
      <w:pPr>
        <w:pStyle w:val="Heading3"/>
      </w:pPr>
      <w:bookmarkStart w:id="43" w:name="additional-data-inputs"/>
      <w:r>
        <w:lastRenderedPageBreak/>
        <w:t>Additional Data Inputs</w:t>
      </w:r>
    </w:p>
    <w:tbl>
      <w:tblPr>
        <w:tblStyle w:val="Table"/>
        <w:tblW w:w="5000" w:type="pct"/>
        <w:tblLayout w:type="fixed"/>
        <w:tblLook w:val="0020" w:firstRow="1" w:lastRow="0" w:firstColumn="0" w:lastColumn="0" w:noHBand="0" w:noVBand="0"/>
      </w:tblPr>
      <w:tblGrid>
        <w:gridCol w:w="2242"/>
        <w:gridCol w:w="2241"/>
        <w:gridCol w:w="2241"/>
        <w:gridCol w:w="2636"/>
      </w:tblGrid>
      <w:tr w:rsidR="00C87760" w14:paraId="57A25214"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1896" w:type="dxa"/>
          </w:tcPr>
          <w:p w14:paraId="37500C24" w14:textId="77777777" w:rsidR="00C87760" w:rsidRDefault="00000000">
            <w:pPr>
              <w:pStyle w:val="Compact"/>
            </w:pPr>
            <w:r>
              <w:t>Source</w:t>
            </w:r>
          </w:p>
        </w:tc>
        <w:tc>
          <w:tcPr>
            <w:tcW w:w="1896" w:type="dxa"/>
          </w:tcPr>
          <w:p w14:paraId="14EE97EC" w14:textId="77777777" w:rsidR="00C87760" w:rsidRDefault="00000000">
            <w:pPr>
              <w:pStyle w:val="Compact"/>
            </w:pPr>
            <w:r>
              <w:t>Frequency</w:t>
            </w:r>
          </w:p>
        </w:tc>
        <w:tc>
          <w:tcPr>
            <w:tcW w:w="1896" w:type="dxa"/>
          </w:tcPr>
          <w:p w14:paraId="20470038" w14:textId="77777777" w:rsidR="00C87760" w:rsidRDefault="00000000">
            <w:pPr>
              <w:pStyle w:val="Compact"/>
            </w:pPr>
            <w:r>
              <w:t>Lag</w:t>
            </w:r>
          </w:p>
        </w:tc>
        <w:tc>
          <w:tcPr>
            <w:tcW w:w="2230" w:type="dxa"/>
          </w:tcPr>
          <w:p w14:paraId="5EE022C2" w14:textId="77777777" w:rsidR="00C87760" w:rsidRDefault="00000000">
            <w:pPr>
              <w:pStyle w:val="Compact"/>
            </w:pPr>
            <w:r>
              <w:t>Description</w:t>
            </w:r>
          </w:p>
        </w:tc>
      </w:tr>
      <w:tr w:rsidR="00C87760" w14:paraId="6CFF924D" w14:textId="77777777">
        <w:tc>
          <w:tcPr>
            <w:tcW w:w="1896" w:type="dxa"/>
          </w:tcPr>
          <w:p w14:paraId="0933AECC" w14:textId="77777777" w:rsidR="00C87760" w:rsidRDefault="00000000">
            <w:pPr>
              <w:pStyle w:val="Compact"/>
            </w:pPr>
            <w:r>
              <w:t xml:space="preserve">CES National by </w:t>
            </w:r>
            <w:proofErr w:type="spellStart"/>
            <w:r>
              <w:t>Supersector</w:t>
            </w:r>
            <w:proofErr w:type="spellEnd"/>
            <w:r>
              <w:t xml:space="preserve"> (SA)</w:t>
            </w:r>
          </w:p>
        </w:tc>
        <w:tc>
          <w:tcPr>
            <w:tcW w:w="1896" w:type="dxa"/>
          </w:tcPr>
          <w:p w14:paraId="1EC5804F" w14:textId="77777777" w:rsidR="00C87760" w:rsidRDefault="00000000">
            <w:pPr>
              <w:pStyle w:val="Compact"/>
            </w:pPr>
            <w:r>
              <w:t>Monthly</w:t>
            </w:r>
          </w:p>
        </w:tc>
        <w:tc>
          <w:tcPr>
            <w:tcW w:w="1896" w:type="dxa"/>
          </w:tcPr>
          <w:p w14:paraId="19D81305" w14:textId="77777777" w:rsidR="00C87760" w:rsidRDefault="00000000">
            <w:pPr>
              <w:pStyle w:val="Compact"/>
            </w:pPr>
            <w:r>
              <w:t>Same as national CES (~3 weeks)</w:t>
            </w:r>
          </w:p>
        </w:tc>
        <w:tc>
          <w:tcPr>
            <w:tcW w:w="2230" w:type="dxa"/>
          </w:tcPr>
          <w:p w14:paraId="115E62C3" w14:textId="77777777" w:rsidR="00C87760" w:rsidRDefault="00000000">
            <w:pPr>
              <w:pStyle w:val="Compact"/>
            </w:pPr>
            <w:r>
              <w:t>Industry-level CES, three vintages.</w:t>
            </w:r>
          </w:p>
        </w:tc>
      </w:tr>
      <w:tr w:rsidR="00C87760" w14:paraId="08869B07" w14:textId="77777777">
        <w:tc>
          <w:tcPr>
            <w:tcW w:w="1896" w:type="dxa"/>
          </w:tcPr>
          <w:p w14:paraId="239C8E68" w14:textId="77777777" w:rsidR="00C87760" w:rsidRDefault="00000000">
            <w:pPr>
              <w:pStyle w:val="Compact"/>
            </w:pPr>
            <w:r>
              <w:t xml:space="preserve">CES National by </w:t>
            </w:r>
            <w:proofErr w:type="spellStart"/>
            <w:r>
              <w:t>Supersector</w:t>
            </w:r>
            <w:proofErr w:type="spellEnd"/>
            <w:r>
              <w:t xml:space="preserve"> (NSA)</w:t>
            </w:r>
          </w:p>
        </w:tc>
        <w:tc>
          <w:tcPr>
            <w:tcW w:w="1896" w:type="dxa"/>
          </w:tcPr>
          <w:p w14:paraId="480FFDFA" w14:textId="77777777" w:rsidR="00C87760" w:rsidRDefault="00000000">
            <w:pPr>
              <w:pStyle w:val="Compact"/>
            </w:pPr>
            <w:r>
              <w:t>Monthly</w:t>
            </w:r>
          </w:p>
        </w:tc>
        <w:tc>
          <w:tcPr>
            <w:tcW w:w="1896" w:type="dxa"/>
          </w:tcPr>
          <w:p w14:paraId="288F43A0" w14:textId="77777777" w:rsidR="00C87760" w:rsidRDefault="00000000">
            <w:pPr>
              <w:pStyle w:val="Compact"/>
            </w:pPr>
            <w:r>
              <w:t>Same vintage schedule</w:t>
            </w:r>
          </w:p>
        </w:tc>
        <w:tc>
          <w:tcPr>
            <w:tcW w:w="2230" w:type="dxa"/>
          </w:tcPr>
          <w:p w14:paraId="1B2228DE" w14:textId="77777777" w:rsidR="00C87760" w:rsidRDefault="00000000">
            <w:pPr>
              <w:pStyle w:val="Compact"/>
            </w:pPr>
            <w:r>
              <w:t>Industry-level CES, not seasonally adjusted.</w:t>
            </w:r>
          </w:p>
        </w:tc>
      </w:tr>
      <w:tr w:rsidR="00C87760" w14:paraId="451FE60B" w14:textId="77777777">
        <w:tc>
          <w:tcPr>
            <w:tcW w:w="1896" w:type="dxa"/>
          </w:tcPr>
          <w:p w14:paraId="2EF60EDF" w14:textId="77777777" w:rsidR="00C87760" w:rsidRDefault="00000000">
            <w:pPr>
              <w:pStyle w:val="Compact"/>
            </w:pPr>
            <w:r>
              <w:t>QCEW National by Sector</w:t>
            </w:r>
          </w:p>
        </w:tc>
        <w:tc>
          <w:tcPr>
            <w:tcW w:w="1896" w:type="dxa"/>
          </w:tcPr>
          <w:p w14:paraId="30A544C0" w14:textId="77777777" w:rsidR="00C87760" w:rsidRDefault="00000000">
            <w:pPr>
              <w:pStyle w:val="Compact"/>
            </w:pPr>
            <w:r>
              <w:t>Quarterly</w:t>
            </w:r>
          </w:p>
        </w:tc>
        <w:tc>
          <w:tcPr>
            <w:tcW w:w="1896" w:type="dxa"/>
          </w:tcPr>
          <w:p w14:paraId="4F4B3505" w14:textId="77777777" w:rsidR="00C87760" w:rsidRDefault="00000000">
            <w:pPr>
              <w:pStyle w:val="Compact"/>
            </w:pPr>
            <w:r>
              <w:t>~5–6 months</w:t>
            </w:r>
          </w:p>
        </w:tc>
        <w:tc>
          <w:tcPr>
            <w:tcW w:w="2230" w:type="dxa"/>
          </w:tcPr>
          <w:p w14:paraId="133DCE4C" w14:textId="77777777" w:rsidR="00C87760" w:rsidRDefault="00000000">
            <w:pPr>
              <w:pStyle w:val="Compact"/>
            </w:pPr>
            <w:r>
              <w:t>Industry-level near-census.</w:t>
            </w:r>
          </w:p>
        </w:tc>
      </w:tr>
      <w:tr w:rsidR="00C87760" w14:paraId="61B47E85" w14:textId="77777777">
        <w:tc>
          <w:tcPr>
            <w:tcW w:w="1896" w:type="dxa"/>
          </w:tcPr>
          <w:p w14:paraId="73C902D1" w14:textId="77777777" w:rsidR="00C87760" w:rsidRDefault="00000000">
            <w:pPr>
              <w:pStyle w:val="Compact"/>
            </w:pPr>
            <w:r>
              <w:t xml:space="preserve">Provider data by </w:t>
            </w:r>
            <w:proofErr w:type="spellStart"/>
            <w:r>
              <w:t>supersector</w:t>
            </w:r>
            <w:proofErr w:type="spellEnd"/>
          </w:p>
        </w:tc>
        <w:tc>
          <w:tcPr>
            <w:tcW w:w="1896" w:type="dxa"/>
          </w:tcPr>
          <w:p w14:paraId="017E0F6E" w14:textId="77777777" w:rsidR="00C87760" w:rsidRDefault="00000000">
            <w:pPr>
              <w:pStyle w:val="Compact"/>
            </w:pPr>
            <w:r>
              <w:t>Monthly</w:t>
            </w:r>
          </w:p>
        </w:tc>
        <w:tc>
          <w:tcPr>
            <w:tcW w:w="1896" w:type="dxa"/>
          </w:tcPr>
          <w:p w14:paraId="5C229A0B" w14:textId="77777777" w:rsidR="00C87760" w:rsidRDefault="00000000">
            <w:pPr>
              <w:pStyle w:val="Compact"/>
            </w:pPr>
            <w:r>
              <w:t>Real-time</w:t>
            </w:r>
          </w:p>
        </w:tc>
        <w:tc>
          <w:tcPr>
            <w:tcW w:w="2230" w:type="dxa"/>
          </w:tcPr>
          <w:p w14:paraId="367C82D9" w14:textId="77777777" w:rsidR="00C87760" w:rsidRDefault="00000000">
            <w:pPr>
              <w:pStyle w:val="Compact"/>
            </w:pPr>
            <w:proofErr w:type="spellStart"/>
            <w:r>
              <w:t>Supersector</w:t>
            </w:r>
            <w:proofErr w:type="spellEnd"/>
            <w:r>
              <w:t xml:space="preserve">-level provider indices (cell-level signals from pseudo-establishment pipeline, aggregated from </w:t>
            </w:r>
            <w:proofErr w:type="spellStart"/>
            <w:r>
              <w:t>supersector</w:t>
            </w:r>
            <w:proofErr w:type="spellEnd"/>
            <w:r>
              <w:t xml:space="preserve"> × Census region to </w:t>
            </w:r>
            <w:proofErr w:type="spellStart"/>
            <w:r>
              <w:t>supersector</w:t>
            </w:r>
            <w:proofErr w:type="spellEnd"/>
            <w:r>
              <w:t>).</w:t>
            </w:r>
          </w:p>
        </w:tc>
      </w:tr>
    </w:tbl>
    <w:p w14:paraId="64669D4A" w14:textId="77777777" w:rsidR="00C87760" w:rsidRDefault="00000000">
      <w:pPr>
        <w:pStyle w:val="BodyText"/>
      </w:pPr>
      <w:r>
        <w:rPr>
          <w:b/>
          <w:bCs/>
        </w:rPr>
        <w:t>Revision-data support.</w:t>
      </w:r>
      <w:r>
        <w:t xml:space="preserve"> CES revision data exists at the national × sector level from May 2003. </w:t>
      </w:r>
      <w:proofErr w:type="spellStart"/>
      <w:r>
        <w:t>Supersector</w:t>
      </w:r>
      <w:proofErr w:type="spellEnd"/>
      <w:r>
        <w:t xml:space="preserve"> vintage-specific noise can be directly calibrated. This is a significant advantage over the geographic extension (Release 3), where state × industry revision data is unavailable.</w:t>
      </w:r>
    </w:p>
    <w:p w14:paraId="4FAD0C14" w14:textId="77777777" w:rsidR="00C87760" w:rsidRDefault="00000000">
      <w:pPr>
        <w:pStyle w:val="Heading3"/>
      </w:pPr>
      <w:bookmarkStart w:id="44" w:name="complete-model-specification-1"/>
      <w:bookmarkEnd w:id="43"/>
      <w:r>
        <w:t>Complete Model Specification</w:t>
      </w:r>
    </w:p>
    <w:p w14:paraId="3CB54032" w14:textId="77777777" w:rsidR="00C87760" w:rsidRDefault="00000000">
      <w:pPr>
        <w:pStyle w:val="Heading4"/>
      </w:pPr>
      <w:bookmarkStart w:id="45" w:name="supersector-latent-states"/>
      <w:proofErr w:type="spellStart"/>
      <w:r>
        <w:t>Supersector</w:t>
      </w:r>
      <w:proofErr w:type="spellEnd"/>
      <w:r>
        <w:t xml:space="preserve"> Latent States</w:t>
      </w:r>
    </w:p>
    <w:p w14:paraId="106C8B58" w14:textId="77777777" w:rsidR="00C87760" w:rsidRDefault="00000000">
      <w:pPr>
        <w:pStyle w:val="FirstParagraph"/>
      </w:pPr>
      <w:r>
        <w:t xml:space="preserve">For each </w:t>
      </w:r>
      <w:proofErr w:type="spellStart"/>
      <w:r>
        <w:t>supersector</w:t>
      </w:r>
      <w:proofErr w:type="spellEnd"/>
      <w:r>
        <w:t xml:space="preserve"> </w:t>
      </w:r>
      <m:oMath>
        <m:r>
          <w:rPr>
            <w:rFonts w:ascii="Cambria Math" w:hAnsi="Cambria Math"/>
          </w:rPr>
          <m:t>j</m:t>
        </m:r>
      </m:oMath>
      <w:r>
        <w:t>:</w:t>
      </w:r>
    </w:p>
    <w:p w14:paraId="2F2A65E4"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0893BB24"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267F095B" w14:textId="77777777" w:rsidR="00C87760" w:rsidRDefault="00000000">
      <w:pPr>
        <w:pStyle w:val="Heading4"/>
      </w:pPr>
      <w:bookmarkStart w:id="46" w:name="supersector-birthdeath"/>
      <w:bookmarkEnd w:id="45"/>
      <w:proofErr w:type="spellStart"/>
      <w:r>
        <w:t>Supersector</w:t>
      </w:r>
      <w:proofErr w:type="spellEnd"/>
      <w:r>
        <w:t xml:space="preserve"> Birth/Death</w:t>
      </w:r>
    </w:p>
    <w:p w14:paraId="7296A127" w14:textId="77777777" w:rsidR="00C87760" w:rsidRDefault="00000000">
      <w:pPr>
        <w:pStyle w:val="FirstParagraph"/>
      </w:pPr>
      <w:r>
        <w:t>BD intensity varies systematically across industries — construction and hospitality have high birth/death rates; healthcare and utilities have low rates:</w:t>
      </w:r>
    </w:p>
    <w:p w14:paraId="17B13EBF" w14:textId="77777777" w:rsidR="00C87760" w:rsidRDefault="00000000">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j</m:t>
              </m:r>
            </m:sub>
          </m:sSub>
          <m:sSubSup>
            <m:sSubSupPr>
              <m:ctrlPr>
                <w:rPr>
                  <w:rFonts w:ascii="Cambria Math" w:hAnsi="Cambria Math"/>
                </w:rPr>
              </m:ctrlPr>
            </m:sSubSup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birth</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r>
                <m:rPr>
                  <m:sty m:val="p"/>
                </m:rPr>
                <w:rPr>
                  <w:rFonts w:ascii="Cambria Math" w:hAnsi="Cambria Math"/>
                </w:rPr>
                <m:t>,</m:t>
              </m:r>
              <m:r>
                <w:rPr>
                  <w:rFonts w:ascii="Cambria Math" w:hAnsi="Cambria Math"/>
                </w:rPr>
                <m:t>j</m:t>
              </m:r>
            </m:sub>
          </m:sSub>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w:rPr>
                  <w:rFonts w:ascii="Cambria Math" w:hAnsi="Cambria Math"/>
                </w:rPr>
                <m:t>QCEW</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r>
                <m:rPr>
                  <m:sty m:val="p"/>
                </m:rPr>
                <w:rPr>
                  <w:rFonts w:ascii="Cambria Math" w:hAnsi="Cambria Math"/>
                </w:rPr>
                <m:t>,</m:t>
              </m:r>
              <m:r>
                <w:rPr>
                  <w:rFonts w:ascii="Cambria Math" w:hAnsi="Cambria Math"/>
                </w:rPr>
                <m:t>j</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cycle</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BD</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ξ</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05C0D652" w14:textId="77777777" w:rsidR="00C87760" w:rsidRDefault="00000000">
      <w:pPr>
        <w:pStyle w:val="FirstParagraph"/>
      </w:pPr>
      <w:r>
        <w:t>Industry-level BD priors can be calibrated against Business Dynamics Statistics (BDS), which reports quarterly birth and death rates by sector and size class.</w:t>
      </w:r>
    </w:p>
    <w:p w14:paraId="51EAAC5A" w14:textId="77777777" w:rsidR="00C87760" w:rsidRDefault="00000000">
      <w:pPr>
        <w:pStyle w:val="Heading4"/>
      </w:pPr>
      <w:bookmarkStart w:id="47" w:name="hierarchical-fourier-seasonal"/>
      <w:bookmarkEnd w:id="46"/>
      <w:r>
        <w:lastRenderedPageBreak/>
        <w:t>Hierarchical Fourier Seasonal</w:t>
      </w:r>
    </w:p>
    <w:p w14:paraId="32E2EB1D" w14:textId="77777777" w:rsidR="00C87760" w:rsidRDefault="00000000">
      <w:pPr>
        <w:pStyle w:val="FirstParagraph"/>
      </w:pPr>
      <w:proofErr w:type="spellStart"/>
      <w:r>
        <w:t>Supersector</w:t>
      </w:r>
      <w:proofErr w:type="spellEnd"/>
      <w:r>
        <w:t xml:space="preserve"> seasonal patterns share hyperparameters but each </w:t>
      </w:r>
      <w:proofErr w:type="spellStart"/>
      <w:r>
        <w:t>supersector</w:t>
      </w:r>
      <w:proofErr w:type="spellEnd"/>
      <w:r>
        <w:t xml:space="preserve"> identifies its own Fourier coefficients (there are only ~10 </w:t>
      </w:r>
      <w:proofErr w:type="spellStart"/>
      <w:r>
        <w:t>supersectors</w:t>
      </w:r>
      <w:proofErr w:type="spellEnd"/>
      <w:r>
        <w:t>, each well-identified by CES data):</w:t>
      </w:r>
    </w:p>
    <w:p w14:paraId="46627906"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oMath>
      </m:oMathPara>
    </w:p>
    <w:p w14:paraId="4AC9AB94"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oMath>
      </m:oMathPara>
    </w:p>
    <w:p w14:paraId="35C822C9" w14:textId="77777777" w:rsidR="00C87760" w:rsidRDefault="00000000">
      <w:pPr>
        <w:pStyle w:val="FirstParagraph"/>
      </w:pPr>
      <w:r>
        <w:t xml:space="preserve">The innovation variance </w:t>
      </w:r>
      <m:oMath>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oMath>
      <w:r>
        <w:t xml:space="preserve"> is shared across supersectors (hierarchical) — the prior says that the </w:t>
      </w:r>
      <w:r>
        <w:rPr>
          <w:i/>
          <w:iCs/>
        </w:rPr>
        <w:t>rate</w:t>
      </w:r>
      <w:r>
        <w:t xml:space="preserve"> of seasonal evolution is similar across industries, even though the seasonal </w:t>
      </w:r>
      <w:r>
        <w:rPr>
          <w:i/>
          <w:iCs/>
        </w:rPr>
        <w:t>patterns</w:t>
      </w:r>
      <w:r>
        <w:t xml:space="preserve"> differ.</w:t>
      </w:r>
    </w:p>
    <w:p w14:paraId="59EB4093" w14:textId="77777777" w:rsidR="00C87760" w:rsidRDefault="00000000">
      <w:pPr>
        <w:pStyle w:val="Heading4"/>
      </w:pPr>
      <w:bookmarkStart w:id="48" w:name="composite-growth-signals-per-supersector"/>
      <w:bookmarkEnd w:id="47"/>
      <w:r>
        <w:t xml:space="preserve">Composite Growth Signals (Per </w:t>
      </w:r>
      <w:proofErr w:type="spellStart"/>
      <w:r>
        <w:t>Supersector</w:t>
      </w:r>
      <w:proofErr w:type="spellEnd"/>
      <w:r>
        <w:t>)</w:t>
      </w:r>
    </w:p>
    <w:p w14:paraId="31193327"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2ECC1A4A"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6719486C"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4FFC3246" w14:textId="77777777" w:rsidR="00C87760" w:rsidRDefault="00000000">
      <w:pPr>
        <w:pStyle w:val="Heading4"/>
      </w:pPr>
      <w:bookmarkStart w:id="49" w:name="Xdf0c86d2566734c1c9d3cc9220dd95f86523dc7"/>
      <w:bookmarkEnd w:id="48"/>
      <w:r>
        <w:t xml:space="preserve">QCEW Measurement Equation (Per </w:t>
      </w:r>
      <w:proofErr w:type="spellStart"/>
      <w:r>
        <w:t>Supersector</w:t>
      </w:r>
      <w:proofErr w:type="spellEnd"/>
      <w:r>
        <w:t>)</w:t>
      </w:r>
    </w:p>
    <w:p w14:paraId="19217582"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QCEW</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j</m:t>
                  </m:r>
                </m:sub>
                <m:sup>
                  <m:r>
                    <w:rPr>
                      <w:rFonts w:ascii="Cambria Math" w:hAnsi="Cambria Math"/>
                    </w:rPr>
                    <m:t>2</m:t>
                  </m:r>
                </m:sup>
              </m:sSubSup>
              <m:d>
                <m:dPr>
                  <m:ctrlPr>
                    <w:rPr>
                      <w:rFonts w:ascii="Cambria Math" w:hAnsi="Cambria Math"/>
                    </w:rPr>
                  </m:ctrlPr>
                </m:dPr>
                <m:e>
                  <m:r>
                    <w:rPr>
                      <w:rFonts w:ascii="Cambria Math" w:hAnsi="Cambria Math"/>
                    </w:rPr>
                    <m:t>t</m:t>
                  </m:r>
                </m:e>
              </m:d>
            </m:e>
          </m:d>
        </m:oMath>
      </m:oMathPara>
    </w:p>
    <w:p w14:paraId="33A5BA0B" w14:textId="77777777" w:rsidR="00C87760" w:rsidRDefault="00000000">
      <w:pPr>
        <w:pStyle w:val="FirstParagraph"/>
      </w:pPr>
      <w:r>
        <w:t xml:space="preserve">The M3/M12 differential applies at the industry level. QCEW by sector is published at the same time as national QCEW. Industry-level QCEW noise is slightly larger than national due to employer industry misclassification — a QCEW-specific </w:t>
      </w:r>
      <w:proofErr w:type="spellStart"/>
      <w:r>
        <w:t>nonsampling</w:t>
      </w:r>
      <w:proofErr w:type="spellEnd"/>
      <w:r>
        <w:t xml:space="preserve"> error where multi-establishment firms may report all employment under a single industry code.</w:t>
      </w:r>
    </w:p>
    <w:p w14:paraId="77DF0C36" w14:textId="77777777" w:rsidR="00C87760" w:rsidRDefault="00000000">
      <w:pPr>
        <w:pStyle w:val="Heading4"/>
      </w:pPr>
      <w:bookmarkStart w:id="50" w:name="X678f075cc79892da991884d873616920883a483"/>
      <w:bookmarkEnd w:id="49"/>
      <w:r>
        <w:t xml:space="preserve">CES Measurement Equation (Per </w:t>
      </w:r>
      <w:proofErr w:type="spellStart"/>
      <w:r>
        <w:t>Supersector</w:t>
      </w:r>
      <w:proofErr w:type="spellEnd"/>
      <w:r>
        <w:t>, Vintage-Specific)</w:t>
      </w:r>
    </w:p>
    <w:p w14:paraId="42E47A1D" w14:textId="77777777" w:rsidR="00C87760" w:rsidRDefault="00000000">
      <w:pPr>
        <w:pStyle w:val="FirstParagraph"/>
      </w:pPr>
      <w:r>
        <w:t xml:space="preserve">For </w:t>
      </w:r>
      <w:proofErr w:type="spellStart"/>
      <w:r>
        <w:t>supersector</w:t>
      </w:r>
      <w:proofErr w:type="spellEnd"/>
      <w:r>
        <w:t xml:space="preserve"> </w:t>
      </w:r>
      <m:oMath>
        <m:r>
          <w:rPr>
            <w:rFonts w:ascii="Cambria Math" w:hAnsi="Cambria Math"/>
          </w:rPr>
          <m:t>j</m:t>
        </m:r>
      </m:oMath>
      <w:r>
        <w:t xml:space="preserve"> and vintage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522D862C"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j</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37812572"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j</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7086499F" w14:textId="77777777" w:rsidR="00C87760" w:rsidRDefault="00000000">
      <w:pPr>
        <w:pStyle w:val="FirstParagraph"/>
      </w:pPr>
      <w:r>
        <w:t xml:space="preserve">Vintage-specific noise at the </w:t>
      </w:r>
      <w:proofErr w:type="spellStart"/>
      <w:r>
        <w:t>supersector</w:t>
      </w:r>
      <w:proofErr w:type="spellEnd"/>
      <w:r>
        <w:t xml:space="preserve"> level is calibrated from the national × sector CES revision data (available from May 2003). Dunn et al. (2026) Table 1 provides the empirical error structure: national 2-digit NAICS has mean absolute error of 0.0032 (vs. 0.0014 for national aggregate), and the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metric shows revision variance increasing with industry granularity.</w:t>
      </w:r>
    </w:p>
    <w:p w14:paraId="6AC35657" w14:textId="77777777" w:rsidR="00C87760" w:rsidRDefault="00000000">
      <w:pPr>
        <w:pStyle w:val="Heading4"/>
      </w:pPr>
      <w:bookmarkStart w:id="51" w:name="X22d8c681701e1bfedd3420e0980b6a2ee7788cf"/>
      <w:bookmarkEnd w:id="50"/>
      <w:r>
        <w:t xml:space="preserve">Payroll Provider Measurement Equations (Per </w:t>
      </w:r>
      <w:proofErr w:type="spellStart"/>
      <w:r>
        <w:t>Supersector</w:t>
      </w:r>
      <w:proofErr w:type="spellEnd"/>
      <w:r>
        <w:t>)</w:t>
      </w:r>
    </w:p>
    <w:p w14:paraId="62D431ED"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m:oMathPara>
    </w:p>
    <w:p w14:paraId="018C47A3" w14:textId="77777777" w:rsidR="00C87760" w:rsidRDefault="00000000">
      <w:pPr>
        <w:pStyle w:val="FirstParagraph"/>
      </w:pPr>
      <w:r>
        <w:lastRenderedPageBreak/>
        <w:t>with error structure (</w:t>
      </w:r>
      <w:proofErr w:type="spellStart"/>
      <w:r>
        <w:t>iid</w:t>
      </w:r>
      <w:proofErr w:type="spellEnd"/>
      <w:r>
        <w:t xml:space="preserve"> or </w:t>
      </w:r>
      <w:proofErr w:type="gramStart"/>
      <w:r>
        <w:t>AR(</w:t>
      </w:r>
      <w:proofErr w:type="gramEnd"/>
      <w:r>
        <w:t xml:space="preserve">1)) inherited from the provider’s configuration. Provider × </w:t>
      </w:r>
      <w:proofErr w:type="spellStart"/>
      <w:r>
        <w:t>supersector</w:t>
      </w:r>
      <w:proofErr w:type="spellEnd"/>
      <w:r>
        <w:t xml:space="preserve"> bias is drawn from exchangeable priors:</w:t>
      </w:r>
    </w:p>
    <w:p w14:paraId="7DA4F953"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α</m:t>
                  </m:r>
                </m:sub>
                <m:sup>
                  <m:r>
                    <w:rPr>
                      <w:rFonts w:ascii="Cambria Math" w:hAnsi="Cambria Math"/>
                    </w:rPr>
                    <m:t>2</m:t>
                  </m:r>
                </m:sup>
              </m:sSubSup>
            </m:e>
          </m:d>
        </m:oMath>
      </m:oMathPara>
    </w:p>
    <w:p w14:paraId="3CFDDF70"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λ</m:t>
                      </m:r>
                    </m:e>
                  </m:acc>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λ</m:t>
                  </m:r>
                </m:sub>
                <m:sup>
                  <m:r>
                    <w:rPr>
                      <w:rFonts w:ascii="Cambria Math" w:hAnsi="Cambria Math"/>
                    </w:rPr>
                    <m:t>2</m:t>
                  </m:r>
                </m:sup>
              </m:sSubSup>
            </m:e>
          </m:d>
        </m:oMath>
      </m:oMathPara>
    </w:p>
    <w:p w14:paraId="72719B7C" w14:textId="77777777" w:rsidR="00C87760" w:rsidRDefault="00000000">
      <w:pPr>
        <w:pStyle w:val="Heading4"/>
      </w:pPr>
      <w:bookmarkStart w:id="52" w:name="discrepancy-model"/>
      <w:bookmarkEnd w:id="51"/>
      <w:r>
        <w:t>Discrepancy Model</w:t>
      </w:r>
    </w:p>
    <w:p w14:paraId="0B66CF0C" w14:textId="77777777" w:rsidR="00C87760" w:rsidRDefault="00000000">
      <w:pPr>
        <w:pStyle w:val="FirstParagraph"/>
      </w:pPr>
      <w:r>
        <w:t xml:space="preserve">True employment aggregates: the sum of </w:t>
      </w:r>
      <w:proofErr w:type="spellStart"/>
      <w:r>
        <w:t>supersector</w:t>
      </w:r>
      <w:proofErr w:type="spellEnd"/>
      <w:r>
        <w:t xml:space="preserve"> employment equals national employment. But because CES </w:t>
      </w:r>
      <w:proofErr w:type="spellStart"/>
      <w:r>
        <w:t>supersector</w:t>
      </w:r>
      <w:proofErr w:type="spellEnd"/>
      <w:r>
        <w:t xml:space="preserve"> estimates may not exactly sum to the published national total (due to rounding, scope differences, and independent seasonal adjustment), a discrepancy process absorbs the gap:</w:t>
      </w:r>
    </w:p>
    <w:p w14:paraId="0221C186"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t</m:t>
              </m:r>
            </m:sub>
            <m:sup>
              <m:r>
                <w:rPr>
                  <w:rFonts w:ascii="Cambria Math" w:hAnsi="Cambria Math"/>
                </w:rPr>
                <m:t>δ</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ω</m:t>
              </m:r>
            </m:e>
            <m:sub>
              <m:r>
                <w:rPr>
                  <w:rFonts w:ascii="Cambria Math" w:hAnsi="Cambria Math"/>
                </w:rPr>
                <m:t>t</m:t>
              </m:r>
            </m:sub>
            <m:sup>
              <m:r>
                <w:rPr>
                  <w:rFonts w:ascii="Cambria Math" w:hAnsi="Cambria Math"/>
                </w:rPr>
                <m:t>δ</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δ</m:t>
                  </m:r>
                </m:sub>
                <m:sup>
                  <m:r>
                    <w:rPr>
                      <w:rFonts w:ascii="Cambria Math" w:hAnsi="Cambria Math"/>
                    </w:rPr>
                    <m:t>2</m:t>
                  </m:r>
                </m:sup>
              </m:sSubSup>
            </m:e>
          </m:d>
        </m:oMath>
      </m:oMathPara>
    </w:p>
    <w:p w14:paraId="6409F410" w14:textId="77777777" w:rsidR="00C87760" w:rsidRDefault="00000000">
      <w:pPr>
        <w:pStyle w:val="Heading4"/>
      </w:pPr>
      <w:bookmarkStart w:id="53" w:name="mint-reconciliation"/>
      <w:bookmarkEnd w:id="52"/>
      <w:proofErr w:type="spellStart"/>
      <w:r>
        <w:t>MinT</w:t>
      </w:r>
      <w:proofErr w:type="spellEnd"/>
      <w:r>
        <w:t xml:space="preserve"> Reconciliation</w:t>
      </w:r>
    </w:p>
    <w:p w14:paraId="6CE50778" w14:textId="77777777" w:rsidR="00C87760" w:rsidRDefault="00000000">
      <w:pPr>
        <w:pStyle w:val="FirstParagraph"/>
      </w:pPr>
      <w:r>
        <w:t xml:space="preserve">Let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μ</m:t>
                </m:r>
              </m:e>
            </m:acc>
          </m:e>
          <m:sub>
            <m:r>
              <w:rPr>
                <w:rFonts w:ascii="Cambria Math" w:hAnsi="Cambria Math"/>
              </w:rPr>
              <m:t>t</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t</m:t>
                </m:r>
              </m:sub>
              <m:sup>
                <m:r>
                  <w:rPr>
                    <w:rFonts w:ascii="Cambria Math" w:hAnsi="Cambria Math"/>
                  </w:rPr>
                  <m:t>nat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J</m:t>
                </m:r>
                <m:r>
                  <m:rPr>
                    <m:sty m:val="p"/>
                  </m:rPr>
                  <w:rPr>
                    <w:rFonts w:ascii="Cambria Math" w:hAnsi="Cambria Math"/>
                  </w:rPr>
                  <m:t>,</m:t>
                </m:r>
                <m:r>
                  <w:rPr>
                    <w:rFonts w:ascii="Cambria Math" w:hAnsi="Cambria Math"/>
                  </w:rPr>
                  <m:t>t</m:t>
                </m:r>
              </m:sub>
            </m:sSub>
          </m:e>
        </m:d>
        <m:r>
          <m:rPr>
            <m:sty m:val="p"/>
          </m:rPr>
          <w:rPr>
            <w:rFonts w:ascii="Cambria Math" w:hAnsi="Cambria Math"/>
          </w:rPr>
          <m:t>'</m:t>
        </m:r>
      </m:oMath>
      <w:r>
        <w:t xml:space="preserve"> be the vector of base (unreconciled) forecasts from independent national and supersector models, and let </w:t>
      </w:r>
      <m:oMath>
        <m:r>
          <m:rPr>
            <m:sty m:val="b"/>
          </m:rPr>
          <w:rPr>
            <w:rFonts w:ascii="Cambria Math" w:hAnsi="Cambria Math"/>
          </w:rPr>
          <m:t>S</m:t>
        </m:r>
      </m:oMath>
      <w:r>
        <w:t xml:space="preserve"> be the summing matrix:</w:t>
      </w:r>
    </w:p>
    <w:p w14:paraId="295C6887" w14:textId="77777777" w:rsidR="00C87760" w:rsidRDefault="00000000">
      <w:pPr>
        <w:pStyle w:val="BodyText"/>
      </w:pPr>
      <m:oMathPara>
        <m:oMathParaPr>
          <m:jc m:val="center"/>
        </m:oMathParaPr>
        <m:oMath>
          <m:r>
            <m:rPr>
              <m:sty m:val="b"/>
            </m:rPr>
            <w:rPr>
              <w:rFonts w:ascii="Cambria Math" w:hAnsi="Cambria Math"/>
            </w:rPr>
            <m:t>S</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b"/>
                      </m:rPr>
                      <w:rPr>
                        <w:rFonts w:ascii="Cambria Math" w:hAnsi="Cambria Math"/>
                      </w:rPr>
                      <m:t>1</m:t>
                    </m:r>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I</m:t>
                        </m:r>
                      </m:e>
                      <m:sub>
                        <m:r>
                          <w:rPr>
                            <w:rFonts w:ascii="Cambria Math" w:hAnsi="Cambria Math"/>
                          </w:rPr>
                          <m:t>J</m:t>
                        </m:r>
                      </m:sub>
                    </m:sSub>
                  </m:e>
                </m:mr>
              </m:m>
            </m:e>
          </m:d>
        </m:oMath>
      </m:oMathPara>
    </w:p>
    <w:p w14:paraId="5922C61A" w14:textId="77777777" w:rsidR="00C87760" w:rsidRDefault="00000000">
      <w:pPr>
        <w:pStyle w:val="FirstParagraph"/>
      </w:pPr>
      <w:r>
        <w:t xml:space="preserve">The </w:t>
      </w:r>
      <w:proofErr w:type="spellStart"/>
      <w:r>
        <w:t>MinT</w:t>
      </w:r>
      <w:proofErr w:type="spellEnd"/>
      <w:r>
        <w:t xml:space="preserve"> reconciled forecast is:</w:t>
      </w:r>
    </w:p>
    <w:p w14:paraId="2616C317" w14:textId="77777777" w:rsidR="00C87760"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μ</m:t>
                  </m:r>
                </m:e>
              </m:acc>
            </m:e>
            <m:sub>
              <m:r>
                <w:rPr>
                  <w:rFonts w:ascii="Cambria Math" w:hAnsi="Cambria Math"/>
                </w:rPr>
                <m:t>t</m:t>
              </m:r>
            </m:sub>
          </m:sSub>
          <m:r>
            <m:rPr>
              <m:sty m:val="p"/>
            </m:rPr>
            <w:rPr>
              <w:rFonts w:ascii="Cambria Math" w:hAnsi="Cambria Math"/>
            </w:rPr>
            <m:t>=</m:t>
          </m:r>
          <m:r>
            <m:rPr>
              <m:sty m:val="b"/>
            </m:rPr>
            <w:rPr>
              <w:rFonts w:ascii="Cambria Math" w:hAnsi="Cambria Math"/>
            </w:rPr>
            <m:t>S</m:t>
          </m:r>
          <m:sSup>
            <m:sSupPr>
              <m:ctrlPr>
                <w:rPr>
                  <w:rFonts w:ascii="Cambria Math" w:hAnsi="Cambria Math"/>
                </w:rPr>
              </m:ctrlPr>
            </m:sSupPr>
            <m:e>
              <m:d>
                <m:dPr>
                  <m:ctrlPr>
                    <w:rPr>
                      <w:rFonts w:ascii="Cambria Math" w:hAnsi="Cambria Math"/>
                    </w:rPr>
                  </m:ctrlPr>
                </m:dPr>
                <m:e>
                  <m:r>
                    <m:rPr>
                      <m:sty m:val="b"/>
                    </m:rPr>
                    <w:rPr>
                      <w:rFonts w:ascii="Cambria Math" w:hAnsi="Cambria Math"/>
                    </w:rPr>
                    <m:t>S</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r>
                        <w:rPr>
                          <w:rFonts w:ascii="Cambria Math" w:hAnsi="Cambria Math"/>
                        </w:rPr>
                        <m:t>1</m:t>
                      </m:r>
                    </m:sup>
                  </m:sSup>
                  <m:r>
                    <m:rPr>
                      <m:sty m:val="b"/>
                    </m:rPr>
                    <w:rPr>
                      <w:rFonts w:ascii="Cambria Math" w:hAnsi="Cambria Math"/>
                    </w:rPr>
                    <m:t>S</m:t>
                  </m:r>
                </m:e>
              </m:d>
            </m:e>
            <m:sup>
              <m:r>
                <m:rPr>
                  <m:sty m:val="p"/>
                </m:rPr>
                <w:rPr>
                  <w:rFonts w:ascii="Cambria Math" w:hAnsi="Cambria Math"/>
                </w:rPr>
                <m:t>-</m:t>
              </m:r>
              <m:r>
                <w:rPr>
                  <w:rFonts w:ascii="Cambria Math" w:hAnsi="Cambria Math"/>
                </w:rPr>
                <m:t>1</m:t>
              </m:r>
            </m:sup>
          </m:sSup>
          <m:r>
            <m:rPr>
              <m:sty m:val="b"/>
            </m:rPr>
            <w:rPr>
              <w:rFonts w:ascii="Cambria Math" w:hAnsi="Cambria Math"/>
            </w:rPr>
            <m:t>S</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r>
                <w:rPr>
                  <w:rFonts w:ascii="Cambria Math" w:hAnsi="Cambria Math"/>
                </w:rPr>
                <m:t>1</m:t>
              </m:r>
            </m:sup>
          </m:sSup>
          <m:sSub>
            <m:sSubPr>
              <m:ctrlPr>
                <w:rPr>
                  <w:rFonts w:ascii="Cambria Math" w:hAnsi="Cambria Math"/>
                </w:rPr>
              </m:ctrlPr>
            </m:sSubPr>
            <m:e>
              <m:acc>
                <m:accPr>
                  <m:ctrlPr>
                    <w:rPr>
                      <w:rFonts w:ascii="Cambria Math" w:hAnsi="Cambria Math"/>
                    </w:rPr>
                  </m:ctrlPr>
                </m:accPr>
                <m:e>
                  <m:r>
                    <m:rPr>
                      <m:sty m:val="b"/>
                    </m:rPr>
                    <w:rPr>
                      <w:rFonts w:ascii="Cambria Math" w:hAnsi="Cambria Math"/>
                    </w:rPr>
                    <m:t>μ</m:t>
                  </m:r>
                </m:e>
              </m:acc>
            </m:e>
            <m:sub>
              <m:r>
                <w:rPr>
                  <w:rFonts w:ascii="Cambria Math" w:hAnsi="Cambria Math"/>
                </w:rPr>
                <m:t>t</m:t>
              </m:r>
            </m:sub>
          </m:sSub>
        </m:oMath>
      </m:oMathPara>
    </w:p>
    <w:p w14:paraId="5247158F" w14:textId="77777777" w:rsidR="00C87760" w:rsidRDefault="00000000">
      <w:pPr>
        <w:pStyle w:val="FirstParagraph"/>
      </w:pPr>
      <w:r>
        <w:t xml:space="preserve">where </w:t>
      </w:r>
      <m:oMath>
        <m:r>
          <m:rPr>
            <m:sty m:val="b"/>
          </m:rPr>
          <w:rPr>
            <w:rFonts w:ascii="Cambria Math" w:hAnsi="Cambria Math"/>
          </w:rPr>
          <m:t>W</m:t>
        </m:r>
      </m:oMath>
      <w:r>
        <w:t xml:space="preserve"> is the covariance matrix of base forecast errors, estimated from historical revision-based cross-validation with QCEW vintages. Direct revision data at the national × sector level supports empirical estimation of </w:t>
      </w:r>
      <m:oMath>
        <m:r>
          <m:rPr>
            <m:sty m:val="b"/>
          </m:rPr>
          <w:rPr>
            <w:rFonts w:ascii="Cambria Math" w:hAnsi="Cambria Math"/>
          </w:rPr>
          <m:t>W</m:t>
        </m:r>
      </m:oMath>
      <w:r>
        <w:t>.</w:t>
      </w:r>
    </w:p>
    <w:p w14:paraId="0C12DE60" w14:textId="77777777" w:rsidR="00C87760" w:rsidRDefault="00000000">
      <w:pPr>
        <w:pStyle w:val="Heading3"/>
      </w:pPr>
      <w:bookmarkStart w:id="54" w:name="priors-1"/>
      <w:bookmarkEnd w:id="44"/>
      <w:bookmarkEnd w:id="53"/>
      <w:r>
        <w:t>Priors</w:t>
      </w:r>
    </w:p>
    <w:p w14:paraId="4AE9D108" w14:textId="77777777" w:rsidR="00C87760" w:rsidRDefault="00000000">
      <w:pPr>
        <w:pStyle w:val="Heading4"/>
      </w:pPr>
      <w:bookmarkStart w:id="55" w:name="supersector-dynamics-exchangeable"/>
      <w:proofErr w:type="spellStart"/>
      <w:r>
        <w:t>Supersector</w:t>
      </w:r>
      <w:proofErr w:type="spellEnd"/>
      <w:r>
        <w:t xml:space="preserve"> dynamics (exchangeable)</w:t>
      </w:r>
    </w:p>
    <w:p w14:paraId="0704F6AD"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g</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μ</m:t>
                      </m:r>
                    </m:e>
                    <m:sub>
                      <m:r>
                        <w:rPr>
                          <w:rFonts w:ascii="Cambria Math" w:hAnsi="Cambria Math"/>
                        </w:rPr>
                        <m:t>g</m:t>
                      </m:r>
                    </m:sub>
                  </m:sSub>
                </m:sub>
                <m:sup>
                  <m:r>
                    <w:rPr>
                      <w:rFonts w:ascii="Cambria Math" w:hAnsi="Cambria Math"/>
                    </w:rPr>
                    <m:t>2</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g</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μ</m:t>
                  </m:r>
                </m:e>
                <m:sub>
                  <m:r>
                    <w:rPr>
                      <w:rFonts w:ascii="Cambria Math" w:hAnsi="Cambria Math"/>
                    </w:rPr>
                    <m:t>g</m:t>
                  </m:r>
                </m:sub>
              </m:sSub>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0.003</m:t>
              </m:r>
            </m:e>
          </m:d>
        </m:oMath>
      </m:oMathPara>
    </w:p>
    <w:p w14:paraId="64780B5C"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m:rPr>
              <m:nor/>
            </m:rPr>
            <m:t>Beta</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ϕ</m:t>
                  </m:r>
                </m:sub>
              </m:sSub>
            </m:e>
          </m:d>
          <m:r>
            <w:rPr>
              <w:rFonts w:ascii="Cambria Math" w:hAnsi="Cambria Math"/>
            </w:rPr>
            <m:t> </m:t>
          </m:r>
          <m:r>
            <m:rPr>
              <m:nor/>
            </m:rPr>
            <m:t>[common shape parameters; hierarchical on logit scale]</m:t>
          </m:r>
        </m:oMath>
      </m:oMathPara>
    </w:p>
    <w:p w14:paraId="6C58B152"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η</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LogNormal</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η</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η</m:t>
                      </m:r>
                    </m:sub>
                  </m:sSub>
                </m:sub>
                <m:sup>
                  <m:r>
                    <w:rPr>
                      <w:rFonts w:ascii="Cambria Math" w:hAnsi="Cambria Math"/>
                    </w:rPr>
                    <m:t>2</m:t>
                  </m:r>
                </m:sup>
              </m:sSubSup>
            </m:e>
          </m:d>
        </m:oMath>
      </m:oMathPara>
    </w:p>
    <w:p w14:paraId="21977C05" w14:textId="77777777" w:rsidR="00C87760" w:rsidRDefault="00000000">
      <w:pPr>
        <w:pStyle w:val="Heading4"/>
      </w:pPr>
      <w:bookmarkStart w:id="56" w:name="X7611aefc094c6865c52aeeff539fcace2323f16"/>
      <w:bookmarkEnd w:id="55"/>
      <w:proofErr w:type="spellStart"/>
      <w:r>
        <w:t>Supersector</w:t>
      </w:r>
      <w:proofErr w:type="spellEnd"/>
      <w:r>
        <w:t xml:space="preserve"> BD (exchangeable, BDS-calibrated)</w:t>
      </w:r>
    </w:p>
    <w:p w14:paraId="4B7D8E94"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0</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ϕ</m:t>
                      </m:r>
                    </m:e>
                    <m:sub>
                      <m:r>
                        <w:rPr>
                          <w:rFonts w:ascii="Cambria Math" w:hAnsi="Cambria Math"/>
                        </w:rPr>
                        <m:t>0</m:t>
                      </m:r>
                    </m:sub>
                  </m:sSub>
                </m:sub>
                <m:sup>
                  <m:r>
                    <w:rPr>
                      <w:rFonts w:ascii="Cambria Math" w:hAnsi="Cambria Math"/>
                    </w:rPr>
                    <m:t>2</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0</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0.002</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ϕ</m:t>
                  </m:r>
                </m:e>
                <m:sub>
                  <m:r>
                    <w:rPr>
                      <w:rFonts w:ascii="Cambria Math" w:hAnsi="Cambria Math"/>
                    </w:rPr>
                    <m:t>0</m:t>
                  </m:r>
                </m:sub>
              </m:sSub>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0.002</m:t>
              </m:r>
            </m:e>
          </m:d>
        </m:oMath>
      </m:oMathPara>
    </w:p>
    <w:p w14:paraId="2AD39789"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BD</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LogNormal</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BD</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BD</m:t>
                      </m:r>
                    </m:sub>
                  </m:sSub>
                </m:sub>
                <m:sup>
                  <m:r>
                    <w:rPr>
                      <w:rFonts w:ascii="Cambria Math" w:hAnsi="Cambria Math"/>
                    </w:rPr>
                    <m:t>2</m:t>
                  </m:r>
                </m:sup>
              </m:sSubSup>
            </m:e>
          </m:d>
        </m:oMath>
      </m:oMathPara>
    </w:p>
    <w:p w14:paraId="12693F75" w14:textId="77777777" w:rsidR="00C87760" w:rsidRDefault="00000000">
      <w:pPr>
        <w:pStyle w:val="Heading4"/>
      </w:pPr>
      <w:bookmarkStart w:id="57" w:name="hierarchical-seasonal"/>
      <w:bookmarkEnd w:id="56"/>
      <w:r>
        <w:lastRenderedPageBreak/>
        <w:t>Hierarchical seasonal</w:t>
      </w:r>
    </w:p>
    <w:p w14:paraId="6AB4396D"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k</m:t>
              </m:r>
            </m:e>
          </m:d>
        </m:oMath>
      </m:oMathPara>
    </w:p>
    <w:p w14:paraId="1F0C0735" w14:textId="77777777" w:rsidR="00C87760" w:rsidRDefault="00000000">
      <w:pPr>
        <w:pStyle w:val="Heading4"/>
      </w:pPr>
      <w:bookmarkStart w:id="58" w:name="discrepancy"/>
      <w:bookmarkEnd w:id="57"/>
      <w:r>
        <w:t>Discrepancy</w:t>
      </w:r>
    </w:p>
    <w:p w14:paraId="2B7D325B"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0.002</m:t>
              </m:r>
            </m:e>
          </m:d>
        </m:oMath>
      </m:oMathPara>
    </w:p>
    <w:p w14:paraId="7D018613" w14:textId="77777777" w:rsidR="00C87760" w:rsidRDefault="00000000">
      <w:pPr>
        <w:pStyle w:val="Heading4"/>
      </w:pPr>
      <w:bookmarkStart w:id="59" w:name="provider-supersector"/>
      <w:bookmarkEnd w:id="58"/>
      <w:r>
        <w:t xml:space="preserve">Provider × </w:t>
      </w:r>
      <w:proofErr w:type="spellStart"/>
      <w:r>
        <w:t>supersector</w:t>
      </w:r>
      <w:proofErr w:type="spellEnd"/>
    </w:p>
    <w:p w14:paraId="3E818FDF" w14:textId="77777777" w:rsidR="00C87760"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p</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α</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0.003</m:t>
              </m:r>
            </m:e>
          </m:d>
        </m:oMath>
      </m:oMathPara>
    </w:p>
    <w:p w14:paraId="0B79395A" w14:textId="77777777" w:rsidR="00C87760"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λ</m:t>
                  </m:r>
                </m:e>
              </m:acc>
            </m:e>
            <m:sub>
              <m:r>
                <w:rPr>
                  <w:rFonts w:ascii="Cambria Math" w:hAnsi="Cambria Math"/>
                </w:rPr>
                <m:t>p</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0.15</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λ</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0.1</m:t>
              </m:r>
            </m:e>
          </m:d>
        </m:oMath>
      </m:oMathPara>
    </w:p>
    <w:p w14:paraId="4499F548" w14:textId="77777777" w:rsidR="00C87760" w:rsidRDefault="00000000">
      <w:pPr>
        <w:pStyle w:val="Heading3"/>
      </w:pPr>
      <w:bookmarkStart w:id="60" w:name="output-specification-1"/>
      <w:bookmarkEnd w:id="54"/>
      <w:bookmarkEnd w:id="59"/>
      <w:r>
        <w:t>Output Specification</w:t>
      </w:r>
    </w:p>
    <w:p w14:paraId="61639ED9" w14:textId="77777777" w:rsidR="00C87760" w:rsidRDefault="00000000">
      <w:pPr>
        <w:pStyle w:val="FirstParagraph"/>
      </w:pPr>
      <w:r>
        <w:t>All outputs from Release 1, plus:</w:t>
      </w:r>
    </w:p>
    <w:tbl>
      <w:tblPr>
        <w:tblStyle w:val="Table"/>
        <w:tblW w:w="5000" w:type="pct"/>
        <w:tblLayout w:type="fixed"/>
        <w:tblLook w:val="0020" w:firstRow="1" w:lastRow="0" w:firstColumn="0" w:lastColumn="0" w:noHBand="0" w:noVBand="0"/>
      </w:tblPr>
      <w:tblGrid>
        <w:gridCol w:w="4279"/>
        <w:gridCol w:w="5081"/>
      </w:tblGrid>
      <w:tr w:rsidR="00C87760" w14:paraId="79C1FBF3"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3620" w:type="dxa"/>
          </w:tcPr>
          <w:p w14:paraId="45D1E6EA" w14:textId="77777777" w:rsidR="00C87760" w:rsidRDefault="00000000">
            <w:pPr>
              <w:pStyle w:val="Compact"/>
            </w:pPr>
            <w:r>
              <w:t>Output</w:t>
            </w:r>
          </w:p>
        </w:tc>
        <w:tc>
          <w:tcPr>
            <w:tcW w:w="4299" w:type="dxa"/>
          </w:tcPr>
          <w:p w14:paraId="2094710E" w14:textId="77777777" w:rsidR="00C87760" w:rsidRDefault="00000000">
            <w:pPr>
              <w:pStyle w:val="Compact"/>
            </w:pPr>
            <w:r>
              <w:t>Description</w:t>
            </w:r>
          </w:p>
        </w:tc>
      </w:tr>
      <w:tr w:rsidR="00C87760" w14:paraId="2475A85B" w14:textId="77777777">
        <w:tc>
          <w:tcPr>
            <w:tcW w:w="3620" w:type="dxa"/>
          </w:tcPr>
          <w:p w14:paraId="21EB9FA0" w14:textId="77777777" w:rsidR="00C87760" w:rsidRDefault="00000000">
            <w:pPr>
              <w:pStyle w:val="Compact"/>
            </w:pPr>
            <w:proofErr w:type="spellStart"/>
            <w:r>
              <w:rPr>
                <w:rStyle w:val="VerbatimChar"/>
              </w:rPr>
              <w:t>supersector_nowcasts_reconciled</w:t>
            </w:r>
            <w:proofErr w:type="spellEnd"/>
          </w:p>
        </w:tc>
        <w:tc>
          <w:tcPr>
            <w:tcW w:w="4299" w:type="dxa"/>
          </w:tcPr>
          <w:p w14:paraId="67578AD3" w14:textId="77777777" w:rsidR="00C87760" w:rsidRDefault="00000000">
            <w:pPr>
              <w:pStyle w:val="Compact"/>
            </w:pPr>
            <w:r>
              <w:t xml:space="preserve">Reconciled </w:t>
            </w:r>
            <w:proofErr w:type="spellStart"/>
            <w:r>
              <w:t>supersector</w:t>
            </w:r>
            <w:proofErr w:type="spellEnd"/>
            <w:r>
              <w:t xml:space="preserve"> estimates (sum to national)</w:t>
            </w:r>
          </w:p>
        </w:tc>
      </w:tr>
      <w:tr w:rsidR="00C87760" w14:paraId="0D2BA594" w14:textId="77777777">
        <w:tc>
          <w:tcPr>
            <w:tcW w:w="3620" w:type="dxa"/>
          </w:tcPr>
          <w:p w14:paraId="50C86D85" w14:textId="77777777" w:rsidR="00C87760" w:rsidRDefault="00000000">
            <w:pPr>
              <w:pStyle w:val="Compact"/>
            </w:pPr>
            <w:proofErr w:type="spellStart"/>
            <w:r>
              <w:rPr>
                <w:rStyle w:val="VerbatimChar"/>
              </w:rPr>
              <w:t>supersector_contributions</w:t>
            </w:r>
            <w:proofErr w:type="spellEnd"/>
          </w:p>
        </w:tc>
        <w:tc>
          <w:tcPr>
            <w:tcW w:w="4299" w:type="dxa"/>
          </w:tcPr>
          <w:p w14:paraId="341E6594" w14:textId="77777777" w:rsidR="00C87760" w:rsidRDefault="00000000">
            <w:pPr>
              <w:pStyle w:val="Compact"/>
            </w:pPr>
            <w:r>
              <w:t xml:space="preserve">Employment-weighted contribution of each </w:t>
            </w:r>
            <w:proofErr w:type="spellStart"/>
            <w:r>
              <w:t>supersector</w:t>
            </w:r>
            <w:proofErr w:type="spellEnd"/>
            <w:r>
              <w:t xml:space="preserve"> to national change</w:t>
            </w:r>
          </w:p>
        </w:tc>
      </w:tr>
      <w:tr w:rsidR="00C87760" w14:paraId="664A5B1F" w14:textId="77777777">
        <w:tc>
          <w:tcPr>
            <w:tcW w:w="3620" w:type="dxa"/>
          </w:tcPr>
          <w:p w14:paraId="5E7BC4D4" w14:textId="77777777" w:rsidR="00C87760" w:rsidRDefault="00000000">
            <w:pPr>
              <w:pStyle w:val="Compact"/>
            </w:pPr>
            <w:proofErr w:type="spellStart"/>
            <w:r>
              <w:rPr>
                <w:rStyle w:val="VerbatimChar"/>
              </w:rPr>
              <w:t>top_industry_drivers</w:t>
            </w:r>
            <w:proofErr w:type="spellEnd"/>
          </w:p>
        </w:tc>
        <w:tc>
          <w:tcPr>
            <w:tcW w:w="4299" w:type="dxa"/>
          </w:tcPr>
          <w:p w14:paraId="4D3ADD58" w14:textId="77777777" w:rsidR="00C87760" w:rsidRDefault="00000000">
            <w:pPr>
              <w:pStyle w:val="Compact"/>
            </w:pPr>
            <w:proofErr w:type="spellStart"/>
            <w:r>
              <w:t>Supersectors</w:t>
            </w:r>
            <w:proofErr w:type="spellEnd"/>
            <w:r>
              <w:t xml:space="preserve"> contributing most to national change</w:t>
            </w:r>
          </w:p>
        </w:tc>
      </w:tr>
      <w:tr w:rsidR="00C87760" w14:paraId="49065826" w14:textId="77777777">
        <w:tc>
          <w:tcPr>
            <w:tcW w:w="3620" w:type="dxa"/>
          </w:tcPr>
          <w:p w14:paraId="4D96B284" w14:textId="77777777" w:rsidR="00C87760" w:rsidRDefault="00000000">
            <w:pPr>
              <w:pStyle w:val="Compact"/>
            </w:pPr>
            <w:proofErr w:type="spellStart"/>
            <w:r>
              <w:rPr>
                <w:rStyle w:val="VerbatimChar"/>
              </w:rPr>
              <w:t>supersector_bd</w:t>
            </w:r>
            <w:proofErr w:type="spellEnd"/>
          </w:p>
        </w:tc>
        <w:tc>
          <w:tcPr>
            <w:tcW w:w="4299" w:type="dxa"/>
          </w:tcPr>
          <w:p w14:paraId="294B4E44" w14:textId="77777777" w:rsidR="00C87760" w:rsidRDefault="00000000">
            <w:pPr>
              <w:pStyle w:val="Compact"/>
            </w:pPr>
            <w:r>
              <w:t>Industry-level BD trajectories</w:t>
            </w:r>
          </w:p>
        </w:tc>
      </w:tr>
      <w:tr w:rsidR="00C87760" w14:paraId="63E79F9A" w14:textId="77777777">
        <w:tc>
          <w:tcPr>
            <w:tcW w:w="3620" w:type="dxa"/>
          </w:tcPr>
          <w:p w14:paraId="137094A8" w14:textId="77777777" w:rsidR="00C87760" w:rsidRDefault="00000000">
            <w:pPr>
              <w:pStyle w:val="Compact"/>
            </w:pPr>
            <w:proofErr w:type="spellStart"/>
            <w:r>
              <w:rPr>
                <w:rStyle w:val="VerbatimChar"/>
              </w:rPr>
              <w:t>provider_supersector_coverage</w:t>
            </w:r>
            <w:proofErr w:type="spellEnd"/>
          </w:p>
        </w:tc>
        <w:tc>
          <w:tcPr>
            <w:tcW w:w="4299" w:type="dxa"/>
          </w:tcPr>
          <w:p w14:paraId="6103A541" w14:textId="77777777" w:rsidR="00C87760" w:rsidRDefault="00000000">
            <w:pPr>
              <w:pStyle w:val="Compact"/>
            </w:pPr>
            <w:r>
              <w:t xml:space="preserve">Which providers inform which </w:t>
            </w:r>
            <w:proofErr w:type="spellStart"/>
            <w:r>
              <w:t>supersectors</w:t>
            </w:r>
            <w:proofErr w:type="spellEnd"/>
          </w:p>
        </w:tc>
      </w:tr>
      <w:tr w:rsidR="00C87760" w14:paraId="0F065486" w14:textId="77777777">
        <w:tc>
          <w:tcPr>
            <w:tcW w:w="3620" w:type="dxa"/>
          </w:tcPr>
          <w:p w14:paraId="47E2D3DA" w14:textId="77777777" w:rsidR="00C87760" w:rsidRDefault="00000000">
            <w:pPr>
              <w:pStyle w:val="Compact"/>
            </w:pPr>
            <w:proofErr w:type="spellStart"/>
            <w:r>
              <w:rPr>
                <w:rStyle w:val="VerbatimChar"/>
              </w:rPr>
              <w:t>discrepancy_estimate</w:t>
            </w:r>
            <w:proofErr w:type="spellEnd"/>
          </w:p>
        </w:tc>
        <w:tc>
          <w:tcPr>
            <w:tcW w:w="4299" w:type="dxa"/>
          </w:tcPr>
          <w:p w14:paraId="63E6242A" w14:textId="77777777" w:rsidR="00C87760" w:rsidRDefault="00000000">
            <w:pPr>
              <w:pStyle w:val="Compact"/>
            </w:pPr>
            <w:r>
              <w:t xml:space="preserve">Current </w:t>
            </w:r>
            <m:oMath>
              <m:sSub>
                <m:sSubPr>
                  <m:ctrlPr>
                    <w:rPr>
                      <w:rFonts w:ascii="Cambria Math" w:hAnsi="Cambria Math"/>
                    </w:rPr>
                  </m:ctrlPr>
                </m:sSubPr>
                <m:e>
                  <m:r>
                    <w:rPr>
                      <w:rFonts w:ascii="Cambria Math" w:hAnsi="Cambria Math"/>
                    </w:rPr>
                    <m:t>δ</m:t>
                  </m:r>
                </m:e>
                <m:sub>
                  <m:r>
                    <w:rPr>
                      <w:rFonts w:ascii="Cambria Math" w:hAnsi="Cambria Math"/>
                    </w:rPr>
                    <m:t>t</m:t>
                  </m:r>
                </m:sub>
              </m:sSub>
            </m:oMath>
          </w:p>
        </w:tc>
      </w:tr>
      <w:tr w:rsidR="00C87760" w14:paraId="709D8B4D" w14:textId="77777777">
        <w:tc>
          <w:tcPr>
            <w:tcW w:w="3620" w:type="dxa"/>
          </w:tcPr>
          <w:p w14:paraId="00E5566D" w14:textId="77777777" w:rsidR="00C87760" w:rsidRDefault="00000000">
            <w:pPr>
              <w:pStyle w:val="Compact"/>
            </w:pPr>
            <w:proofErr w:type="spellStart"/>
            <w:r>
              <w:rPr>
                <w:rStyle w:val="VerbatimChar"/>
              </w:rPr>
              <w:t>information_regime</w:t>
            </w:r>
            <w:proofErr w:type="spellEnd"/>
          </w:p>
        </w:tc>
        <w:tc>
          <w:tcPr>
            <w:tcW w:w="4299" w:type="dxa"/>
          </w:tcPr>
          <w:p w14:paraId="79313A7B" w14:textId="77777777" w:rsidR="00C87760" w:rsidRDefault="00000000">
            <w:pPr>
              <w:pStyle w:val="Compact"/>
            </w:pPr>
            <w:r>
              <w:t>Current regime (A, B, or C)</w:t>
            </w:r>
          </w:p>
        </w:tc>
      </w:tr>
    </w:tbl>
    <w:p w14:paraId="66F5EFB3" w14:textId="77777777" w:rsidR="00C87760" w:rsidRDefault="00000000">
      <w:pPr>
        <w:pStyle w:val="Heading3"/>
      </w:pPr>
      <w:bookmarkStart w:id="61" w:name="validation-metrics-1"/>
      <w:bookmarkEnd w:id="60"/>
      <w:r>
        <w:t>Validation Metrics</w:t>
      </w:r>
    </w:p>
    <w:p w14:paraId="03F98112" w14:textId="77777777" w:rsidR="00C87760" w:rsidRDefault="00000000">
      <w:pPr>
        <w:pStyle w:val="Compact"/>
        <w:numPr>
          <w:ilvl w:val="0"/>
          <w:numId w:val="12"/>
        </w:numPr>
      </w:pPr>
      <w:r>
        <w:t>National RMSE (must not degrade vs. Release 1)</w:t>
      </w:r>
    </w:p>
    <w:p w14:paraId="15D93741" w14:textId="77777777" w:rsidR="00C87760" w:rsidRDefault="00000000">
      <w:pPr>
        <w:pStyle w:val="Compact"/>
        <w:numPr>
          <w:ilvl w:val="0"/>
          <w:numId w:val="12"/>
        </w:numPr>
      </w:pPr>
      <w:r>
        <w:t xml:space="preserve">Coherence: </w:t>
      </w:r>
      <w:proofErr w:type="spellStart"/>
      <w:r>
        <w:t>supersectors</w:t>
      </w:r>
      <w:proofErr w:type="spellEnd"/>
      <w:r>
        <w:t xml:space="preserve"> sum exactly to national</w:t>
      </w:r>
    </w:p>
    <w:p w14:paraId="4929766E" w14:textId="77777777" w:rsidR="00C87760" w:rsidRDefault="00000000">
      <w:pPr>
        <w:pStyle w:val="Compact"/>
        <w:numPr>
          <w:ilvl w:val="0"/>
          <w:numId w:val="12"/>
        </w:numPr>
      </w:pPr>
      <w:proofErr w:type="spellStart"/>
      <w:r>
        <w:t>Supersector</w:t>
      </w:r>
      <w:proofErr w:type="spellEnd"/>
      <w:r>
        <w:t>-level accuracy against QCEW by sector</w:t>
      </w:r>
    </w:p>
    <w:p w14:paraId="56B12E2E" w14:textId="77777777" w:rsidR="00C87760" w:rsidRDefault="00000000">
      <w:pPr>
        <w:pStyle w:val="Compact"/>
        <w:numPr>
          <w:ilvl w:val="0"/>
          <w:numId w:val="12"/>
        </w:numPr>
      </w:pPr>
      <w:r>
        <w:t>Industry narrative stability: does the Regime B industry decomposition hold up when later vintages arrive?</w:t>
      </w:r>
    </w:p>
    <w:p w14:paraId="66457AD8" w14:textId="77777777" w:rsidR="00C87760" w:rsidRDefault="00000000">
      <w:pPr>
        <w:pStyle w:val="Compact"/>
        <w:numPr>
          <w:ilvl w:val="0"/>
          <w:numId w:val="12"/>
        </w:numPr>
      </w:pPr>
      <w:r>
        <w:t xml:space="preserve">Provider ranking by signal quality, by </w:t>
      </w:r>
      <w:proofErr w:type="spellStart"/>
      <w:r>
        <w:t>supersector</w:t>
      </w:r>
      <w:proofErr w:type="spellEnd"/>
    </w:p>
    <w:p w14:paraId="12868C09" w14:textId="77777777" w:rsidR="00C87760" w:rsidRDefault="00000000">
      <w:pPr>
        <w:pStyle w:val="Heading3"/>
      </w:pPr>
      <w:bookmarkStart w:id="62" w:name="limitations-1"/>
      <w:bookmarkEnd w:id="61"/>
      <w:r>
        <w:t>Limitations</w:t>
      </w:r>
    </w:p>
    <w:p w14:paraId="4EB6E765" w14:textId="77777777" w:rsidR="00C87760" w:rsidRDefault="00000000">
      <w:pPr>
        <w:pStyle w:val="Compact"/>
        <w:numPr>
          <w:ilvl w:val="0"/>
          <w:numId w:val="13"/>
        </w:numPr>
      </w:pPr>
      <w:r>
        <w:t>No geographic decomposition (cannot answer “where?”)</w:t>
      </w:r>
    </w:p>
    <w:p w14:paraId="59D7FB63" w14:textId="77777777" w:rsidR="00C87760" w:rsidRDefault="00000000">
      <w:pPr>
        <w:pStyle w:val="Compact"/>
        <w:numPr>
          <w:ilvl w:val="0"/>
          <w:numId w:val="13"/>
        </w:numPr>
      </w:pPr>
      <w:r>
        <w:t xml:space="preserve">Exchangeable priors across </w:t>
      </w:r>
      <w:proofErr w:type="spellStart"/>
      <w:r>
        <w:t>supersectors</w:t>
      </w:r>
      <w:proofErr w:type="spellEnd"/>
      <w:r>
        <w:t xml:space="preserve"> (no nested industry structure)</w:t>
      </w:r>
    </w:p>
    <w:p w14:paraId="4DD3DBCE" w14:textId="77777777" w:rsidR="00C87760" w:rsidRDefault="00000000">
      <w:pPr>
        <w:pStyle w:val="Compact"/>
        <w:numPr>
          <w:ilvl w:val="0"/>
          <w:numId w:val="13"/>
        </w:numPr>
      </w:pPr>
      <w:r>
        <w:t>Static provider bias</w:t>
      </w:r>
    </w:p>
    <w:p w14:paraId="53A45BAE" w14:textId="77777777" w:rsidR="00C87760" w:rsidRDefault="00000000">
      <w:pPr>
        <w:pStyle w:val="Heading1"/>
      </w:pPr>
      <w:bookmarkStart w:id="63" w:name="X347fdf93651d4cedabc736750e624a0c5902f3d"/>
      <w:bookmarkEnd w:id="38"/>
      <w:bookmarkEnd w:id="42"/>
      <w:bookmarkEnd w:id="62"/>
      <w:r>
        <w:lastRenderedPageBreak/>
        <w:t>Release 3: Geographic × Industry Decomposition</w:t>
      </w:r>
    </w:p>
    <w:p w14:paraId="635E06FD" w14:textId="77777777" w:rsidR="00C87760" w:rsidRDefault="00000000">
      <w:pPr>
        <w:pStyle w:val="Heading2"/>
      </w:pPr>
      <w:bookmarkStart w:id="64" w:name="objective-2"/>
      <w:r>
        <w:t>Objective</w:t>
      </w:r>
    </w:p>
    <w:p w14:paraId="293EFD84" w14:textId="77777777" w:rsidR="00C87760" w:rsidRDefault="00000000">
      <w:pPr>
        <w:pStyle w:val="FirstParagraph"/>
      </w:pPr>
      <w:r>
        <w:t xml:space="preserve">Extend the narrative model to the full state × </w:t>
      </w:r>
      <w:proofErr w:type="spellStart"/>
      <w:r>
        <w:t>supersector</w:t>
      </w:r>
      <w:proofErr w:type="spellEnd"/>
      <w:r>
        <w:t xml:space="preserve"> grid, answering both “which industries?” and “where?” Introduce nested hierarchical priors, time-varying provider bias with QCEW error-correction, and QCEW forecasting for real-time conditioning.</w:t>
      </w:r>
    </w:p>
    <w:p w14:paraId="7090701D" w14:textId="77777777" w:rsidR="00C87760" w:rsidRDefault="00000000">
      <w:pPr>
        <w:pStyle w:val="Heading2"/>
      </w:pPr>
      <w:bookmarkStart w:id="65" w:name="incremental-changes-from-release-2"/>
      <w:bookmarkEnd w:id="64"/>
      <w:r>
        <w:t>Incremental Changes from Release 2</w:t>
      </w:r>
    </w:p>
    <w:p w14:paraId="702A0D75" w14:textId="77777777" w:rsidR="00C87760" w:rsidRDefault="00000000">
      <w:pPr>
        <w:pStyle w:val="Compact"/>
        <w:numPr>
          <w:ilvl w:val="0"/>
          <w:numId w:val="14"/>
        </w:numPr>
      </w:pPr>
      <w:r>
        <w:t xml:space="preserve">Expand cell grid from </w:t>
      </w:r>
      <w:proofErr w:type="spellStart"/>
      <w:r>
        <w:t>supersectors</w:t>
      </w:r>
      <w:proofErr w:type="spellEnd"/>
      <w:r>
        <w:t xml:space="preserve"> to state × </w:t>
      </w:r>
      <w:proofErr w:type="spellStart"/>
      <w:r>
        <w:t>supersector</w:t>
      </w:r>
      <w:proofErr w:type="spellEnd"/>
      <w:r>
        <w:t xml:space="preserve"> (~550 cells)</w:t>
      </w:r>
    </w:p>
    <w:p w14:paraId="18532430" w14:textId="77777777" w:rsidR="00C87760" w:rsidRDefault="00000000">
      <w:pPr>
        <w:pStyle w:val="Compact"/>
        <w:numPr>
          <w:ilvl w:val="0"/>
          <w:numId w:val="14"/>
        </w:numPr>
      </w:pPr>
      <w:r>
        <w:t xml:space="preserve">Nested random effects for geography (region → division → state) and industry (domain → </w:t>
      </w:r>
      <w:proofErr w:type="spellStart"/>
      <w:r>
        <w:t>supersector</w:t>
      </w:r>
      <w:proofErr w:type="spellEnd"/>
      <w:r>
        <w:t>)</w:t>
      </w:r>
    </w:p>
    <w:p w14:paraId="48A00174" w14:textId="77777777" w:rsidR="00C87760" w:rsidRDefault="00000000">
      <w:pPr>
        <w:pStyle w:val="Compact"/>
        <w:numPr>
          <w:ilvl w:val="0"/>
          <w:numId w:val="14"/>
        </w:numPr>
      </w:pPr>
      <w:r>
        <w:t>Bias/loading decomposes into geographic, industry, provider, and residual components</w:t>
      </w:r>
    </w:p>
    <w:p w14:paraId="3D64ABF0" w14:textId="77777777" w:rsidR="00C87760" w:rsidRDefault="00000000">
      <w:pPr>
        <w:pStyle w:val="Compact"/>
        <w:numPr>
          <w:ilvl w:val="0"/>
          <w:numId w:val="14"/>
        </w:numPr>
      </w:pPr>
      <w:r>
        <w:t>BD intensity follows nested industry hierarchy</w:t>
      </w:r>
    </w:p>
    <w:p w14:paraId="5A24E622" w14:textId="77777777" w:rsidR="00C87760" w:rsidRDefault="00000000">
      <w:pPr>
        <w:pStyle w:val="Compact"/>
        <w:numPr>
          <w:ilvl w:val="0"/>
          <w:numId w:val="14"/>
        </w:numPr>
      </w:pPr>
      <w:r>
        <w:t xml:space="preserve">Time-varying bias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w:r>
        <w:t xml:space="preserve"> with RW1 dynamics and QCEW error-correction</w:t>
      </w:r>
    </w:p>
    <w:p w14:paraId="549D9F49" w14:textId="77777777" w:rsidR="00C87760" w:rsidRDefault="00000000">
      <w:pPr>
        <w:pStyle w:val="Compact"/>
        <w:numPr>
          <w:ilvl w:val="0"/>
          <w:numId w:val="14"/>
        </w:numPr>
      </w:pPr>
      <w:r>
        <w:t>CES state measurement equations (delayed by ~2 weeks vs. national)</w:t>
      </w:r>
    </w:p>
    <w:p w14:paraId="3DF493CE" w14:textId="77777777" w:rsidR="00C87760" w:rsidRDefault="00000000">
      <w:pPr>
        <w:pStyle w:val="Compact"/>
        <w:numPr>
          <w:ilvl w:val="0"/>
          <w:numId w:val="14"/>
        </w:numPr>
      </w:pPr>
      <w:r>
        <w:t>Forecasted QCEW enables real-time conditioning despite 5–</w:t>
      </w:r>
      <w:proofErr w:type="gramStart"/>
      <w:r>
        <w:t>6 month</w:t>
      </w:r>
      <w:proofErr w:type="gramEnd"/>
      <w:r>
        <w:t xml:space="preserve"> lag</w:t>
      </w:r>
    </w:p>
    <w:p w14:paraId="6AD708F8" w14:textId="77777777" w:rsidR="00C87760" w:rsidRDefault="00000000">
      <w:pPr>
        <w:pStyle w:val="Compact"/>
        <w:numPr>
          <w:ilvl w:val="0"/>
          <w:numId w:val="14"/>
        </w:numPr>
      </w:pPr>
      <w:r>
        <w:t>Hierarchical Fourier seasonal with industry-parent shrinkage for sparse cells</w:t>
      </w:r>
    </w:p>
    <w:p w14:paraId="568008B4" w14:textId="77777777" w:rsidR="00C87760" w:rsidRDefault="00000000">
      <w:pPr>
        <w:pStyle w:val="Heading2"/>
      </w:pPr>
      <w:bookmarkStart w:id="66" w:name="system-description-2"/>
      <w:bookmarkEnd w:id="65"/>
      <w:r>
        <w:t>System Description</w:t>
      </w:r>
    </w:p>
    <w:p w14:paraId="08DACFEA" w14:textId="77777777" w:rsidR="00C87760" w:rsidRDefault="00000000">
      <w:pPr>
        <w:pStyle w:val="FirstParagraph"/>
      </w:pPr>
      <w:r>
        <w:t>The system now runs three estimation components:</w:t>
      </w:r>
    </w:p>
    <w:p w14:paraId="4D66F469" w14:textId="77777777" w:rsidR="00C87760" w:rsidRDefault="00000000">
      <w:pPr>
        <w:pStyle w:val="Compact"/>
        <w:numPr>
          <w:ilvl w:val="0"/>
          <w:numId w:val="15"/>
        </w:numPr>
      </w:pPr>
      <w:r>
        <w:rPr>
          <w:b/>
          <w:bCs/>
        </w:rPr>
        <w:t>National Accuracy Model</w:t>
      </w:r>
      <w:r>
        <w:t xml:space="preserve"> (Release 1, unchanged)</w:t>
      </w:r>
    </w:p>
    <w:p w14:paraId="01BB4706" w14:textId="77777777" w:rsidR="00C87760" w:rsidRDefault="00000000">
      <w:pPr>
        <w:pStyle w:val="Compact"/>
        <w:numPr>
          <w:ilvl w:val="0"/>
          <w:numId w:val="15"/>
        </w:numPr>
      </w:pPr>
      <w:proofErr w:type="spellStart"/>
      <w:r>
        <w:rPr>
          <w:b/>
          <w:bCs/>
        </w:rPr>
        <w:t>Supersector</w:t>
      </w:r>
      <w:proofErr w:type="spellEnd"/>
      <w:r>
        <w:rPr>
          <w:b/>
          <w:bCs/>
        </w:rPr>
        <w:t xml:space="preserve"> models</w:t>
      </w:r>
      <w:r>
        <w:t xml:space="preserve"> (Release 2, now embedded in the full hierarchy)</w:t>
      </w:r>
    </w:p>
    <w:p w14:paraId="08A073B8" w14:textId="77777777" w:rsidR="00C87760" w:rsidRDefault="00000000">
      <w:pPr>
        <w:pStyle w:val="Compact"/>
        <w:numPr>
          <w:ilvl w:val="0"/>
          <w:numId w:val="15"/>
        </w:numPr>
      </w:pPr>
      <w:r>
        <w:rPr>
          <w:b/>
          <w:bCs/>
        </w:rPr>
        <w:t xml:space="preserve">State × </w:t>
      </w:r>
      <w:proofErr w:type="spellStart"/>
      <w:r>
        <w:rPr>
          <w:b/>
          <w:bCs/>
        </w:rPr>
        <w:t>supersector</w:t>
      </w:r>
      <w:proofErr w:type="spellEnd"/>
      <w:r>
        <w:rPr>
          <w:b/>
          <w:bCs/>
        </w:rPr>
        <w:t xml:space="preserve"> models</w:t>
      </w:r>
      <w:r>
        <w:t xml:space="preserve"> (this release)</w:t>
      </w:r>
    </w:p>
    <w:p w14:paraId="0E8418B7" w14:textId="77777777" w:rsidR="00C87760" w:rsidRDefault="00000000">
      <w:pPr>
        <w:pStyle w:val="FirstParagraph"/>
      </w:pPr>
      <w:proofErr w:type="spellStart"/>
      <w:r>
        <w:t>MinT</w:t>
      </w:r>
      <w:proofErr w:type="spellEnd"/>
      <w:r>
        <w:t xml:space="preserve"> reconciliation operates on the full hierarchy: national → </w:t>
      </w:r>
      <w:proofErr w:type="spellStart"/>
      <w:r>
        <w:t>supersectors</w:t>
      </w:r>
      <w:proofErr w:type="spellEnd"/>
      <w:r>
        <w:t xml:space="preserve"> → state × </w:t>
      </w:r>
      <w:proofErr w:type="spellStart"/>
      <w:r>
        <w:t>supersector</w:t>
      </w:r>
      <w:proofErr w:type="spellEnd"/>
      <w:r>
        <w:t xml:space="preserve"> cells.</w:t>
      </w:r>
    </w:p>
    <w:p w14:paraId="7CB4D7CB" w14:textId="77777777" w:rsidR="00C87760" w:rsidRDefault="00000000">
      <w:pPr>
        <w:pStyle w:val="BodyText"/>
      </w:pPr>
      <w:r>
        <w:t>The geographic dimension introduces two constraints absent from the industry-only decomposition:</w:t>
      </w:r>
    </w:p>
    <w:p w14:paraId="40C787F6" w14:textId="77777777" w:rsidR="00C87760" w:rsidRDefault="00000000">
      <w:pPr>
        <w:pStyle w:val="BodyText"/>
      </w:pPr>
      <w:r>
        <w:rPr>
          <w:b/>
          <w:bCs/>
        </w:rPr>
        <w:t>Timing constraint.</w:t>
      </w:r>
      <w:r>
        <w:t xml:space="preserve"> State CES arrives ~2 weeks after national CES. During Regime B, the geographic decomposition relies on provider signals and hierarchical priors. The industry decomposition remains anchored throughout.</w:t>
      </w:r>
    </w:p>
    <w:p w14:paraId="41B7B82B" w14:textId="77777777" w:rsidR="00C87760" w:rsidRDefault="00000000">
      <w:pPr>
        <w:pStyle w:val="BodyText"/>
      </w:pPr>
      <w:r>
        <w:rPr>
          <w:b/>
          <w:bCs/>
        </w:rPr>
        <w:t>Revision-data constraint.</w:t>
      </w:r>
      <w:r>
        <w:t xml:space="preserve"> State × industry CES revision data is unavailable. Cell-level noise parameters must be drawn from hierarchical priors pooling toward observable parent-level variances. The Dunn et al. (2026) granularity-accuracy relationship (</w:t>
      </w:r>
      <m:oMath>
        <m:r>
          <m:rPr>
            <m:sty m:val="p"/>
          </m:rPr>
          <w:rPr>
            <w:rFonts w:ascii="Cambria Math" w:hAnsi="Cambria Math"/>
          </w:rPr>
          <m:t>-</m:t>
        </m:r>
        <m:r>
          <w:rPr>
            <w:rFonts w:ascii="Cambria Math" w:hAnsi="Cambria Math"/>
          </w:rPr>
          <m:t>ln</m:t>
        </m:r>
        <m:d>
          <m:dPr>
            <m:ctrlPr>
              <w:rPr>
                <w:rFonts w:ascii="Cambria Math" w:hAnsi="Cambria Math"/>
              </w:rPr>
            </m:ctrlPr>
          </m:dPr>
          <m:e>
            <m:r>
              <m:rPr>
                <m:nor/>
              </m:rPr>
              <m:t>RMSE</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ctrlPr>
              <w:rPr>
                <w:rFonts w:ascii="Cambria Math" w:hAnsi="Cambria Math"/>
              </w:rPr>
            </m:ctrlPr>
          </m:dPr>
          <m:e>
            <m:r>
              <m:rPr>
                <m:nor/>
              </m:rPr>
              <m:t>cell size</m:t>
            </m:r>
          </m:e>
        </m:d>
      </m:oMath>
      <w:r>
        <w:t>) provides structural form for interpolating expected noise at finer granularities.</w:t>
      </w:r>
    </w:p>
    <w:p w14:paraId="40210E41" w14:textId="77777777" w:rsidR="00C87760" w:rsidRDefault="00000000">
      <w:pPr>
        <w:pStyle w:val="Heading3"/>
      </w:pPr>
      <w:bookmarkStart w:id="67" w:name="additional-data-inputs-1"/>
      <w:r>
        <w:lastRenderedPageBreak/>
        <w:t>Additional Data Inputs</w:t>
      </w:r>
    </w:p>
    <w:tbl>
      <w:tblPr>
        <w:tblStyle w:val="Table"/>
        <w:tblW w:w="5000" w:type="pct"/>
        <w:tblLayout w:type="fixed"/>
        <w:tblLook w:val="0020" w:firstRow="1" w:lastRow="0" w:firstColumn="0" w:lastColumn="0" w:noHBand="0" w:noVBand="0"/>
      </w:tblPr>
      <w:tblGrid>
        <w:gridCol w:w="2242"/>
        <w:gridCol w:w="2241"/>
        <w:gridCol w:w="2241"/>
        <w:gridCol w:w="2636"/>
      </w:tblGrid>
      <w:tr w:rsidR="00C87760" w14:paraId="193C91BB"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1896" w:type="dxa"/>
          </w:tcPr>
          <w:p w14:paraId="4F2CBC23" w14:textId="77777777" w:rsidR="00C87760" w:rsidRDefault="00000000">
            <w:pPr>
              <w:pStyle w:val="Compact"/>
            </w:pPr>
            <w:r>
              <w:t>Source</w:t>
            </w:r>
          </w:p>
        </w:tc>
        <w:tc>
          <w:tcPr>
            <w:tcW w:w="1896" w:type="dxa"/>
          </w:tcPr>
          <w:p w14:paraId="023A7378" w14:textId="77777777" w:rsidR="00C87760" w:rsidRDefault="00000000">
            <w:pPr>
              <w:pStyle w:val="Compact"/>
            </w:pPr>
            <w:r>
              <w:t>Frequency</w:t>
            </w:r>
          </w:p>
        </w:tc>
        <w:tc>
          <w:tcPr>
            <w:tcW w:w="1896" w:type="dxa"/>
          </w:tcPr>
          <w:p w14:paraId="176C7386" w14:textId="77777777" w:rsidR="00C87760" w:rsidRDefault="00000000">
            <w:pPr>
              <w:pStyle w:val="Compact"/>
            </w:pPr>
            <w:r>
              <w:t>Lag</w:t>
            </w:r>
          </w:p>
        </w:tc>
        <w:tc>
          <w:tcPr>
            <w:tcW w:w="2230" w:type="dxa"/>
          </w:tcPr>
          <w:p w14:paraId="3698A69C" w14:textId="77777777" w:rsidR="00C87760" w:rsidRDefault="00000000">
            <w:pPr>
              <w:pStyle w:val="Compact"/>
            </w:pPr>
            <w:r>
              <w:t>Description</w:t>
            </w:r>
          </w:p>
        </w:tc>
      </w:tr>
      <w:tr w:rsidR="00C87760" w14:paraId="03D2AFC7" w14:textId="77777777">
        <w:tc>
          <w:tcPr>
            <w:tcW w:w="1896" w:type="dxa"/>
          </w:tcPr>
          <w:p w14:paraId="43AF6B5B" w14:textId="77777777" w:rsidR="00C87760" w:rsidRDefault="00000000">
            <w:pPr>
              <w:pStyle w:val="Compact"/>
            </w:pPr>
            <w:r>
              <w:t>CES State (SA + NSA)</w:t>
            </w:r>
          </w:p>
        </w:tc>
        <w:tc>
          <w:tcPr>
            <w:tcW w:w="1896" w:type="dxa"/>
          </w:tcPr>
          <w:p w14:paraId="3BB65348" w14:textId="77777777" w:rsidR="00C87760" w:rsidRDefault="00000000">
            <w:pPr>
              <w:pStyle w:val="Compact"/>
            </w:pPr>
            <w:r>
              <w:t>Monthly</w:t>
            </w:r>
          </w:p>
        </w:tc>
        <w:tc>
          <w:tcPr>
            <w:tcW w:w="1896" w:type="dxa"/>
          </w:tcPr>
          <w:p w14:paraId="5CA5C719" w14:textId="77777777" w:rsidR="00C87760" w:rsidRDefault="00000000">
            <w:pPr>
              <w:pStyle w:val="Compact"/>
            </w:pPr>
            <w:r>
              <w:t>~5 weeks (1st print), ~9 weeks (final)</w:t>
            </w:r>
          </w:p>
        </w:tc>
        <w:tc>
          <w:tcPr>
            <w:tcW w:w="2230" w:type="dxa"/>
          </w:tcPr>
          <w:p w14:paraId="5ED3F108" w14:textId="77777777" w:rsidR="00C87760" w:rsidRDefault="00000000">
            <w:pPr>
              <w:pStyle w:val="Compact"/>
            </w:pPr>
            <w:r>
              <w:t>State total nonfarm. Two closings (not three).</w:t>
            </w:r>
          </w:p>
        </w:tc>
      </w:tr>
      <w:tr w:rsidR="00C87760" w14:paraId="347F6553" w14:textId="77777777">
        <w:tc>
          <w:tcPr>
            <w:tcW w:w="1896" w:type="dxa"/>
          </w:tcPr>
          <w:p w14:paraId="44AE2009" w14:textId="77777777" w:rsidR="00C87760" w:rsidRDefault="00000000">
            <w:pPr>
              <w:pStyle w:val="Compact"/>
            </w:pPr>
            <w:r>
              <w:t>QCEW by State</w:t>
            </w:r>
          </w:p>
        </w:tc>
        <w:tc>
          <w:tcPr>
            <w:tcW w:w="1896" w:type="dxa"/>
          </w:tcPr>
          <w:p w14:paraId="670FE2B1" w14:textId="77777777" w:rsidR="00C87760" w:rsidRDefault="00000000">
            <w:pPr>
              <w:pStyle w:val="Compact"/>
            </w:pPr>
            <w:r>
              <w:t>Quarterly</w:t>
            </w:r>
          </w:p>
        </w:tc>
        <w:tc>
          <w:tcPr>
            <w:tcW w:w="1896" w:type="dxa"/>
          </w:tcPr>
          <w:p w14:paraId="67788FF1" w14:textId="77777777" w:rsidR="00C87760" w:rsidRDefault="00000000">
            <w:pPr>
              <w:pStyle w:val="Compact"/>
            </w:pPr>
            <w:r>
              <w:t>~5–6 months</w:t>
            </w:r>
          </w:p>
        </w:tc>
        <w:tc>
          <w:tcPr>
            <w:tcW w:w="2230" w:type="dxa"/>
          </w:tcPr>
          <w:p w14:paraId="1737031E" w14:textId="77777777" w:rsidR="00C87760" w:rsidRDefault="00000000">
            <w:pPr>
              <w:pStyle w:val="Compact"/>
            </w:pPr>
            <w:r>
              <w:t>State-level near-census. M3/M12 differential applies.</w:t>
            </w:r>
          </w:p>
        </w:tc>
      </w:tr>
      <w:tr w:rsidR="00C87760" w14:paraId="2D54DEFC" w14:textId="77777777">
        <w:tc>
          <w:tcPr>
            <w:tcW w:w="1896" w:type="dxa"/>
          </w:tcPr>
          <w:p w14:paraId="165EE950" w14:textId="77777777" w:rsidR="00C87760" w:rsidRDefault="00000000">
            <w:pPr>
              <w:pStyle w:val="Compact"/>
            </w:pPr>
            <w:r>
              <w:t xml:space="preserve">Provider data by state × </w:t>
            </w:r>
            <w:proofErr w:type="spellStart"/>
            <w:r>
              <w:t>supersector</w:t>
            </w:r>
            <w:proofErr w:type="spellEnd"/>
          </w:p>
        </w:tc>
        <w:tc>
          <w:tcPr>
            <w:tcW w:w="1896" w:type="dxa"/>
          </w:tcPr>
          <w:p w14:paraId="52295277" w14:textId="77777777" w:rsidR="00C87760" w:rsidRDefault="00000000">
            <w:pPr>
              <w:pStyle w:val="Compact"/>
            </w:pPr>
            <w:r>
              <w:t>Monthly</w:t>
            </w:r>
          </w:p>
        </w:tc>
        <w:tc>
          <w:tcPr>
            <w:tcW w:w="1896" w:type="dxa"/>
          </w:tcPr>
          <w:p w14:paraId="164D861C" w14:textId="77777777" w:rsidR="00C87760" w:rsidRDefault="00000000">
            <w:pPr>
              <w:pStyle w:val="Compact"/>
            </w:pPr>
            <w:r>
              <w:t>Real-time</w:t>
            </w:r>
          </w:p>
        </w:tc>
        <w:tc>
          <w:tcPr>
            <w:tcW w:w="2230" w:type="dxa"/>
          </w:tcPr>
          <w:p w14:paraId="371EA2B6" w14:textId="77777777" w:rsidR="00C87760" w:rsidRDefault="00000000">
            <w:pPr>
              <w:pStyle w:val="Compact"/>
            </w:pPr>
            <w:r>
              <w:t>Cell-level provider indices (where coverage exists).</w:t>
            </w:r>
          </w:p>
        </w:tc>
      </w:tr>
    </w:tbl>
    <w:p w14:paraId="2BFB2C3C" w14:textId="77777777" w:rsidR="00C87760" w:rsidRDefault="00000000">
      <w:pPr>
        <w:pStyle w:val="Heading3"/>
      </w:pPr>
      <w:bookmarkStart w:id="68" w:name="complete-model-specification-2"/>
      <w:bookmarkEnd w:id="67"/>
      <w:r>
        <w:t>Complete Model Specification</w:t>
      </w:r>
    </w:p>
    <w:p w14:paraId="5DDCC699" w14:textId="77777777" w:rsidR="00C87760" w:rsidRDefault="00000000">
      <w:pPr>
        <w:pStyle w:val="Heading4"/>
      </w:pPr>
      <w:bookmarkStart w:id="69" w:name="cell-level-latent-states"/>
      <w:r>
        <w:t>Cell-Level Latent States</w:t>
      </w:r>
    </w:p>
    <w:p w14:paraId="79BBBC63" w14:textId="77777777" w:rsidR="00C87760" w:rsidRDefault="00000000">
      <w:pPr>
        <w:pStyle w:val="FirstParagraph"/>
      </w:pPr>
      <w:r>
        <w:t xml:space="preserve">For each cell </w:t>
      </w:r>
      <m:oMath>
        <m:r>
          <w:rPr>
            <w:rFonts w:ascii="Cambria Math" w:hAnsi="Cambria Math"/>
          </w:rPr>
          <m:t>j</m:t>
        </m:r>
      </m:oMath>
      <w:r>
        <w:t xml:space="preserve"> in the state × supersector grid:</w:t>
      </w:r>
    </w:p>
    <w:p w14:paraId="323715E1"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064F3295"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27542970" w14:textId="77777777" w:rsidR="00C87760" w:rsidRDefault="00000000">
      <w:pPr>
        <w:pStyle w:val="Heading4"/>
      </w:pPr>
      <w:bookmarkStart w:id="70" w:name="nested-hierarchical-structure"/>
      <w:bookmarkEnd w:id="69"/>
      <w:r>
        <w:t>Nested Hierarchical Structure</w:t>
      </w:r>
    </w:p>
    <w:p w14:paraId="62C68713" w14:textId="77777777" w:rsidR="00C87760" w:rsidRDefault="00000000">
      <w:pPr>
        <w:pStyle w:val="FirstParagraph"/>
      </w:pPr>
      <w:r>
        <w:t>Cell-level bias decomposes into geographic, industry, provider, and residual components:</w:t>
      </w:r>
    </w:p>
    <w:p w14:paraId="7538D87D"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sub>
            <m:sup>
              <m:r>
                <w:rPr>
                  <w:rFonts w:ascii="Cambria Math" w:hAnsi="Cambria Math"/>
                </w:rPr>
                <m:t>prov</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r</m:t>
              </m:r>
              <m:d>
                <m:dPr>
                  <m:ctrlPr>
                    <w:rPr>
                      <w:rFonts w:ascii="Cambria Math" w:hAnsi="Cambria Math"/>
                    </w:rPr>
                  </m:ctrlPr>
                </m:dPr>
                <m:e>
                  <m:r>
                    <w:rPr>
                      <w:rFonts w:ascii="Cambria Math" w:hAnsi="Cambria Math"/>
                    </w:rPr>
                    <m:t>j</m:t>
                  </m:r>
                </m:e>
              </m:d>
            </m:sub>
            <m:sup>
              <m:r>
                <w:rPr>
                  <w:rFonts w:ascii="Cambria Math" w:hAnsi="Cambria Math"/>
                </w:rPr>
                <m:t>region</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d</m:t>
              </m:r>
              <m:d>
                <m:dPr>
                  <m:ctrlPr>
                    <w:rPr>
                      <w:rFonts w:ascii="Cambria Math" w:hAnsi="Cambria Math"/>
                    </w:rPr>
                  </m:ctrlPr>
                </m:dPr>
                <m:e>
                  <m:r>
                    <w:rPr>
                      <w:rFonts w:ascii="Cambria Math" w:hAnsi="Cambria Math"/>
                    </w:rPr>
                    <m:t>j</m:t>
                  </m:r>
                </m:e>
              </m:d>
            </m:sub>
            <m:sup>
              <m:r>
                <w:rPr>
                  <w:rFonts w:ascii="Cambria Math" w:hAnsi="Cambria Math"/>
                </w:rPr>
                <m:t>division</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st</m:t>
              </m:r>
              <m:d>
                <m:dPr>
                  <m:ctrlPr>
                    <w:rPr>
                      <w:rFonts w:ascii="Cambria Math" w:hAnsi="Cambria Math"/>
                    </w:rPr>
                  </m:ctrlPr>
                </m:dPr>
                <m:e>
                  <m:r>
                    <w:rPr>
                      <w:rFonts w:ascii="Cambria Math" w:hAnsi="Cambria Math"/>
                    </w:rPr>
                    <m:t>j</m:t>
                  </m:r>
                </m:e>
              </m:d>
            </m:sub>
            <m:sup>
              <m:r>
                <w:rPr>
                  <w:rFonts w:ascii="Cambria Math" w:hAnsi="Cambria Math"/>
                </w:rPr>
                <m:t>state</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s</m:t>
              </m:r>
              <m:d>
                <m:dPr>
                  <m:ctrlPr>
                    <w:rPr>
                      <w:rFonts w:ascii="Cambria Math" w:hAnsi="Cambria Math"/>
                    </w:rPr>
                  </m:ctrlPr>
                </m:dPr>
                <m:e>
                  <m:r>
                    <w:rPr>
                      <w:rFonts w:ascii="Cambria Math" w:hAnsi="Cambria Math"/>
                    </w:rPr>
                    <m:t>j</m:t>
                  </m:r>
                </m:e>
              </m:d>
            </m:sub>
            <m:sup>
              <m:r>
                <w:rPr>
                  <w:rFonts w:ascii="Cambria Math" w:hAnsi="Cambria Math"/>
                </w:rPr>
                <m:t>supersector</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sub>
            <m:sup>
              <m:r>
                <w:rPr>
                  <w:rFonts w:ascii="Cambria Math" w:hAnsi="Cambria Math"/>
                </w:rPr>
                <m:t>prov</m:t>
              </m:r>
              <m:r>
                <m:rPr>
                  <m:sty m:val="p"/>
                </m:rPr>
                <w:rPr>
                  <w:rFonts w:ascii="Cambria Math" w:hAnsi="Cambria Math"/>
                </w:rPr>
                <m:t>×</m:t>
              </m:r>
              <m:r>
                <w:rPr>
                  <w:rFonts w:ascii="Cambria Math" w:hAnsi="Cambria Math"/>
                </w:rPr>
                <m:t>ind</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up>
              <m:r>
                <w:rPr>
                  <w:rFonts w:ascii="Cambria Math" w:hAnsi="Cambria Math"/>
                </w:rPr>
                <m:t>resid</m:t>
              </m:r>
            </m:sup>
          </m:sSubSup>
        </m:oMath>
      </m:oMathPara>
    </w:p>
    <w:p w14:paraId="20D62587" w14:textId="77777777" w:rsidR="00C87760"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st</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oMath>
      <w:r>
        <w:t xml:space="preserve"> denote the region, division, state, and supersector of cell </w:t>
      </w:r>
      <m:oMath>
        <m:r>
          <w:rPr>
            <w:rFonts w:ascii="Cambria Math" w:hAnsi="Cambria Math"/>
          </w:rPr>
          <m:t>j</m:t>
        </m:r>
      </m:oMath>
      <w:r>
        <w:t>.</w:t>
      </w:r>
    </w:p>
    <w:p w14:paraId="526A7818" w14:textId="77777777" w:rsidR="00C87760" w:rsidRDefault="00000000">
      <w:pPr>
        <w:pStyle w:val="BodyText"/>
      </w:pPr>
      <w:r>
        <w:rPr>
          <w:b/>
          <w:bCs/>
        </w:rPr>
        <w:t>Geographic hierarchy:</w:t>
      </w:r>
    </w:p>
    <w:p w14:paraId="598E1891"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r</m:t>
              </m:r>
            </m:sub>
            <m:sup>
              <m:r>
                <w:rPr>
                  <w:rFonts w:ascii="Cambria Math" w:hAnsi="Cambria Math"/>
                </w:rPr>
                <m:t>region</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region</m:t>
                  </m:r>
                </m:sub>
                <m:sup>
                  <m:r>
                    <w:rPr>
                      <w:rFonts w:ascii="Cambria Math" w:hAnsi="Cambria Math"/>
                    </w:rPr>
                    <m:t>2</m:t>
                  </m:r>
                </m:sup>
              </m:sSubSup>
            </m:e>
          </m:d>
        </m:oMath>
      </m:oMathPara>
    </w:p>
    <w:p w14:paraId="3B516970"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d</m:t>
              </m:r>
            </m:sub>
            <m:sup>
              <m:r>
                <w:rPr>
                  <w:rFonts w:ascii="Cambria Math" w:hAnsi="Cambria Math"/>
                </w:rPr>
                <m:t>division</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division</m:t>
                  </m:r>
                </m:sub>
                <m:sup>
                  <m:r>
                    <w:rPr>
                      <w:rFonts w:ascii="Cambria Math" w:hAnsi="Cambria Math"/>
                    </w:rPr>
                    <m:t>2</m:t>
                  </m:r>
                </m:sup>
              </m:sSubSup>
            </m:e>
          </m:d>
        </m:oMath>
      </m:oMathPara>
    </w:p>
    <w:p w14:paraId="3D46C3B5"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st</m:t>
              </m:r>
            </m:sub>
            <m:sup>
              <m:r>
                <w:rPr>
                  <w:rFonts w:ascii="Cambria Math" w:hAnsi="Cambria Math"/>
                </w:rPr>
                <m:t>state</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state</m:t>
                  </m:r>
                </m:sub>
                <m:sup>
                  <m:r>
                    <w:rPr>
                      <w:rFonts w:ascii="Cambria Math" w:hAnsi="Cambria Math"/>
                    </w:rPr>
                    <m:t>2</m:t>
                  </m:r>
                </m:sup>
              </m:sSubSup>
            </m:e>
          </m:d>
        </m:oMath>
      </m:oMathPara>
    </w:p>
    <w:p w14:paraId="5ECEBE4F" w14:textId="77777777" w:rsidR="00C87760" w:rsidRDefault="00000000">
      <w:pPr>
        <w:pStyle w:val="FirstParagraph"/>
      </w:pPr>
      <w:r>
        <w:rPr>
          <w:b/>
          <w:bCs/>
        </w:rPr>
        <w:t>Industry hierarchy:</w:t>
      </w:r>
    </w:p>
    <w:p w14:paraId="3C67C872"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dom</m:t>
              </m:r>
            </m:sub>
            <m:sup>
              <m:r>
                <w:rPr>
                  <w:rFonts w:ascii="Cambria Math" w:hAnsi="Cambria Math"/>
                </w:rPr>
                <m:t>domain</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domain</m:t>
                  </m:r>
                </m:sub>
                <m:sup>
                  <m:r>
                    <w:rPr>
                      <w:rFonts w:ascii="Cambria Math" w:hAnsi="Cambria Math"/>
                    </w:rPr>
                    <m:t>2</m:t>
                  </m:r>
                </m:sup>
              </m:sSubSup>
            </m:e>
          </m:d>
        </m:oMath>
      </m:oMathPara>
    </w:p>
    <w:p w14:paraId="74819EE5"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s</m:t>
              </m:r>
            </m:sub>
            <m:sup>
              <m:r>
                <w:rPr>
                  <w:rFonts w:ascii="Cambria Math" w:hAnsi="Cambria Math"/>
                </w:rPr>
                <m:t>supersector</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dom</m:t>
                  </m:r>
                  <m:d>
                    <m:dPr>
                      <m:ctrlPr>
                        <w:rPr>
                          <w:rFonts w:ascii="Cambria Math" w:hAnsi="Cambria Math"/>
                        </w:rPr>
                      </m:ctrlPr>
                    </m:dPr>
                    <m:e>
                      <m:r>
                        <w:rPr>
                          <w:rFonts w:ascii="Cambria Math" w:hAnsi="Cambria Math"/>
                        </w:rPr>
                        <m:t>s</m:t>
                      </m:r>
                    </m:e>
                  </m:d>
                </m:sub>
                <m:sup>
                  <m:r>
                    <w:rPr>
                      <w:rFonts w:ascii="Cambria Math" w:hAnsi="Cambria Math"/>
                    </w:rPr>
                    <m:t>domain</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supersector</m:t>
                  </m:r>
                  <m:r>
                    <m:rPr>
                      <m:sty m:val="p"/>
                    </m:rPr>
                    <w:rPr>
                      <w:rFonts w:ascii="Cambria Math" w:hAnsi="Cambria Math"/>
                    </w:rPr>
                    <m:t>|</m:t>
                  </m:r>
                  <m:r>
                    <w:rPr>
                      <w:rFonts w:ascii="Cambria Math" w:hAnsi="Cambria Math"/>
                    </w:rPr>
                    <m:t>domain</m:t>
                  </m:r>
                </m:sub>
                <m:sup>
                  <m:r>
                    <w:rPr>
                      <w:rFonts w:ascii="Cambria Math" w:hAnsi="Cambria Math"/>
                    </w:rPr>
                    <m:t>2</m:t>
                  </m:r>
                </m:sup>
              </m:sSubSup>
            </m:e>
          </m:d>
        </m:oMath>
      </m:oMathPara>
    </w:p>
    <w:p w14:paraId="2BB99D18" w14:textId="77777777" w:rsidR="00C87760" w:rsidRDefault="00000000">
      <w:pPr>
        <w:pStyle w:val="FirstParagraph"/>
      </w:pPr>
      <w:r>
        <w:rPr>
          <w:b/>
          <w:bCs/>
        </w:rPr>
        <w:t>Provider × industry interaction:</w:t>
      </w:r>
    </w:p>
    <w:p w14:paraId="0ACC7CC3"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s</m:t>
              </m:r>
            </m:sub>
            <m:sup>
              <m:r>
                <w:rPr>
                  <w:rFonts w:ascii="Cambria Math" w:hAnsi="Cambria Math"/>
                </w:rPr>
                <m:t>prov</m:t>
              </m:r>
              <m:r>
                <m:rPr>
                  <m:sty m:val="p"/>
                </m:rPr>
                <w:rPr>
                  <w:rFonts w:ascii="Cambria Math" w:hAnsi="Cambria Math"/>
                </w:rPr>
                <m:t>×</m:t>
              </m:r>
              <m:r>
                <w:rPr>
                  <w:rFonts w:ascii="Cambria Math" w:hAnsi="Cambria Math"/>
                </w:rPr>
                <m:t>ind</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prov</m:t>
                  </m:r>
                  <m:r>
                    <m:rPr>
                      <m:sty m:val="p"/>
                    </m:rPr>
                    <w:rPr>
                      <w:rFonts w:ascii="Cambria Math" w:hAnsi="Cambria Math"/>
                    </w:rPr>
                    <m:t>×</m:t>
                  </m:r>
                  <m:r>
                    <w:rPr>
                      <w:rFonts w:ascii="Cambria Math" w:hAnsi="Cambria Math"/>
                    </w:rPr>
                    <m:t>ind</m:t>
                  </m:r>
                </m:sub>
                <m:sup>
                  <m:r>
                    <w:rPr>
                      <w:rFonts w:ascii="Cambria Math" w:hAnsi="Cambria Math"/>
                    </w:rPr>
                    <m:t>2</m:t>
                  </m:r>
                </m:sup>
              </m:sSubSup>
            </m:e>
          </m:d>
        </m:oMath>
      </m:oMathPara>
    </w:p>
    <w:p w14:paraId="61DAEC8D" w14:textId="77777777" w:rsidR="00C87760" w:rsidRDefault="00000000">
      <w:pPr>
        <w:pStyle w:val="FirstParagraph"/>
      </w:pPr>
      <w:r>
        <w:rPr>
          <w:b/>
          <w:bCs/>
        </w:rPr>
        <w:t>Residual:</w:t>
      </w:r>
    </w:p>
    <w:p w14:paraId="26B1C167"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up>
              <m:r>
                <w:rPr>
                  <w:rFonts w:ascii="Cambria Math" w:hAnsi="Cambria Math"/>
                </w:rPr>
                <m:t>resid</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resid</m:t>
                  </m:r>
                </m:sub>
                <m:sup>
                  <m:r>
                    <w:rPr>
                      <w:rFonts w:ascii="Cambria Math" w:hAnsi="Cambria Math"/>
                    </w:rPr>
                    <m:t>2</m:t>
                  </m:r>
                </m:sup>
              </m:sSubSup>
            </m:e>
          </m:d>
        </m:oMath>
      </m:oMathPara>
    </w:p>
    <w:p w14:paraId="0C5560A4" w14:textId="77777777" w:rsidR="00C87760" w:rsidRDefault="00000000">
      <w:pPr>
        <w:pStyle w:val="FirstParagraph"/>
      </w:pPr>
      <w:r>
        <w:t xml:space="preserve">Signal loading </w:t>
      </w:r>
      <m:oMath>
        <m:sSub>
          <m:sSubPr>
            <m:ctrlPr>
              <w:rPr>
                <w:rFonts w:ascii="Cambria Math" w:hAnsi="Cambria Math"/>
              </w:rPr>
            </m:ctrlPr>
          </m:sSubPr>
          <m:e>
            <m:r>
              <w:rPr>
                <w:rFonts w:ascii="Cambria Math" w:hAnsi="Cambria Math"/>
              </w:rPr>
              <m:t>λ</m:t>
            </m:r>
          </m:e>
          <m:sub>
            <m:r>
              <w:rPr>
                <w:rFonts w:ascii="Cambria Math" w:hAnsi="Cambria Math"/>
              </w:rPr>
              <m:t>p</m:t>
            </m:r>
            <m:r>
              <m:rPr>
                <m:sty m:val="p"/>
              </m:rPr>
              <w:rPr>
                <w:rFonts w:ascii="Cambria Math" w:hAnsi="Cambria Math"/>
              </w:rPr>
              <m:t>,</m:t>
            </m:r>
            <m:r>
              <w:rPr>
                <w:rFonts w:ascii="Cambria Math" w:hAnsi="Cambria Math"/>
              </w:rPr>
              <m:t>j</m:t>
            </m:r>
          </m:sub>
        </m:sSub>
      </m:oMath>
      <w:r>
        <w:t xml:space="preserve"> follows the same nested decomposition.</w:t>
      </w:r>
    </w:p>
    <w:p w14:paraId="42692D59" w14:textId="77777777" w:rsidR="00C87760" w:rsidRDefault="00000000">
      <w:pPr>
        <w:pStyle w:val="Heading4"/>
      </w:pPr>
      <w:bookmarkStart w:id="71" w:name="nested-bd-intensity"/>
      <w:bookmarkEnd w:id="70"/>
      <w:r>
        <w:t>Nested BD Intensity</w:t>
      </w:r>
    </w:p>
    <w:p w14:paraId="57FD8AE5" w14:textId="77777777" w:rsidR="00C87760" w:rsidRDefault="00000000">
      <w:pPr>
        <w:pStyle w:val="FirstParagraph"/>
      </w:pPr>
      <w:r>
        <w:t>BD rates vary systematically by industry. The nested hierarchy captures this:</w:t>
      </w:r>
    </w:p>
    <w:p w14:paraId="34C64BAF"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0</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domain</m:t>
              </m:r>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supersector</m:t>
              </m:r>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resid</m:t>
              </m:r>
              <m:r>
                <m:rPr>
                  <m:sty m:val="p"/>
                </m:rPr>
                <w:rPr>
                  <w:rFonts w:ascii="Cambria Math" w:hAnsi="Cambria Math"/>
                </w:rPr>
                <m:t>,</m:t>
              </m:r>
              <m:r>
                <w:rPr>
                  <w:rFonts w:ascii="Cambria Math" w:hAnsi="Cambria Math"/>
                </w:rPr>
                <m:t>j</m:t>
              </m:r>
            </m:sup>
          </m:sSubSup>
        </m:oMath>
      </m:oMathPara>
    </w:p>
    <w:p w14:paraId="36523FE8" w14:textId="77777777" w:rsidR="00C87760" w:rsidRDefault="00000000">
      <w:pPr>
        <w:pStyle w:val="FirstParagraph"/>
      </w:pPr>
      <w:r>
        <w:t xml:space="preserve">with analogous nesting for BD covariate loadings </w:t>
      </w:r>
      <m:oMath>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r>
              <m:rPr>
                <m:sty m:val="p"/>
              </m:rPr>
              <w:rPr>
                <w:rFonts w:ascii="Cambria Math" w:hAnsi="Cambria Math"/>
              </w:rPr>
              <m:t>,</m:t>
            </m:r>
            <m:r>
              <w:rPr>
                <w:rFonts w:ascii="Cambria Math" w:hAnsi="Cambria Math"/>
              </w:rPr>
              <m:t>j</m:t>
            </m:r>
          </m:sub>
        </m:sSub>
      </m:oMath>
      <w:r>
        <w:t>.</w:t>
      </w:r>
    </w:p>
    <w:p w14:paraId="0C6A7E20" w14:textId="77777777" w:rsidR="00C87760" w:rsidRDefault="00000000">
      <w:pPr>
        <w:pStyle w:val="Heading4"/>
      </w:pPr>
      <w:bookmarkStart w:id="72" w:name="X89032d4536a5ecc4878a88cf7afa060c1f360fd"/>
      <w:bookmarkEnd w:id="71"/>
      <w:r>
        <w:t>Hierarchical Fourier Seasonal with Industry-Parent Shrinkage</w:t>
      </w:r>
    </w:p>
    <w:p w14:paraId="6C75591B" w14:textId="77777777" w:rsidR="00C87760" w:rsidRDefault="00000000">
      <w:pPr>
        <w:pStyle w:val="FirstParagraph"/>
      </w:pPr>
      <w:r>
        <w:t xml:space="preserve">At the full state × </w:t>
      </w:r>
      <w:proofErr w:type="spellStart"/>
      <w:r>
        <w:t>supersector</w:t>
      </w:r>
      <w:proofErr w:type="spellEnd"/>
      <w:r>
        <w:t xml:space="preserve"> grid, many cells are too sparse to identify their own seasonal pattern. </w:t>
      </w:r>
      <w:proofErr w:type="spellStart"/>
      <w:r>
        <w:t>Supersector</w:t>
      </w:r>
      <w:proofErr w:type="spellEnd"/>
      <w:r>
        <w:t xml:space="preserve"> serves as the primary parent (industry seasonality dominates geography):</w:t>
      </w:r>
    </w:p>
    <w:p w14:paraId="6CE84596"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oMath>
      </m:oMathPara>
    </w:p>
    <w:p w14:paraId="25C2712C"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oMath>
      </m:oMathPara>
    </w:p>
    <w:p w14:paraId="2F7C6B32" w14:textId="77777777" w:rsidR="00C87760" w:rsidRDefault="00000000">
      <w:pPr>
        <w:pStyle w:val="FirstParagraph"/>
      </w:pPr>
      <w:r>
        <w:t xml:space="preserve">where </w:t>
      </w:r>
      <m:oMath>
        <m:r>
          <w:rPr>
            <w:rFonts w:ascii="Cambria Math" w:hAnsi="Cambria Math"/>
          </w:rPr>
          <m:t>s</m:t>
        </m:r>
        <m:d>
          <m:dPr>
            <m:ctrlPr>
              <w:rPr>
                <w:rFonts w:ascii="Cambria Math" w:hAnsi="Cambria Math"/>
              </w:rPr>
            </m:ctrlPr>
          </m:dPr>
          <m:e>
            <m:r>
              <w:rPr>
                <w:rFonts w:ascii="Cambria Math" w:hAnsi="Cambria Math"/>
              </w:rPr>
              <m:t>j</m:t>
            </m:r>
          </m:e>
        </m:d>
      </m:oMath>
      <w:r>
        <w:t xml:space="preserve"> denotes the supersector of cell </w:t>
      </w:r>
      <m:oMath>
        <m:r>
          <w:rPr>
            <w:rFonts w:ascii="Cambria Math" w:hAnsi="Cambria Math"/>
          </w:rPr>
          <m:t>j</m:t>
        </m:r>
      </m:oMath>
      <w:r>
        <w:t>, and:</w:t>
      </w:r>
    </w:p>
    <w:p w14:paraId="53291835"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oMath>
      </m:oMathPara>
    </w:p>
    <w:p w14:paraId="6A928830"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r>
            <w:rPr>
              <w:rFonts w:ascii="Cambria Math" w:hAnsi="Cambria Math"/>
            </w:rPr>
            <m:t> </m:t>
          </m:r>
          <m:r>
            <m:rPr>
              <m:nor/>
            </m:rPr>
            <m:t>[cell deviation from industry parent]</m:t>
          </m:r>
        </m:oMath>
      </m:oMathPara>
    </w:p>
    <w:p w14:paraId="127F7899" w14:textId="77777777" w:rsidR="00C87760" w:rsidRDefault="00000000">
      <w:pPr>
        <w:pStyle w:val="FirstParagraph"/>
      </w:pPr>
      <w:r>
        <w:t xml:space="preserve">Sparse cells are shrunk toward their </w:t>
      </w:r>
      <w:proofErr w:type="spellStart"/>
      <w:r>
        <w:t>supersector’s</w:t>
      </w:r>
      <w:proofErr w:type="spellEnd"/>
      <w:r>
        <w:t xml:space="preserve"> seasonal pattern; data-rich cells can identify departures (e.g., Alaska construction seasonality differs from national construction).</w:t>
      </w:r>
    </w:p>
    <w:p w14:paraId="3F425348" w14:textId="77777777" w:rsidR="00C87760" w:rsidRDefault="00000000">
      <w:pPr>
        <w:pStyle w:val="Heading4"/>
      </w:pPr>
      <w:bookmarkStart w:id="73" w:name="ces-state-measurement-equations"/>
      <w:bookmarkEnd w:id="72"/>
      <w:r>
        <w:t>CES State Measurement Equations</w:t>
      </w:r>
    </w:p>
    <w:p w14:paraId="6E81D8DB" w14:textId="77777777" w:rsidR="00C87760" w:rsidRDefault="00000000">
      <w:pPr>
        <w:pStyle w:val="FirstParagraph"/>
      </w:pPr>
      <w:r>
        <w:t>State CES publishes total nonfarm (not by industry). Two closings (preliminary, final) rather than three for national:</w:t>
      </w:r>
    </w:p>
    <w:p w14:paraId="06693263" w14:textId="77777777" w:rsidR="00C87760" w:rsidRDefault="00000000">
      <w:pPr>
        <w:pStyle w:val="BodyText"/>
      </w:pPr>
      <w:r>
        <w:t xml:space="preserve">For vintage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w:t>
      </w:r>
    </w:p>
    <w:p w14:paraId="0CBEB7F1" w14:textId="77777777" w:rsidR="00C8776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st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st</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st</m:t>
                  </m:r>
                </m:sub>
                <m:sup>
                  <m:r>
                    <w:rPr>
                      <w:rFonts w:ascii="Cambria Math" w:hAnsi="Cambria Math"/>
                    </w:rPr>
                    <m:t>CES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g</m:t>
                      </m:r>
                    </m:e>
                    <m:sub>
                      <m:d>
                        <m:dPr>
                          <m:ctrlPr>
                            <w:rPr>
                              <w:rFonts w:ascii="Cambria Math" w:hAnsi="Cambria Math"/>
                            </w:rPr>
                          </m:ctrlPr>
                        </m:dPr>
                        <m:e>
                          <m:r>
                            <w:rPr>
                              <w:rFonts w:ascii="Cambria Math" w:hAnsi="Cambria Math"/>
                            </w:rPr>
                            <m:t>st</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0BA33FF7" w14:textId="77777777" w:rsidR="00C87760" w:rsidRDefault="00000000">
      <w:pPr>
        <w:pStyle w:val="FirstParagraph"/>
      </w:pPr>
      <w:r>
        <w:t xml:space="preserve">State CES loads on the sum of cell-level total SA growth across all </w:t>
      </w:r>
      <w:proofErr w:type="spellStart"/>
      <w:r>
        <w:t>supersectors</w:t>
      </w:r>
      <w:proofErr w:type="spellEnd"/>
      <w:r>
        <w:t xml:space="preserve"> within the state. This is a partial observation — it constrains the geographic aggregate but not the industry composition within the state.</w:t>
      </w:r>
    </w:p>
    <w:p w14:paraId="10D9AF0A" w14:textId="77777777" w:rsidR="00C87760" w:rsidRDefault="00000000">
      <w:pPr>
        <w:pStyle w:val="BodyText"/>
      </w:pPr>
      <w:r>
        <w:t>State-level CES noise parameters are calibrated from state-level revision data (available for total nonfarm).</w:t>
      </w:r>
    </w:p>
    <w:p w14:paraId="0A1CD0FA" w14:textId="77777777" w:rsidR="00C87760" w:rsidRDefault="00000000">
      <w:pPr>
        <w:pStyle w:val="Heading4"/>
      </w:pPr>
      <w:bookmarkStart w:id="74" w:name="cell-level-qcew"/>
      <w:bookmarkEnd w:id="73"/>
      <w:r>
        <w:lastRenderedPageBreak/>
        <w:t>Cell-Level QCEW</w:t>
      </w:r>
    </w:p>
    <w:p w14:paraId="0E89BF18"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QCEW</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j</m:t>
                  </m:r>
                </m:sub>
                <m:sup>
                  <m:r>
                    <w:rPr>
                      <w:rFonts w:ascii="Cambria Math" w:hAnsi="Cambria Math"/>
                    </w:rPr>
                    <m:t>2</m:t>
                  </m:r>
                </m:sup>
              </m:sSubSup>
              <m:d>
                <m:dPr>
                  <m:ctrlPr>
                    <w:rPr>
                      <w:rFonts w:ascii="Cambria Math" w:hAnsi="Cambria Math"/>
                    </w:rPr>
                  </m:ctrlPr>
                </m:dPr>
                <m:e>
                  <m:r>
                    <w:rPr>
                      <w:rFonts w:ascii="Cambria Math" w:hAnsi="Cambria Math"/>
                    </w:rPr>
                    <m:t>t</m:t>
                  </m:r>
                </m:e>
              </m:d>
            </m:e>
          </m:d>
        </m:oMath>
      </m:oMathPara>
    </w:p>
    <w:p w14:paraId="5574BF01" w14:textId="77777777" w:rsidR="00C87760" w:rsidRDefault="00000000">
      <w:pPr>
        <w:pStyle w:val="FirstParagraph"/>
      </w:pPr>
      <w:r>
        <w:t xml:space="preserve">Where cell-level QCEW revision data is unavailable (state × industry), </w:t>
      </w: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j</m:t>
            </m:r>
          </m:sub>
        </m:sSub>
      </m:oMath>
      <w:r>
        <w:t xml:space="preserve"> is drawn from a hierarchical prior:</w:t>
      </w:r>
    </w:p>
    <w:p w14:paraId="7AD0678B"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LogNormal</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Q</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Q</m:t>
                      </m:r>
                    </m:sub>
                  </m:sSub>
                </m:sub>
                <m:sup>
                  <m:r>
                    <w:rPr>
                      <w:rFonts w:ascii="Cambria Math" w:hAnsi="Cambria Math"/>
                    </w:rPr>
                    <m:t>2</m:t>
                  </m:r>
                </m:sup>
              </m:sSubSup>
            </m:e>
          </m:d>
        </m:oMath>
      </m:oMathPara>
    </w:p>
    <w:p w14:paraId="28214C10" w14:textId="77777777" w:rsidR="00C87760" w:rsidRDefault="00000000">
      <w:pPr>
        <w:pStyle w:val="FirstParagraph"/>
      </w:pPr>
      <w:r>
        <w:t>with hyperparameters informed by national and state-level QCEW revision data.</w:t>
      </w:r>
    </w:p>
    <w:p w14:paraId="206FD25D" w14:textId="77777777" w:rsidR="00C87760" w:rsidRDefault="00000000">
      <w:pPr>
        <w:pStyle w:val="Heading4"/>
      </w:pPr>
      <w:bookmarkStart w:id="75" w:name="time-varying-provider-bias"/>
      <w:bookmarkEnd w:id="74"/>
      <w:r>
        <w:t>Time-Varying Provider Bias</w:t>
      </w:r>
    </w:p>
    <w:p w14:paraId="7CE5F75F" w14:textId="77777777" w:rsidR="00C87760" w:rsidRDefault="00000000">
      <w:pPr>
        <w:pStyle w:val="FirstParagraph"/>
      </w:pPr>
      <w:r>
        <w:t>Provider bias drifts via RW1 with QCEW error-correction:</w:t>
      </w:r>
    </w:p>
    <w:p w14:paraId="1D50038E"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oMath>
      </m:oMathPara>
    </w:p>
    <w:p w14:paraId="21A524CC" w14:textId="77777777" w:rsidR="00C87760" w:rsidRDefault="00000000">
      <w:pPr>
        <w:pStyle w:val="FirstParagraph"/>
      </w:pPr>
      <w:r>
        <w:t>where:</w:t>
      </w:r>
    </w:p>
    <w:p w14:paraId="57816127" w14:textId="77777777" w:rsidR="00C87760" w:rsidRDefault="00000000">
      <w:pPr>
        <w:pStyle w:val="Compact"/>
        <w:numPr>
          <w:ilvl w:val="0"/>
          <w:numId w:val="16"/>
        </w:numPr>
      </w:pPr>
      <m:oMath>
        <m:sSub>
          <m:sSubPr>
            <m:ctrlPr>
              <w:rPr>
                <w:rFonts w:ascii="Cambria Math" w:hAnsi="Cambria Math"/>
              </w:rPr>
            </m:ctrlPr>
          </m:sSubPr>
          <m:e>
            <m:r>
              <w:rPr>
                <w:rFonts w:ascii="Cambria Math" w:hAnsi="Cambria Math"/>
              </w:rPr>
              <m:t>ω</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sub>
              <m:sup>
                <m:r>
                  <w:rPr>
                    <w:rFonts w:ascii="Cambria Math" w:hAnsi="Cambria Math"/>
                  </w:rPr>
                  <m:t>2</m:t>
                </m:r>
              </m:sup>
            </m:sSubSup>
          </m:e>
        </m:d>
      </m:oMath>
      <w:r>
        <w:t xml:space="preserve"> is the RW1 innovation</w:t>
      </w:r>
    </w:p>
    <w:p w14:paraId="1978F41B" w14:textId="77777777" w:rsidR="00C87760" w:rsidRDefault="00000000">
      <w:pPr>
        <w:pStyle w:val="Compact"/>
        <w:numPr>
          <w:ilvl w:val="0"/>
          <w:numId w:val="16"/>
        </w:numPr>
      </w:pPr>
      <m:oMath>
        <m:sSub>
          <m:sSubPr>
            <m:ctrlPr>
              <w:rPr>
                <w:rFonts w:ascii="Cambria Math" w:hAnsi="Cambria Math"/>
              </w:rPr>
            </m:ctrlPr>
          </m:sSubPr>
          <m:e>
            <m:r>
              <w:rPr>
                <w:rFonts w:ascii="Cambria Math" w:hAnsi="Cambria Math"/>
              </w:rPr>
              <m:t>d</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oMath>
      <w:r>
        <w:t xml:space="preserve"> is the discrepancy between provider </w:t>
      </w:r>
      <m:oMath>
        <m:r>
          <w:rPr>
            <w:rFonts w:ascii="Cambria Math" w:hAnsi="Cambria Math"/>
          </w:rPr>
          <m:t>p</m:t>
        </m:r>
      </m:oMath>
      <w:r>
        <w:t xml:space="preserve">’s estimate and QCEW at lag </w:t>
      </w:r>
      <m:oMath>
        <m:r>
          <w:rPr>
            <w:rFonts w:ascii="Cambria Math" w:hAnsi="Cambria Math"/>
          </w:rPr>
          <m:t>L</m:t>
        </m:r>
      </m:oMath>
    </w:p>
    <w:p w14:paraId="5039689B" w14:textId="77777777" w:rsidR="00C87760" w:rsidRDefault="00000000">
      <w:pPr>
        <w:pStyle w:val="Compact"/>
        <w:numPr>
          <w:ilvl w:val="0"/>
          <w:numId w:val="16"/>
        </w:numPr>
      </w:pPr>
      <m:oMath>
        <m:sSub>
          <m:sSubPr>
            <m:ctrlPr>
              <w:rPr>
                <w:rFonts w:ascii="Cambria Math" w:hAnsi="Cambria Math"/>
              </w:rPr>
            </m:ctrlPr>
          </m:sSubPr>
          <m:e>
            <m:r>
              <w:rPr>
                <w:rFonts w:ascii="Cambria Math" w:hAnsi="Cambria Math"/>
              </w:rPr>
              <m:t>κ</m:t>
            </m:r>
          </m:e>
          <m:sub>
            <m:r>
              <w:rPr>
                <w:rFonts w:ascii="Cambria Math" w:hAnsi="Cambria Math"/>
              </w:rPr>
              <m:t>p</m:t>
            </m:r>
          </m:sub>
        </m:sSub>
      </m:oMath>
      <w:r>
        <w:t xml:space="preserve"> is the provider-specific error-correction speed</w:t>
      </w:r>
    </w:p>
    <w:p w14:paraId="456ED002" w14:textId="77777777" w:rsidR="00C87760" w:rsidRDefault="00000000">
      <w:pPr>
        <w:pStyle w:val="FirstParagraph"/>
      </w:pPr>
      <w:r>
        <w:t xml:space="preserve">The initial bias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0</m:t>
            </m:r>
          </m:sub>
        </m:sSub>
      </m:oMath>
      <w:r>
        <w:t xml:space="preserve"> retains the nested decomposition above. Different providers may have different bias persistence — some track QCEW more closely than others:</w:t>
      </w:r>
    </w:p>
    <w:p w14:paraId="472EC46D" w14:textId="77777777" w:rsidR="00C87760" w:rsidRDefault="00000000">
      <w:pPr>
        <w:pStyle w:val="BodyText"/>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p</m:t>
              </m:r>
            </m:sub>
          </m:sSub>
          <m:r>
            <m:rPr>
              <m:sty m:val="p"/>
            </m:rPr>
            <w:rPr>
              <w:rFonts w:ascii="Cambria Math" w:hAnsi="Cambria Math"/>
            </w:rPr>
            <m:t>∼</m:t>
          </m:r>
          <m:r>
            <m:rPr>
              <m:nor/>
            </m:rPr>
            <m:t>Beta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3</m:t>
              </m:r>
            </m:e>
          </m:d>
        </m:oMath>
      </m:oMathPara>
    </w:p>
    <w:p w14:paraId="6832726C" w14:textId="77777777" w:rsidR="00C87760" w:rsidRDefault="00000000">
      <w:pPr>
        <w:pStyle w:val="Heading4"/>
      </w:pPr>
      <w:bookmarkStart w:id="76" w:name="qcew-forecast-model"/>
      <w:bookmarkEnd w:id="75"/>
      <w:r>
        <w:t>QCEW Forecast Model</w:t>
      </w:r>
    </w:p>
    <w:p w14:paraId="725C777E" w14:textId="77777777" w:rsidR="00C87760" w:rsidRDefault="00000000">
      <w:pPr>
        <w:pStyle w:val="FirstParagraph"/>
      </w:pPr>
      <w:r>
        <w:t>During the 5–</w:t>
      </w:r>
      <w:proofErr w:type="gramStart"/>
      <w:r>
        <w:t>6 month</w:t>
      </w:r>
      <w:proofErr w:type="gramEnd"/>
      <w:r>
        <w:t xml:space="preserve"> QCEW publication lag, forecasted QCEW extends conditioning to the present:</w:t>
      </w:r>
    </w:p>
    <w:p w14:paraId="606109F1" w14:textId="77777777" w:rsidR="00C87760"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QCEW</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j</m:t>
              </m:r>
            </m:sub>
            <m:sup>
              <m:r>
                <w:rPr>
                  <w:rFonts w:ascii="Cambria Math" w:hAnsi="Cambria Math"/>
                </w:rPr>
                <m:t>LQ</m:t>
              </m:r>
            </m:sup>
          </m:sSubSup>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s</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t</m:t>
                  </m:r>
                </m:sub>
                <m:sup>
                  <m:r>
                    <w:rPr>
                      <w:rFonts w:ascii="Cambria Math" w:hAnsi="Cambria Math"/>
                    </w:rPr>
                    <m:t>sector</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national</m:t>
                  </m:r>
                </m:sup>
              </m:sSubSup>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fcst</m:t>
              </m:r>
            </m:sup>
          </m:s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fcst</m:t>
              </m:r>
            </m:sup>
          </m:sSubSup>
        </m:oMath>
      </m:oMathPara>
    </w:p>
    <w:p w14:paraId="05C7556B" w14:textId="77777777" w:rsidR="00C8776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ξ</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fcst</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fcst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d>
        </m:oMath>
      </m:oMathPara>
    </w:p>
    <w:p w14:paraId="4B24AECE" w14:textId="77777777" w:rsidR="00C87760" w:rsidRDefault="00000000">
      <w:pPr>
        <w:pStyle w:val="FirstParagraph"/>
      </w:pPr>
      <w:r>
        <w:t xml:space="preserve">where </w:t>
      </w: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is the location quotient of cell </w:t>
      </w:r>
      <m:oMath>
        <m:r>
          <w:rPr>
            <w:rFonts w:ascii="Cambria Math" w:hAnsi="Cambria Math"/>
          </w:rPr>
          <m:t>j</m:t>
        </m:r>
      </m:oMath>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s</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t</m:t>
            </m:r>
          </m:sub>
          <m:sup>
            <m:r>
              <w:rPr>
                <w:rFonts w:ascii="Cambria Math" w:hAnsi="Cambria Math"/>
              </w:rPr>
              <m:t>sector</m:t>
            </m:r>
          </m:sup>
        </m:sSubSup>
      </m:oMath>
      <w:r>
        <w:t xml:space="preserve"> is the national sector forecast, and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is a forecast horizon variable that increases noise for longer-horizon forecasts.</w:t>
      </w:r>
    </w:p>
    <w:p w14:paraId="5952F2DF" w14:textId="77777777" w:rsidR="00C87760" w:rsidRDefault="00000000">
      <w:pPr>
        <w:pStyle w:val="BodyText"/>
      </w:pPr>
      <w:r>
        <w:rPr>
          <w:b/>
          <w:bCs/>
        </w:rPr>
        <w:t>Conditioning on forecasted QCEW:</w:t>
      </w:r>
    </w:p>
    <w:p w14:paraId="5E3C2D47" w14:textId="77777777" w:rsidR="00C87760"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QCEW</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fcst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fcst</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fcst</m:t>
                  </m:r>
                </m:sub>
                <m:sup>
                  <m:r>
                    <w:rPr>
                      <w:rFonts w:ascii="Cambria Math" w:hAnsi="Cambria Math"/>
                    </w:rPr>
                    <m:t>2</m:t>
                  </m:r>
                </m:sup>
              </m:sSubSup>
            </m:e>
          </m:d>
        </m:oMath>
      </m:oMathPara>
    </w:p>
    <w:p w14:paraId="45A1D595" w14:textId="77777777" w:rsidR="00C87760" w:rsidRDefault="00000000">
      <w:pPr>
        <w:pStyle w:val="FirstParagraph"/>
      </w:pPr>
      <w:r>
        <w:t xml:space="preserve">where </w:t>
      </w:r>
      <m:oMath>
        <m:sSubSup>
          <m:sSubSupPr>
            <m:ctrlPr>
              <w:rPr>
                <w:rFonts w:ascii="Cambria Math" w:hAnsi="Cambria Math"/>
              </w:rPr>
            </m:ctrlPr>
          </m:sSubSup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fcst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QCEW</m:t>
            </m:r>
          </m:sub>
          <m:sup>
            <m:r>
              <w:rPr>
                <w:rFonts w:ascii="Cambria Math" w:hAnsi="Cambria Math"/>
              </w:rPr>
              <m:t>2</m:t>
            </m:r>
          </m:sup>
        </m:sSubSup>
      </m:oMath>
      <w:r>
        <w:t>, reflecting forecast uncertainty rather than census noise.</w:t>
      </w:r>
    </w:p>
    <w:p w14:paraId="6C8B9855" w14:textId="77777777" w:rsidR="00C87760" w:rsidRDefault="00000000">
      <w:pPr>
        <w:pStyle w:val="Heading4"/>
      </w:pPr>
      <w:bookmarkStart w:id="77" w:name="mint-reconciliation-full-hierarchy"/>
      <w:bookmarkEnd w:id="76"/>
      <w:proofErr w:type="spellStart"/>
      <w:r>
        <w:lastRenderedPageBreak/>
        <w:t>MinT</w:t>
      </w:r>
      <w:proofErr w:type="spellEnd"/>
      <w:r>
        <w:t xml:space="preserve"> Reconciliation (Full Hierarchy)</w:t>
      </w:r>
    </w:p>
    <w:p w14:paraId="425FE19A" w14:textId="77777777" w:rsidR="00C87760" w:rsidRDefault="00000000">
      <w:pPr>
        <w:pStyle w:val="FirstParagraph"/>
      </w:pPr>
      <w:r>
        <w:t xml:space="preserve">The summing matrix </w:t>
      </w:r>
      <m:oMath>
        <m:r>
          <m:rPr>
            <m:sty m:val="b"/>
          </m:rPr>
          <w:rPr>
            <w:rFonts w:ascii="Cambria Math" w:hAnsi="Cambria Math"/>
          </w:rPr>
          <m:t>S</m:t>
        </m:r>
      </m:oMath>
      <w:r>
        <w:t xml:space="preserve"> now encodes three levels: national, supersectors, and state × supersector cells. MinT reconciliation operates on the full hierarchy simultaneously:</w:t>
      </w:r>
    </w:p>
    <w:p w14:paraId="735E99FF" w14:textId="77777777" w:rsidR="00C87760"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μ</m:t>
                  </m:r>
                </m:e>
              </m:acc>
            </m:e>
            <m:sub>
              <m:r>
                <w:rPr>
                  <w:rFonts w:ascii="Cambria Math" w:hAnsi="Cambria Math"/>
                </w:rPr>
                <m:t>t</m:t>
              </m:r>
            </m:sub>
          </m:sSub>
          <m:r>
            <m:rPr>
              <m:sty m:val="p"/>
            </m:rPr>
            <w:rPr>
              <w:rFonts w:ascii="Cambria Math" w:hAnsi="Cambria Math"/>
            </w:rPr>
            <m:t>=</m:t>
          </m:r>
          <m:r>
            <m:rPr>
              <m:sty m:val="b"/>
            </m:rPr>
            <w:rPr>
              <w:rFonts w:ascii="Cambria Math" w:hAnsi="Cambria Math"/>
            </w:rPr>
            <m:t>S</m:t>
          </m:r>
          <m:sSup>
            <m:sSupPr>
              <m:ctrlPr>
                <w:rPr>
                  <w:rFonts w:ascii="Cambria Math" w:hAnsi="Cambria Math"/>
                </w:rPr>
              </m:ctrlPr>
            </m:sSupPr>
            <m:e>
              <m:d>
                <m:dPr>
                  <m:ctrlPr>
                    <w:rPr>
                      <w:rFonts w:ascii="Cambria Math" w:hAnsi="Cambria Math"/>
                    </w:rPr>
                  </m:ctrlPr>
                </m:dPr>
                <m:e>
                  <m:r>
                    <m:rPr>
                      <m:sty m:val="b"/>
                    </m:rPr>
                    <w:rPr>
                      <w:rFonts w:ascii="Cambria Math" w:hAnsi="Cambria Math"/>
                    </w:rPr>
                    <m:t>S</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r>
                        <w:rPr>
                          <w:rFonts w:ascii="Cambria Math" w:hAnsi="Cambria Math"/>
                        </w:rPr>
                        <m:t>1</m:t>
                      </m:r>
                    </m:sup>
                  </m:sSup>
                  <m:r>
                    <m:rPr>
                      <m:sty m:val="b"/>
                    </m:rPr>
                    <w:rPr>
                      <w:rFonts w:ascii="Cambria Math" w:hAnsi="Cambria Math"/>
                    </w:rPr>
                    <m:t>S</m:t>
                  </m:r>
                </m:e>
              </m:d>
            </m:e>
            <m:sup>
              <m:r>
                <m:rPr>
                  <m:sty m:val="p"/>
                </m:rPr>
                <w:rPr>
                  <w:rFonts w:ascii="Cambria Math" w:hAnsi="Cambria Math"/>
                </w:rPr>
                <m:t>-</m:t>
              </m:r>
              <m:r>
                <w:rPr>
                  <w:rFonts w:ascii="Cambria Math" w:hAnsi="Cambria Math"/>
                </w:rPr>
                <m:t>1</m:t>
              </m:r>
            </m:sup>
          </m:sSup>
          <m:r>
            <m:rPr>
              <m:sty m:val="b"/>
            </m:rPr>
            <w:rPr>
              <w:rFonts w:ascii="Cambria Math" w:hAnsi="Cambria Math"/>
            </w:rPr>
            <m:t>S</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r>
                <w:rPr>
                  <w:rFonts w:ascii="Cambria Math" w:hAnsi="Cambria Math"/>
                </w:rPr>
                <m:t>1</m:t>
              </m:r>
            </m:sup>
          </m:sSup>
          <m:sSub>
            <m:sSubPr>
              <m:ctrlPr>
                <w:rPr>
                  <w:rFonts w:ascii="Cambria Math" w:hAnsi="Cambria Math"/>
                </w:rPr>
              </m:ctrlPr>
            </m:sSubPr>
            <m:e>
              <m:acc>
                <m:accPr>
                  <m:ctrlPr>
                    <w:rPr>
                      <w:rFonts w:ascii="Cambria Math" w:hAnsi="Cambria Math"/>
                    </w:rPr>
                  </m:ctrlPr>
                </m:accPr>
                <m:e>
                  <m:r>
                    <m:rPr>
                      <m:sty m:val="b"/>
                    </m:rPr>
                    <w:rPr>
                      <w:rFonts w:ascii="Cambria Math" w:hAnsi="Cambria Math"/>
                    </w:rPr>
                    <m:t>μ</m:t>
                  </m:r>
                </m:e>
              </m:acc>
            </m:e>
            <m:sub>
              <m:r>
                <w:rPr>
                  <w:rFonts w:ascii="Cambria Math" w:hAnsi="Cambria Math"/>
                </w:rPr>
                <m:t>t</m:t>
              </m:r>
            </m:sub>
          </m:sSub>
        </m:oMath>
      </m:oMathPara>
    </w:p>
    <w:p w14:paraId="0F46CFAA" w14:textId="77777777" w:rsidR="00C87760" w:rsidRDefault="00000000">
      <w:pPr>
        <w:pStyle w:val="FirstParagraph"/>
      </w:pPr>
      <w:r>
        <w:rPr>
          <w:b/>
          <w:bCs/>
        </w:rPr>
        <w:t>Note on state aggregation.</w:t>
      </w:r>
      <w:r>
        <w:t xml:space="preserve"> CES states do not sum to national by design — they are independently estimated. The structural aggregation constraint is imposed on </w:t>
      </w:r>
      <w:r w:rsidRPr="00C86A6D">
        <w:t>the latent state (true employment does aggregate) while measurement equations reflect the</w:t>
      </w:r>
      <w:r>
        <w:t xml:space="preserve"> independent estimation procedures.</w:t>
      </w:r>
    </w:p>
    <w:p w14:paraId="2A99622F" w14:textId="77777777" w:rsidR="00C87760" w:rsidRDefault="00000000">
      <w:pPr>
        <w:pStyle w:val="BodyText"/>
      </w:pPr>
      <w:r>
        <w:t xml:space="preserve">The </w:t>
      </w:r>
      <m:oMath>
        <m:r>
          <m:rPr>
            <m:sty m:val="b"/>
          </m:rPr>
          <w:rPr>
            <w:rFonts w:ascii="Cambria Math" w:hAnsi="Cambria Math"/>
          </w:rPr>
          <m:t>W</m:t>
        </m:r>
      </m:oMath>
      <w:r>
        <w:t xml:space="preserve"> matrix estimation is constrained by revision-data availability. For cells with direct revision data (national, national × sector, state total nonfarm), empirical error covariances are used. For cells without revision data (state × industry), </w:t>
      </w:r>
      <m:oMath>
        <m:r>
          <m:rPr>
            <m:sty m:val="b"/>
          </m:rPr>
          <w:rPr>
            <w:rFonts w:ascii="Cambria Math" w:hAnsi="Cambria Math"/>
          </w:rPr>
          <m:t>W</m:t>
        </m:r>
      </m:oMath>
      <w:r>
        <w:t xml:space="preserve"> entries are drawn from hierarchical shrinkage estimates.</w:t>
      </w:r>
    </w:p>
    <w:p w14:paraId="59586C1B" w14:textId="77777777" w:rsidR="00C87760" w:rsidRDefault="00000000">
      <w:pPr>
        <w:pStyle w:val="Heading3"/>
      </w:pPr>
      <w:bookmarkStart w:id="78" w:name="information-regimes-full"/>
      <w:bookmarkEnd w:id="68"/>
      <w:bookmarkEnd w:id="77"/>
      <w:r>
        <w:t>Information Regimes (Full)</w:t>
      </w:r>
    </w:p>
    <w:p w14:paraId="30382924" w14:textId="77777777" w:rsidR="00C87760" w:rsidRDefault="00000000">
      <w:pPr>
        <w:pStyle w:val="FirstParagraph"/>
      </w:pPr>
      <w:r>
        <w:rPr>
          <w:b/>
          <w:bCs/>
        </w:rPr>
        <w:t>Regime A (~Jan 1 to Jan 9): Provider only.</w:t>
      </w:r>
      <w:r>
        <w:t xml:space="preserve"> Both industry and geographic decompositions rely on provider signals. Widest uncertainty bands.</w:t>
      </w:r>
    </w:p>
    <w:p w14:paraId="758F220A" w14:textId="77777777" w:rsidR="00C87760" w:rsidRDefault="00000000">
      <w:pPr>
        <w:pStyle w:val="BodyText"/>
      </w:pPr>
      <w:r>
        <w:rPr>
          <w:b/>
          <w:bCs/>
        </w:rPr>
        <w:t xml:space="preserve">Regime B (~Jan 9 to Jan 24): National CES with </w:t>
      </w:r>
      <w:proofErr w:type="spellStart"/>
      <w:r>
        <w:rPr>
          <w:b/>
          <w:bCs/>
        </w:rPr>
        <w:t>supersector</w:t>
      </w:r>
      <w:proofErr w:type="spellEnd"/>
      <w:r>
        <w:rPr>
          <w:b/>
          <w:bCs/>
        </w:rPr>
        <w:t xml:space="preserve"> detail, no state CES.</w:t>
      </w:r>
      <w:r>
        <w:t xml:space="preserve"> The industry narrative is </w:t>
      </w:r>
      <w:r>
        <w:rPr>
          <w:b/>
          <w:bCs/>
        </w:rPr>
        <w:t>anchored</w:t>
      </w:r>
      <w:r>
        <w:t>. The geographic narrative relies on provider signals and the nested hierarchical prior. This is the highest-value regime: the national number is known, the industry story is told, and the model provides early geographic intelligence before state CES arrives.</w:t>
      </w:r>
    </w:p>
    <w:p w14:paraId="0F19E348" w14:textId="77777777" w:rsidR="00C87760" w:rsidRDefault="00000000">
      <w:pPr>
        <w:pStyle w:val="BodyText"/>
      </w:pPr>
      <w:r>
        <w:rPr>
          <w:b/>
          <w:bCs/>
        </w:rPr>
        <w:t>Regime C (~Jan 24 onward): Full information.</w:t>
      </w:r>
      <w:r>
        <w:t xml:space="preserve"> State CES arrives, geographic narrative is anchored. Full decomposition available.</w:t>
      </w:r>
    </w:p>
    <w:p w14:paraId="6F30E831" w14:textId="77777777" w:rsidR="00C87760" w:rsidRDefault="00000000">
      <w:pPr>
        <w:pStyle w:val="BodyText"/>
      </w:pPr>
      <w:r>
        <w:rPr>
          <w:b/>
          <w:bCs/>
        </w:rPr>
        <w:t>February–March benchmark asymmetry.</w:t>
      </w:r>
      <w:r>
        <w:t xml:space="preserve"> National benchmarks arrive in </w:t>
      </w:r>
      <w:proofErr w:type="gramStart"/>
      <w:r>
        <w:t>February;</w:t>
      </w:r>
      <w:proofErr w:type="gramEnd"/>
      <w:r>
        <w:t xml:space="preserve"> state benchmarks in March. During this window, the model’s state-level estimates may be more accurate than official state CES for benchmarked months, because the model conditions on the QCEW that state benchmarks will eventually use. This advantage requires careful vintage tracking to avoid look-ahead bias in </w:t>
      </w:r>
      <w:proofErr w:type="spellStart"/>
      <w:r>
        <w:t>backtests</w:t>
      </w:r>
      <w:proofErr w:type="spellEnd"/>
      <w:r>
        <w:t>.</w:t>
      </w:r>
    </w:p>
    <w:p w14:paraId="424891FE" w14:textId="77777777" w:rsidR="00C87760" w:rsidRDefault="00000000">
      <w:pPr>
        <w:pStyle w:val="Heading3"/>
      </w:pPr>
      <w:bookmarkStart w:id="79" w:name="priors-2"/>
      <w:bookmarkEnd w:id="78"/>
      <w:r>
        <w:t>Priors</w:t>
      </w:r>
    </w:p>
    <w:p w14:paraId="75159037" w14:textId="77777777" w:rsidR="00C87760" w:rsidRDefault="00000000">
      <w:pPr>
        <w:pStyle w:val="Heading4"/>
      </w:pPr>
      <w:bookmarkStart w:id="80" w:name="nested-hierarchy-variance-components"/>
      <w:r>
        <w:t>Nested hierarchy variance components</w:t>
      </w:r>
    </w:p>
    <w:p w14:paraId="574A911B"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region</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0.3</m:t>
              </m:r>
            </m:e>
          </m:d>
        </m:oMath>
      </m:oMathPara>
    </w:p>
    <w:p w14:paraId="62AD8DB3"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division</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0.25</m:t>
              </m:r>
            </m:e>
          </m:d>
        </m:oMath>
      </m:oMathPara>
    </w:p>
    <w:p w14:paraId="37220483"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state</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m:t>
              </m:r>
            </m:e>
          </m:d>
        </m:oMath>
      </m:oMathPara>
    </w:p>
    <w:p w14:paraId="2F13F26D"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domain</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0.3</m:t>
              </m:r>
            </m:e>
          </m:d>
        </m:oMath>
      </m:oMathPara>
    </w:p>
    <w:p w14:paraId="2B481B76"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supersector</m:t>
              </m:r>
              <m:r>
                <m:rPr>
                  <m:sty m:val="p"/>
                </m:rPr>
                <w:rPr>
                  <w:rFonts w:ascii="Cambria Math" w:hAnsi="Cambria Math"/>
                </w:rPr>
                <m:t>|</m:t>
              </m:r>
              <m:r>
                <w:rPr>
                  <w:rFonts w:ascii="Cambria Math" w:hAnsi="Cambria Math"/>
                </w:rPr>
                <m:t>domain</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0.25</m:t>
              </m:r>
            </m:e>
          </m:d>
        </m:oMath>
      </m:oMathPara>
    </w:p>
    <w:p w14:paraId="08524BDF"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prov</m:t>
              </m:r>
              <m:r>
                <m:rPr>
                  <m:sty m:val="p"/>
                </m:rPr>
                <w:rPr>
                  <w:rFonts w:ascii="Cambria Math" w:hAnsi="Cambria Math"/>
                </w:rPr>
                <m:t>×</m:t>
              </m:r>
              <m:r>
                <w:rPr>
                  <w:rFonts w:ascii="Cambria Math" w:hAnsi="Cambria Math"/>
                </w:rPr>
                <m:t>ind</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0.15</m:t>
              </m:r>
            </m:e>
          </m:d>
        </m:oMath>
      </m:oMathPara>
    </w:p>
    <w:p w14:paraId="583560DC"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resid</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0.1</m:t>
              </m:r>
            </m:e>
          </m:d>
        </m:oMath>
      </m:oMathPara>
    </w:p>
    <w:p w14:paraId="12D1B044" w14:textId="77777777" w:rsidR="00C87760" w:rsidRDefault="00000000">
      <w:pPr>
        <w:pStyle w:val="Heading4"/>
      </w:pPr>
      <w:bookmarkStart w:id="81" w:name="hierarchical-seasonal-cell-level"/>
      <w:bookmarkEnd w:id="80"/>
      <w:r>
        <w:t>Hierarchical seasonal (cell-level)</w:t>
      </w:r>
    </w:p>
    <w:p w14:paraId="1163DA1A"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k</m:t>
              </m:r>
            </m:e>
          </m:d>
        </m:oMath>
      </m:oMathPara>
    </w:p>
    <w:p w14:paraId="3EB2D02B"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ω</m:t>
              </m:r>
              <m:r>
                <m:rPr>
                  <m:sty m:val="p"/>
                </m:rPr>
                <w:rPr>
                  <w:rFonts w:ascii="Cambria Math" w:hAnsi="Cambria Math"/>
                </w:rPr>
                <m:t>,</m:t>
              </m:r>
              <m:r>
                <w:rPr>
                  <w:rFonts w:ascii="Cambria Math" w:hAnsi="Cambria Math"/>
                </w:rPr>
                <m:t>k</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0.003</m:t>
              </m:r>
              <m:r>
                <m:rPr>
                  <m:sty m:val="p"/>
                </m:rPr>
                <w:rPr>
                  <w:rFonts w:ascii="Cambria Math" w:hAnsi="Cambria Math"/>
                </w:rPr>
                <m:t>/</m:t>
              </m:r>
              <m:r>
                <w:rPr>
                  <w:rFonts w:ascii="Cambria Math" w:hAnsi="Cambria Math"/>
                </w:rPr>
                <m:t>k</m:t>
              </m:r>
            </m:e>
          </m:d>
          <m:r>
            <w:rPr>
              <w:rFonts w:ascii="Cambria Math" w:hAnsi="Cambria Math"/>
            </w:rPr>
            <m:t> </m:t>
          </m:r>
          <m:r>
            <m:rPr>
              <m:nor/>
            </m:rPr>
            <m:t>[cell deviation from supersector parent]</m:t>
          </m:r>
        </m:oMath>
      </m:oMathPara>
    </w:p>
    <w:p w14:paraId="6CE8C85A" w14:textId="77777777" w:rsidR="00C87760" w:rsidRDefault="00000000">
      <w:pPr>
        <w:pStyle w:val="Heading4"/>
      </w:pPr>
      <w:bookmarkStart w:id="82" w:name="time-varying-bias"/>
      <w:bookmarkEnd w:id="81"/>
      <w:r>
        <w:t>Time-varying bias</w:t>
      </w:r>
    </w:p>
    <w:p w14:paraId="395B1085"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ω</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e>
          </m:d>
        </m:oMath>
      </m:oMathPara>
    </w:p>
    <w:p w14:paraId="7595807A" w14:textId="77777777" w:rsidR="00C87760" w:rsidRDefault="00000000">
      <w:pPr>
        <w:pStyle w:val="Heading4"/>
      </w:pPr>
      <w:bookmarkStart w:id="83" w:name="X9a380284aeab321d9120bb73ab772a7d55fe80a"/>
      <w:bookmarkEnd w:id="82"/>
      <w:r>
        <w:t>Cell QCEW noise (where revision data unavailable)</w:t>
      </w:r>
    </w:p>
    <w:p w14:paraId="036EB113" w14:textId="77777777" w:rsidR="00C87760" w:rsidRDefault="00000000">
      <w:pPr>
        <w:pStyle w:val="FirstParagraph"/>
      </w:pPr>
      <m:oMathPara>
        <m:oMathParaPr>
          <m:jc m:val="center"/>
        </m:oMathParaP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Q</m:t>
                  </m:r>
                </m:sub>
              </m:sSub>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ln</m:t>
              </m:r>
              <m:d>
                <m:dPr>
                  <m:ctrlPr>
                    <w:rPr>
                      <w:rFonts w:ascii="Cambria Math" w:hAnsi="Cambria Math"/>
                    </w:rPr>
                  </m:ctrlPr>
                </m:dPr>
                <m:e>
                  <m:r>
                    <w:rPr>
                      <w:rFonts w:ascii="Cambria Math" w:hAnsi="Cambria Math"/>
                    </w:rPr>
                    <m:t>0.001</m:t>
                  </m:r>
                </m:e>
              </m:d>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Q</m:t>
                  </m:r>
                </m:sub>
              </m:sSub>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0.3</m:t>
              </m:r>
            </m:e>
          </m:d>
        </m:oMath>
      </m:oMathPara>
    </w:p>
    <w:p w14:paraId="488BD6D5" w14:textId="77777777" w:rsidR="00C87760" w:rsidRDefault="00000000">
      <w:pPr>
        <w:pStyle w:val="Heading4"/>
      </w:pPr>
      <w:bookmarkStart w:id="84" w:name="note-on-temporal-dependence"/>
      <w:bookmarkEnd w:id="83"/>
      <w:r>
        <w:t>Note on Temporal Dependence</w:t>
      </w:r>
    </w:p>
    <w:p w14:paraId="37BD744F" w14:textId="77777777" w:rsidR="00C87760" w:rsidRDefault="00000000">
      <w:pPr>
        <w:pStyle w:val="FirstParagraph"/>
      </w:pPr>
      <w:r>
        <w:t xml:space="preserve">The RW1 prior on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w:r>
        <w:t xml:space="preserve"> implies a unit root, capturing smooth drift. The QCEW error-correction </w:t>
      </w:r>
      <m:oMath>
        <m:sSub>
          <m:sSubPr>
            <m:ctrlPr>
              <w:rPr>
                <w:rFonts w:ascii="Cambria Math" w:hAnsi="Cambria Math"/>
              </w:rPr>
            </m:ctrlPr>
          </m:sSubPr>
          <m:e>
            <m:r>
              <w:rPr>
                <w:rFonts w:ascii="Cambria Math" w:hAnsi="Cambria Math"/>
              </w:rPr>
              <m:t>κ</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oMath>
      <w:r>
        <w:t xml:space="preserve"> provides mean-reverting behavior, preventing unbounded drift. A Gaussian Process would be theoretically superior but is computationally prohibitive at the scale of </w:t>
      </w:r>
      <m:oMath>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oMath>
      <w:r>
        <w:t xml:space="preserve"> bias trajectories.</w:t>
      </w:r>
    </w:p>
    <w:p w14:paraId="7A23C6C0" w14:textId="77777777" w:rsidR="00C87760" w:rsidRDefault="00000000">
      <w:pPr>
        <w:pStyle w:val="Heading3"/>
      </w:pPr>
      <w:bookmarkStart w:id="85" w:name="output-specification-2"/>
      <w:bookmarkEnd w:id="79"/>
      <w:bookmarkEnd w:id="84"/>
      <w:r>
        <w:t>Output Specification</w:t>
      </w:r>
    </w:p>
    <w:p w14:paraId="498C9B9A" w14:textId="77777777" w:rsidR="00C87760" w:rsidRDefault="00000000">
      <w:pPr>
        <w:pStyle w:val="FirstParagraph"/>
      </w:pPr>
      <w:r>
        <w:t>All outputs from Release 2, plus:</w:t>
      </w:r>
    </w:p>
    <w:tbl>
      <w:tblPr>
        <w:tblStyle w:val="Table"/>
        <w:tblW w:w="5000" w:type="pct"/>
        <w:tblLayout w:type="fixed"/>
        <w:tblLook w:val="0020" w:firstRow="1" w:lastRow="0" w:firstColumn="0" w:lastColumn="0" w:noHBand="0" w:noVBand="0"/>
      </w:tblPr>
      <w:tblGrid>
        <w:gridCol w:w="4145"/>
        <w:gridCol w:w="5215"/>
      </w:tblGrid>
      <w:tr w:rsidR="00C87760" w14:paraId="44BD8D77"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3507" w:type="dxa"/>
          </w:tcPr>
          <w:p w14:paraId="323A3358" w14:textId="77777777" w:rsidR="00C87760" w:rsidRDefault="00000000">
            <w:pPr>
              <w:pStyle w:val="Compact"/>
            </w:pPr>
            <w:r>
              <w:t>Output</w:t>
            </w:r>
          </w:p>
        </w:tc>
        <w:tc>
          <w:tcPr>
            <w:tcW w:w="4412" w:type="dxa"/>
          </w:tcPr>
          <w:p w14:paraId="7DD08CFC" w14:textId="77777777" w:rsidR="00C87760" w:rsidRDefault="00000000">
            <w:pPr>
              <w:pStyle w:val="Compact"/>
            </w:pPr>
            <w:r>
              <w:t>Description</w:t>
            </w:r>
          </w:p>
        </w:tc>
      </w:tr>
      <w:tr w:rsidR="00C87760" w14:paraId="477952C4" w14:textId="77777777">
        <w:tc>
          <w:tcPr>
            <w:tcW w:w="3507" w:type="dxa"/>
          </w:tcPr>
          <w:p w14:paraId="36E8FA0E" w14:textId="77777777" w:rsidR="00C87760" w:rsidRDefault="00000000">
            <w:pPr>
              <w:pStyle w:val="Compact"/>
            </w:pPr>
            <w:proofErr w:type="spellStart"/>
            <w:r>
              <w:rPr>
                <w:rStyle w:val="VerbatimChar"/>
              </w:rPr>
              <w:t>cell_nowcasts_reconciled</w:t>
            </w:r>
            <w:proofErr w:type="spellEnd"/>
          </w:p>
        </w:tc>
        <w:tc>
          <w:tcPr>
            <w:tcW w:w="4412" w:type="dxa"/>
          </w:tcPr>
          <w:p w14:paraId="22CDAD2D" w14:textId="77777777" w:rsidR="00C87760" w:rsidRDefault="00000000">
            <w:pPr>
              <w:pStyle w:val="Compact"/>
            </w:pPr>
            <w:r>
              <w:t xml:space="preserve">Full state × </w:t>
            </w:r>
            <w:proofErr w:type="spellStart"/>
            <w:r>
              <w:t>supersector</w:t>
            </w:r>
            <w:proofErr w:type="spellEnd"/>
            <w:r>
              <w:t xml:space="preserve"> reconciled estimates</w:t>
            </w:r>
          </w:p>
        </w:tc>
      </w:tr>
      <w:tr w:rsidR="00C87760" w14:paraId="6B82BF36" w14:textId="77777777">
        <w:tc>
          <w:tcPr>
            <w:tcW w:w="3507" w:type="dxa"/>
          </w:tcPr>
          <w:p w14:paraId="1469049E" w14:textId="77777777" w:rsidR="00C87760" w:rsidRDefault="00000000">
            <w:pPr>
              <w:pStyle w:val="Compact"/>
            </w:pPr>
            <w:proofErr w:type="spellStart"/>
            <w:r>
              <w:rPr>
                <w:rStyle w:val="VerbatimChar"/>
              </w:rPr>
              <w:t>geographic_contributions</w:t>
            </w:r>
            <w:proofErr w:type="spellEnd"/>
          </w:p>
        </w:tc>
        <w:tc>
          <w:tcPr>
            <w:tcW w:w="4412" w:type="dxa"/>
          </w:tcPr>
          <w:p w14:paraId="1BE2EBF4" w14:textId="77777777" w:rsidR="00C87760" w:rsidRDefault="00000000">
            <w:pPr>
              <w:pStyle w:val="Compact"/>
            </w:pPr>
            <w:r>
              <w:t>State-level contributions to national change</w:t>
            </w:r>
          </w:p>
        </w:tc>
      </w:tr>
      <w:tr w:rsidR="00C87760" w14:paraId="2DB03718" w14:textId="77777777">
        <w:tc>
          <w:tcPr>
            <w:tcW w:w="3507" w:type="dxa"/>
          </w:tcPr>
          <w:p w14:paraId="11EE7714" w14:textId="77777777" w:rsidR="00C87760" w:rsidRDefault="00000000">
            <w:pPr>
              <w:pStyle w:val="Compact"/>
            </w:pPr>
            <w:proofErr w:type="spellStart"/>
            <w:r>
              <w:rPr>
                <w:rStyle w:val="VerbatimChar"/>
              </w:rPr>
              <w:t>top_geographic_drivers</w:t>
            </w:r>
            <w:proofErr w:type="spellEnd"/>
          </w:p>
        </w:tc>
        <w:tc>
          <w:tcPr>
            <w:tcW w:w="4412" w:type="dxa"/>
          </w:tcPr>
          <w:p w14:paraId="045AE282" w14:textId="77777777" w:rsidR="00C87760" w:rsidRDefault="00000000">
            <w:pPr>
              <w:pStyle w:val="Compact"/>
            </w:pPr>
            <w:r>
              <w:t>States contributing most to national change</w:t>
            </w:r>
          </w:p>
        </w:tc>
      </w:tr>
      <w:tr w:rsidR="00C87760" w14:paraId="48B9A777" w14:textId="77777777">
        <w:tc>
          <w:tcPr>
            <w:tcW w:w="3507" w:type="dxa"/>
          </w:tcPr>
          <w:p w14:paraId="5C3E7174" w14:textId="77777777" w:rsidR="00C87760" w:rsidRDefault="00000000">
            <w:pPr>
              <w:pStyle w:val="Compact"/>
            </w:pPr>
            <w:proofErr w:type="spellStart"/>
            <w:r>
              <w:rPr>
                <w:rStyle w:val="VerbatimChar"/>
              </w:rPr>
              <w:t>variance_components</w:t>
            </w:r>
            <w:proofErr w:type="spellEnd"/>
          </w:p>
        </w:tc>
        <w:tc>
          <w:tcPr>
            <w:tcW w:w="4412" w:type="dxa"/>
          </w:tcPr>
          <w:p w14:paraId="629351E5" w14:textId="77777777" w:rsidR="00C87760" w:rsidRDefault="00000000">
            <w:pPr>
              <w:pStyle w:val="Compact"/>
            </w:pP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at each hierarchy level</w:t>
            </w:r>
          </w:p>
        </w:tc>
      </w:tr>
      <w:tr w:rsidR="00C87760" w14:paraId="1693FD87" w14:textId="77777777">
        <w:tc>
          <w:tcPr>
            <w:tcW w:w="3507" w:type="dxa"/>
          </w:tcPr>
          <w:p w14:paraId="155A61F1" w14:textId="77777777" w:rsidR="00C87760" w:rsidRDefault="00000000">
            <w:pPr>
              <w:pStyle w:val="Compact"/>
            </w:pPr>
            <w:proofErr w:type="spellStart"/>
            <w:r>
              <w:rPr>
                <w:rStyle w:val="VerbatimChar"/>
              </w:rPr>
              <w:t>geographic_effects</w:t>
            </w:r>
            <w:proofErr w:type="spellEnd"/>
          </w:p>
        </w:tc>
        <w:tc>
          <w:tcPr>
            <w:tcW w:w="4412" w:type="dxa"/>
          </w:tcPr>
          <w:p w14:paraId="476C08A2" w14:textId="77777777" w:rsidR="00C87760" w:rsidRDefault="00000000">
            <w:pPr>
              <w:pStyle w:val="Compact"/>
            </w:pPr>
            <w:r>
              <w:t>Region, division, state effects</w:t>
            </w:r>
          </w:p>
        </w:tc>
      </w:tr>
      <w:tr w:rsidR="00C87760" w14:paraId="785400D8" w14:textId="77777777">
        <w:tc>
          <w:tcPr>
            <w:tcW w:w="3507" w:type="dxa"/>
          </w:tcPr>
          <w:p w14:paraId="4671F33E" w14:textId="77777777" w:rsidR="00C87760" w:rsidRDefault="00000000">
            <w:pPr>
              <w:pStyle w:val="Compact"/>
            </w:pPr>
            <w:proofErr w:type="spellStart"/>
            <w:r>
              <w:rPr>
                <w:rStyle w:val="VerbatimChar"/>
              </w:rPr>
              <w:t>industry_effects</w:t>
            </w:r>
            <w:proofErr w:type="spellEnd"/>
          </w:p>
        </w:tc>
        <w:tc>
          <w:tcPr>
            <w:tcW w:w="4412" w:type="dxa"/>
          </w:tcPr>
          <w:p w14:paraId="1C8D6B24" w14:textId="77777777" w:rsidR="00C87760" w:rsidRDefault="00000000">
            <w:pPr>
              <w:pStyle w:val="Compact"/>
            </w:pPr>
            <w:r>
              <w:t xml:space="preserve">Domain, </w:t>
            </w:r>
            <w:proofErr w:type="spellStart"/>
            <w:r>
              <w:t>supersector</w:t>
            </w:r>
            <w:proofErr w:type="spellEnd"/>
            <w:r>
              <w:t xml:space="preserve"> effects</w:t>
            </w:r>
          </w:p>
        </w:tc>
      </w:tr>
      <w:tr w:rsidR="00C87760" w14:paraId="1438DA85" w14:textId="77777777">
        <w:tc>
          <w:tcPr>
            <w:tcW w:w="3507" w:type="dxa"/>
          </w:tcPr>
          <w:p w14:paraId="49B14439" w14:textId="77777777" w:rsidR="00C87760" w:rsidRDefault="00000000">
            <w:pPr>
              <w:pStyle w:val="Compact"/>
            </w:pPr>
            <w:proofErr w:type="spellStart"/>
            <w:r>
              <w:rPr>
                <w:rStyle w:val="VerbatimChar"/>
              </w:rPr>
              <w:t>provider_industry_interactions</w:t>
            </w:r>
            <w:proofErr w:type="spellEnd"/>
          </w:p>
        </w:tc>
        <w:tc>
          <w:tcPr>
            <w:tcW w:w="4412" w:type="dxa"/>
          </w:tcPr>
          <w:p w14:paraId="30930BCF" w14:textId="77777777" w:rsidR="00C87760" w:rsidRDefault="00000000">
            <w:pPr>
              <w:pStyle w:val="Compact"/>
            </w:pPr>
            <w:r>
              <w:t>Which providers excel in which industries</w:t>
            </w:r>
          </w:p>
        </w:tc>
      </w:tr>
      <w:tr w:rsidR="00C87760" w14:paraId="07FCA845" w14:textId="77777777">
        <w:tc>
          <w:tcPr>
            <w:tcW w:w="3507" w:type="dxa"/>
          </w:tcPr>
          <w:p w14:paraId="6423DD62" w14:textId="77777777" w:rsidR="00C87760" w:rsidRDefault="00000000">
            <w:pPr>
              <w:pStyle w:val="Compact"/>
            </w:pPr>
            <w:proofErr w:type="spellStart"/>
            <w:r>
              <w:rPr>
                <w:rStyle w:val="VerbatimChar"/>
              </w:rPr>
              <w:t>effective_shrinkage</w:t>
            </w:r>
            <w:proofErr w:type="spellEnd"/>
          </w:p>
        </w:tc>
        <w:tc>
          <w:tcPr>
            <w:tcW w:w="4412" w:type="dxa"/>
          </w:tcPr>
          <w:p w14:paraId="4EF0D3DD" w14:textId="77777777" w:rsidR="00C87760" w:rsidRDefault="00000000">
            <w:pPr>
              <w:pStyle w:val="Compact"/>
            </w:pPr>
            <w:r>
              <w:t>Cell-level shrinkage toward each parent</w:t>
            </w:r>
          </w:p>
        </w:tc>
      </w:tr>
      <w:tr w:rsidR="00C87760" w14:paraId="142B8FF8" w14:textId="77777777">
        <w:tc>
          <w:tcPr>
            <w:tcW w:w="3507" w:type="dxa"/>
          </w:tcPr>
          <w:p w14:paraId="02D01086" w14:textId="77777777" w:rsidR="00C87760" w:rsidRDefault="00000000">
            <w:pPr>
              <w:pStyle w:val="Compact"/>
            </w:pPr>
            <w:proofErr w:type="spellStart"/>
            <w:r>
              <w:rPr>
                <w:rStyle w:val="VerbatimChar"/>
              </w:rPr>
              <w:t>bias_trajectories</w:t>
            </w:r>
            <w:proofErr w:type="spellEnd"/>
          </w:p>
        </w:tc>
        <w:tc>
          <w:tcPr>
            <w:tcW w:w="4412" w:type="dxa"/>
          </w:tcPr>
          <w:p w14:paraId="031693AA" w14:textId="77777777" w:rsidR="00C87760"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w:r>
              <w:t xml:space="preserve"> time series by provider and cell</w:t>
            </w:r>
          </w:p>
        </w:tc>
      </w:tr>
      <w:tr w:rsidR="00C87760" w14:paraId="3FD8E901" w14:textId="77777777">
        <w:tc>
          <w:tcPr>
            <w:tcW w:w="3507" w:type="dxa"/>
          </w:tcPr>
          <w:p w14:paraId="663ED1D6" w14:textId="77777777" w:rsidR="00C87760" w:rsidRDefault="00000000">
            <w:pPr>
              <w:pStyle w:val="Compact"/>
            </w:pPr>
            <w:proofErr w:type="spellStart"/>
            <w:r>
              <w:rPr>
                <w:rStyle w:val="VerbatimChar"/>
              </w:rPr>
              <w:t>error_correction_speeds</w:t>
            </w:r>
            <w:proofErr w:type="spellEnd"/>
          </w:p>
        </w:tc>
        <w:tc>
          <w:tcPr>
            <w:tcW w:w="4412" w:type="dxa"/>
          </w:tcPr>
          <w:p w14:paraId="1304F287" w14:textId="77777777" w:rsidR="00C87760" w:rsidRDefault="00000000">
            <w:pPr>
              <w:pStyle w:val="Compact"/>
            </w:pPr>
            <m:oMath>
              <m:sSub>
                <m:sSubPr>
                  <m:ctrlPr>
                    <w:rPr>
                      <w:rFonts w:ascii="Cambria Math" w:hAnsi="Cambria Math"/>
                    </w:rPr>
                  </m:ctrlPr>
                </m:sSubPr>
                <m:e>
                  <m:r>
                    <w:rPr>
                      <w:rFonts w:ascii="Cambria Math" w:hAnsi="Cambria Math"/>
                    </w:rPr>
                    <m:t>κ</m:t>
                  </m:r>
                </m:e>
                <m:sub>
                  <m:r>
                    <w:rPr>
                      <w:rFonts w:ascii="Cambria Math" w:hAnsi="Cambria Math"/>
                    </w:rPr>
                    <m:t>p</m:t>
                  </m:r>
                </m:sub>
              </m:sSub>
            </m:oMath>
            <w:r>
              <w:t xml:space="preserve"> by provider</w:t>
            </w:r>
          </w:p>
        </w:tc>
      </w:tr>
      <w:tr w:rsidR="00C87760" w14:paraId="05C54AE3" w14:textId="77777777">
        <w:tc>
          <w:tcPr>
            <w:tcW w:w="3507" w:type="dxa"/>
          </w:tcPr>
          <w:p w14:paraId="7F6F9B88" w14:textId="77777777" w:rsidR="00C87760" w:rsidRDefault="00000000">
            <w:pPr>
              <w:pStyle w:val="Compact"/>
            </w:pPr>
            <w:proofErr w:type="spellStart"/>
            <w:r>
              <w:rPr>
                <w:rStyle w:val="VerbatimChar"/>
              </w:rPr>
              <w:t>qcew_forecast</w:t>
            </w:r>
            <w:proofErr w:type="spellEnd"/>
          </w:p>
        </w:tc>
        <w:tc>
          <w:tcPr>
            <w:tcW w:w="4412" w:type="dxa"/>
          </w:tcPr>
          <w:p w14:paraId="77AEBE3E" w14:textId="77777777" w:rsidR="00C87760" w:rsidRDefault="00000000">
            <w:pPr>
              <w:pStyle w:val="Compact"/>
            </w:pPr>
            <w:r>
              <w:t>Forecasted QCEW by cell</w:t>
            </w:r>
          </w:p>
        </w:tc>
      </w:tr>
      <w:tr w:rsidR="00C87760" w14:paraId="486D194F" w14:textId="77777777">
        <w:tc>
          <w:tcPr>
            <w:tcW w:w="3507" w:type="dxa"/>
          </w:tcPr>
          <w:p w14:paraId="7CD68B67" w14:textId="77777777" w:rsidR="00C87760" w:rsidRDefault="00000000">
            <w:pPr>
              <w:pStyle w:val="Compact"/>
            </w:pPr>
            <w:proofErr w:type="spellStart"/>
            <w:r>
              <w:rPr>
                <w:rStyle w:val="VerbatimChar"/>
              </w:rPr>
              <w:t>regime_uncertainty</w:t>
            </w:r>
            <w:proofErr w:type="spellEnd"/>
          </w:p>
        </w:tc>
        <w:tc>
          <w:tcPr>
            <w:tcW w:w="4412" w:type="dxa"/>
          </w:tcPr>
          <w:p w14:paraId="4DAEDD50" w14:textId="77777777" w:rsidR="00C87760" w:rsidRDefault="00000000">
            <w:pPr>
              <w:pStyle w:val="Compact"/>
            </w:pPr>
            <w:r>
              <w:t>How uncertainty bands evolve across Regimes A → B → C</w:t>
            </w:r>
          </w:p>
        </w:tc>
      </w:tr>
    </w:tbl>
    <w:p w14:paraId="1C70BDF9" w14:textId="77777777" w:rsidR="00C87760" w:rsidRDefault="00000000">
      <w:pPr>
        <w:pStyle w:val="Heading3"/>
      </w:pPr>
      <w:bookmarkStart w:id="86" w:name="validation-metrics-2"/>
      <w:bookmarkEnd w:id="85"/>
      <w:r>
        <w:lastRenderedPageBreak/>
        <w:t>Validation Metrics</w:t>
      </w:r>
    </w:p>
    <w:p w14:paraId="2C34BDDE" w14:textId="77777777" w:rsidR="00C87760" w:rsidRDefault="00000000">
      <w:pPr>
        <w:pStyle w:val="Compact"/>
        <w:numPr>
          <w:ilvl w:val="0"/>
          <w:numId w:val="17"/>
        </w:numPr>
      </w:pPr>
      <w:r>
        <w:t>National RMSE (must not degrade vs. Releases 1–2)</w:t>
      </w:r>
    </w:p>
    <w:p w14:paraId="7E64C144" w14:textId="77777777" w:rsidR="00C87760" w:rsidRDefault="00000000">
      <w:pPr>
        <w:pStyle w:val="Compact"/>
        <w:numPr>
          <w:ilvl w:val="0"/>
          <w:numId w:val="17"/>
        </w:numPr>
      </w:pPr>
      <w:r>
        <w:t xml:space="preserve">Coherence: cells sum to </w:t>
      </w:r>
      <w:proofErr w:type="spellStart"/>
      <w:r>
        <w:t>supersectors</w:t>
      </w:r>
      <w:proofErr w:type="spellEnd"/>
      <w:r>
        <w:t xml:space="preserve"> sum </w:t>
      </w:r>
      <w:proofErr w:type="gramStart"/>
      <w:r>
        <w:t>to</w:t>
      </w:r>
      <w:proofErr w:type="gramEnd"/>
      <w:r>
        <w:t xml:space="preserve"> national</w:t>
      </w:r>
    </w:p>
    <w:p w14:paraId="7A5742D0" w14:textId="77777777" w:rsidR="00C87760" w:rsidRDefault="00000000">
      <w:pPr>
        <w:pStyle w:val="Compact"/>
        <w:numPr>
          <w:ilvl w:val="0"/>
          <w:numId w:val="17"/>
        </w:numPr>
      </w:pPr>
      <w:r>
        <w:t>Cell-level coverage against QCEW</w:t>
      </w:r>
    </w:p>
    <w:p w14:paraId="00AB222C" w14:textId="77777777" w:rsidR="00C87760" w:rsidRDefault="00000000">
      <w:pPr>
        <w:pStyle w:val="Compact"/>
        <w:numPr>
          <w:ilvl w:val="0"/>
          <w:numId w:val="17"/>
        </w:numPr>
      </w:pPr>
      <w:r>
        <w:t>Regime-specific accuracy: geographic decomposition stability from Regime B to Regime C</w:t>
      </w:r>
    </w:p>
    <w:p w14:paraId="404AA828" w14:textId="77777777" w:rsidR="00C87760" w:rsidRDefault="00000000">
      <w:pPr>
        <w:pStyle w:val="Compact"/>
        <w:numPr>
          <w:ilvl w:val="0"/>
          <w:numId w:val="17"/>
        </w:numPr>
      </w:pPr>
      <w:r>
        <w:t>Variance decomposition by hierarchy level</w:t>
      </w:r>
    </w:p>
    <w:p w14:paraId="0B21ECE3" w14:textId="77777777" w:rsidR="00C87760" w:rsidRDefault="00000000">
      <w:pPr>
        <w:pStyle w:val="Compact"/>
        <w:numPr>
          <w:ilvl w:val="0"/>
          <w:numId w:val="17"/>
        </w:numPr>
      </w:pPr>
      <w:r>
        <w:t>Time-varying bias detection: does the model identify known composition shifts?</w:t>
      </w:r>
    </w:p>
    <w:p w14:paraId="2F89840D" w14:textId="77777777" w:rsidR="00C87760" w:rsidRDefault="00000000">
      <w:pPr>
        <w:pStyle w:val="Compact"/>
        <w:numPr>
          <w:ilvl w:val="0"/>
          <w:numId w:val="17"/>
        </w:numPr>
      </w:pPr>
      <w:r>
        <w:t>QCEW forecast accuracy at various horizons</w:t>
      </w:r>
    </w:p>
    <w:p w14:paraId="499BBA6B" w14:textId="77777777" w:rsidR="00C87760" w:rsidRDefault="00000000">
      <w:pPr>
        <w:pStyle w:val="Compact"/>
        <w:numPr>
          <w:ilvl w:val="0"/>
          <w:numId w:val="17"/>
        </w:numPr>
      </w:pPr>
      <w:r>
        <w:t>Sparse-cell shrinkage: do nested priors outperform exchangeable (Release 2) for small cells?</w:t>
      </w:r>
    </w:p>
    <w:p w14:paraId="7D6B04BE" w14:textId="77777777" w:rsidR="00C86A6D" w:rsidRDefault="00C86A6D">
      <w:pPr>
        <w:rPr>
          <w:rFonts w:asciiTheme="majorHAnsi" w:eastAsiaTheme="majorEastAsia" w:hAnsiTheme="majorHAnsi" w:cstheme="majorBidi"/>
          <w:color w:val="0F4761" w:themeColor="accent1" w:themeShade="BF"/>
          <w:sz w:val="40"/>
          <w:szCs w:val="40"/>
        </w:rPr>
      </w:pPr>
      <w:bookmarkStart w:id="87" w:name="appendix-a-summary-release-comparison-1"/>
      <w:bookmarkEnd w:id="63"/>
      <w:bookmarkEnd w:id="66"/>
      <w:bookmarkEnd w:id="86"/>
      <w:r>
        <w:br w:type="page"/>
      </w:r>
    </w:p>
    <w:p w14:paraId="764B7096" w14:textId="01964894" w:rsidR="00C87760" w:rsidRDefault="00000000">
      <w:pPr>
        <w:pStyle w:val="Heading1"/>
      </w:pPr>
      <w:r>
        <w:lastRenderedPageBreak/>
        <w:t>Appendix A: Summary Release Comparison</w:t>
      </w:r>
    </w:p>
    <w:tbl>
      <w:tblPr>
        <w:tblStyle w:val="Table"/>
        <w:tblW w:w="5000" w:type="pct"/>
        <w:tblLayout w:type="fixed"/>
        <w:tblLook w:val="0020" w:firstRow="1" w:lastRow="0" w:firstColumn="0" w:lastColumn="0" w:noHBand="0" w:noVBand="0"/>
      </w:tblPr>
      <w:tblGrid>
        <w:gridCol w:w="2505"/>
        <w:gridCol w:w="2241"/>
        <w:gridCol w:w="2241"/>
        <w:gridCol w:w="2373"/>
      </w:tblGrid>
      <w:tr w:rsidR="00C87760" w14:paraId="49F499D8"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2119" w:type="dxa"/>
          </w:tcPr>
          <w:p w14:paraId="472B22E7" w14:textId="77777777" w:rsidR="00C87760" w:rsidRDefault="00C87760">
            <w:pPr>
              <w:pStyle w:val="Compact"/>
            </w:pPr>
          </w:p>
        </w:tc>
        <w:tc>
          <w:tcPr>
            <w:tcW w:w="1896" w:type="dxa"/>
          </w:tcPr>
          <w:p w14:paraId="5CE6CDDC" w14:textId="77777777" w:rsidR="00C87760" w:rsidRDefault="00000000">
            <w:pPr>
              <w:pStyle w:val="Compact"/>
            </w:pPr>
            <w:r>
              <w:t>Release 1</w:t>
            </w:r>
          </w:p>
        </w:tc>
        <w:tc>
          <w:tcPr>
            <w:tcW w:w="1896" w:type="dxa"/>
          </w:tcPr>
          <w:p w14:paraId="1D7457E0" w14:textId="77777777" w:rsidR="00C87760" w:rsidRDefault="00000000">
            <w:pPr>
              <w:pStyle w:val="Compact"/>
            </w:pPr>
            <w:r>
              <w:t>Release 2</w:t>
            </w:r>
          </w:p>
        </w:tc>
        <w:tc>
          <w:tcPr>
            <w:tcW w:w="2007" w:type="dxa"/>
          </w:tcPr>
          <w:p w14:paraId="135BF5E2" w14:textId="77777777" w:rsidR="00C87760" w:rsidRDefault="00000000">
            <w:pPr>
              <w:pStyle w:val="Compact"/>
            </w:pPr>
            <w:r>
              <w:t>Release 3</w:t>
            </w:r>
          </w:p>
        </w:tc>
      </w:tr>
      <w:tr w:rsidR="00C87760" w14:paraId="13C3C056" w14:textId="77777777">
        <w:tc>
          <w:tcPr>
            <w:tcW w:w="2119" w:type="dxa"/>
          </w:tcPr>
          <w:p w14:paraId="47BEDCE5" w14:textId="77777777" w:rsidR="00C87760" w:rsidRDefault="00000000">
            <w:pPr>
              <w:pStyle w:val="Compact"/>
            </w:pPr>
            <w:r>
              <w:rPr>
                <w:b/>
                <w:bCs/>
              </w:rPr>
              <w:t>Model</w:t>
            </w:r>
          </w:p>
        </w:tc>
        <w:tc>
          <w:tcPr>
            <w:tcW w:w="1896" w:type="dxa"/>
          </w:tcPr>
          <w:p w14:paraId="002D067A" w14:textId="77777777" w:rsidR="00C87760" w:rsidRDefault="00000000">
            <w:pPr>
              <w:pStyle w:val="Compact"/>
            </w:pPr>
            <w:r>
              <w:t>National Accuracy</w:t>
            </w:r>
          </w:p>
        </w:tc>
        <w:tc>
          <w:tcPr>
            <w:tcW w:w="1896" w:type="dxa"/>
          </w:tcPr>
          <w:p w14:paraId="5A5E1C28" w14:textId="77777777" w:rsidR="00C87760" w:rsidRDefault="00000000">
            <w:pPr>
              <w:pStyle w:val="Compact"/>
            </w:pPr>
            <w:r>
              <w:t>+ Industry Narrative</w:t>
            </w:r>
          </w:p>
        </w:tc>
        <w:tc>
          <w:tcPr>
            <w:tcW w:w="2007" w:type="dxa"/>
          </w:tcPr>
          <w:p w14:paraId="676B2051" w14:textId="77777777" w:rsidR="00C87760" w:rsidRDefault="00000000">
            <w:pPr>
              <w:pStyle w:val="Compact"/>
            </w:pPr>
            <w:r>
              <w:t>+ Geographic Narrative</w:t>
            </w:r>
          </w:p>
        </w:tc>
      </w:tr>
      <w:tr w:rsidR="00C87760" w14:paraId="541CCD2C" w14:textId="77777777">
        <w:tc>
          <w:tcPr>
            <w:tcW w:w="2119" w:type="dxa"/>
          </w:tcPr>
          <w:p w14:paraId="57B64ED9" w14:textId="77777777" w:rsidR="00C87760" w:rsidRDefault="00000000">
            <w:pPr>
              <w:pStyle w:val="Compact"/>
            </w:pPr>
            <w:r>
              <w:rPr>
                <w:b/>
                <w:bCs/>
              </w:rPr>
              <w:t>Scope</w:t>
            </w:r>
          </w:p>
        </w:tc>
        <w:tc>
          <w:tcPr>
            <w:tcW w:w="1896" w:type="dxa"/>
          </w:tcPr>
          <w:p w14:paraId="07FBD019" w14:textId="77777777" w:rsidR="00C87760" w:rsidRDefault="00000000">
            <w:pPr>
              <w:pStyle w:val="Compact"/>
            </w:pPr>
            <w:r>
              <w:t>National</w:t>
            </w:r>
          </w:p>
        </w:tc>
        <w:tc>
          <w:tcPr>
            <w:tcW w:w="1896" w:type="dxa"/>
          </w:tcPr>
          <w:p w14:paraId="626B0CD2" w14:textId="77777777" w:rsidR="00C87760" w:rsidRDefault="00000000">
            <w:pPr>
              <w:pStyle w:val="Compact"/>
            </w:pPr>
            <w:r>
              <w:t xml:space="preserve">National + </w:t>
            </w:r>
            <w:proofErr w:type="spellStart"/>
            <w:r>
              <w:t>Supersectors</w:t>
            </w:r>
            <w:proofErr w:type="spellEnd"/>
          </w:p>
        </w:tc>
        <w:tc>
          <w:tcPr>
            <w:tcW w:w="2007" w:type="dxa"/>
          </w:tcPr>
          <w:p w14:paraId="3FD7C7E7" w14:textId="77777777" w:rsidR="00C87760" w:rsidRDefault="00000000">
            <w:pPr>
              <w:pStyle w:val="Compact"/>
            </w:pPr>
            <w:r>
              <w:t xml:space="preserve">National + State × </w:t>
            </w:r>
            <w:proofErr w:type="spellStart"/>
            <w:r>
              <w:t>Supersector</w:t>
            </w:r>
            <w:proofErr w:type="spellEnd"/>
          </w:p>
        </w:tc>
      </w:tr>
      <w:tr w:rsidR="00C87760" w14:paraId="4C650E9A" w14:textId="77777777">
        <w:tc>
          <w:tcPr>
            <w:tcW w:w="2119" w:type="dxa"/>
          </w:tcPr>
          <w:p w14:paraId="6FF7EC2B" w14:textId="77777777" w:rsidR="00C87760" w:rsidRDefault="00000000">
            <w:pPr>
              <w:pStyle w:val="Compact"/>
            </w:pPr>
            <w:r>
              <w:rPr>
                <w:b/>
                <w:bCs/>
              </w:rPr>
              <w:t>Multi-Provider</w:t>
            </w:r>
          </w:p>
        </w:tc>
        <w:tc>
          <w:tcPr>
            <w:tcW w:w="1896" w:type="dxa"/>
          </w:tcPr>
          <w:p w14:paraId="152C3000" w14:textId="77777777" w:rsidR="00C87760" w:rsidRDefault="00000000">
            <w:pPr>
              <w:pStyle w:val="Compact"/>
            </w:pPr>
            <w:r>
              <w:rPr>
                <w:b/>
                <w:bCs/>
              </w:rPr>
              <w:t>Yes</w:t>
            </w:r>
            <w:r>
              <w:t xml:space="preserve"> (</w:t>
            </w:r>
            <w:proofErr w:type="spellStart"/>
            <w:proofErr w:type="gramStart"/>
            <w:r>
              <w:t>repr</w:t>
            </w:r>
            <w:proofErr w:type="spellEnd"/>
            <w:r>
              <w:t>.-</w:t>
            </w:r>
            <w:proofErr w:type="gramEnd"/>
            <w:r>
              <w:t>corrected)</w:t>
            </w:r>
          </w:p>
        </w:tc>
        <w:tc>
          <w:tcPr>
            <w:tcW w:w="1896" w:type="dxa"/>
          </w:tcPr>
          <w:p w14:paraId="5B3A2593" w14:textId="77777777" w:rsidR="00C87760" w:rsidRDefault="00000000">
            <w:pPr>
              <w:pStyle w:val="Compact"/>
            </w:pPr>
            <w:r>
              <w:t>Yes</w:t>
            </w:r>
          </w:p>
        </w:tc>
        <w:tc>
          <w:tcPr>
            <w:tcW w:w="2007" w:type="dxa"/>
          </w:tcPr>
          <w:p w14:paraId="60C04D5F" w14:textId="77777777" w:rsidR="00C87760" w:rsidRDefault="00000000">
            <w:pPr>
              <w:pStyle w:val="Compact"/>
            </w:pPr>
            <w:r>
              <w:t>Yes</w:t>
            </w:r>
          </w:p>
        </w:tc>
      </w:tr>
      <w:tr w:rsidR="00C87760" w14:paraId="435EA643" w14:textId="77777777">
        <w:tc>
          <w:tcPr>
            <w:tcW w:w="2119" w:type="dxa"/>
          </w:tcPr>
          <w:p w14:paraId="5BEE02A9" w14:textId="77777777" w:rsidR="00C87760" w:rsidRDefault="00000000">
            <w:pPr>
              <w:pStyle w:val="Compact"/>
            </w:pPr>
            <w:r>
              <w:rPr>
                <w:b/>
                <w:bCs/>
              </w:rPr>
              <w:t>Birth/Death</w:t>
            </w:r>
          </w:p>
        </w:tc>
        <w:tc>
          <w:tcPr>
            <w:tcW w:w="1896" w:type="dxa"/>
          </w:tcPr>
          <w:p w14:paraId="54E8E9A1" w14:textId="77777777" w:rsidR="00C87760" w:rsidRDefault="00000000">
            <w:pPr>
              <w:pStyle w:val="Compact"/>
            </w:pPr>
            <w:r>
              <w:rPr>
                <w:b/>
                <w:bCs/>
              </w:rPr>
              <w:t>Yes</w:t>
            </w:r>
            <w:r>
              <w:t xml:space="preserve"> (structural)</w:t>
            </w:r>
          </w:p>
        </w:tc>
        <w:tc>
          <w:tcPr>
            <w:tcW w:w="1896" w:type="dxa"/>
          </w:tcPr>
          <w:p w14:paraId="0657B656" w14:textId="77777777" w:rsidR="00C87760" w:rsidRDefault="00000000">
            <w:pPr>
              <w:pStyle w:val="Compact"/>
            </w:pPr>
            <w:r>
              <w:t xml:space="preserve">Yes (by </w:t>
            </w:r>
            <w:proofErr w:type="spellStart"/>
            <w:r>
              <w:t>supersector</w:t>
            </w:r>
            <w:proofErr w:type="spellEnd"/>
            <w:r>
              <w:t>)</w:t>
            </w:r>
          </w:p>
        </w:tc>
        <w:tc>
          <w:tcPr>
            <w:tcW w:w="2007" w:type="dxa"/>
          </w:tcPr>
          <w:p w14:paraId="6DFAA37B" w14:textId="77777777" w:rsidR="00C87760" w:rsidRDefault="00000000">
            <w:pPr>
              <w:pStyle w:val="Compact"/>
            </w:pPr>
            <w:r>
              <w:t>Yes (nested by industry)</w:t>
            </w:r>
          </w:p>
        </w:tc>
      </w:tr>
      <w:tr w:rsidR="00C87760" w14:paraId="0B1A6A90" w14:textId="77777777">
        <w:tc>
          <w:tcPr>
            <w:tcW w:w="2119" w:type="dxa"/>
          </w:tcPr>
          <w:p w14:paraId="211D267E" w14:textId="77777777" w:rsidR="00C87760" w:rsidRDefault="00000000">
            <w:pPr>
              <w:pStyle w:val="Compact"/>
            </w:pPr>
            <w:r>
              <w:rPr>
                <w:b/>
                <w:bCs/>
              </w:rPr>
              <w:t>Seasonal</w:t>
            </w:r>
          </w:p>
        </w:tc>
        <w:tc>
          <w:tcPr>
            <w:tcW w:w="1896" w:type="dxa"/>
          </w:tcPr>
          <w:p w14:paraId="765A748E" w14:textId="77777777" w:rsidR="00C87760" w:rsidRDefault="00000000">
            <w:pPr>
              <w:pStyle w:val="Compact"/>
            </w:pPr>
            <w:r>
              <w:rPr>
                <w:b/>
                <w:bCs/>
              </w:rPr>
              <w:t>Fourier</w:t>
            </w:r>
            <w:r>
              <w:t xml:space="preserve"> (time-varying)</w:t>
            </w:r>
          </w:p>
        </w:tc>
        <w:tc>
          <w:tcPr>
            <w:tcW w:w="1896" w:type="dxa"/>
          </w:tcPr>
          <w:p w14:paraId="0736620D" w14:textId="77777777" w:rsidR="00C87760" w:rsidRDefault="00000000">
            <w:pPr>
              <w:pStyle w:val="Compact"/>
            </w:pPr>
            <w:r>
              <w:t>Hierarchical Fourier</w:t>
            </w:r>
          </w:p>
        </w:tc>
        <w:tc>
          <w:tcPr>
            <w:tcW w:w="2007" w:type="dxa"/>
          </w:tcPr>
          <w:p w14:paraId="4C5C46F1" w14:textId="77777777" w:rsidR="00C87760" w:rsidRDefault="00000000">
            <w:pPr>
              <w:pStyle w:val="Compact"/>
            </w:pPr>
            <w:r>
              <w:t>Hierarchical Fourier (industry-parent)</w:t>
            </w:r>
          </w:p>
        </w:tc>
      </w:tr>
      <w:tr w:rsidR="00C87760" w14:paraId="58C94B20" w14:textId="77777777">
        <w:tc>
          <w:tcPr>
            <w:tcW w:w="2119" w:type="dxa"/>
          </w:tcPr>
          <w:p w14:paraId="0F76D614" w14:textId="77777777" w:rsidR="00C87760" w:rsidRDefault="00000000">
            <w:pPr>
              <w:pStyle w:val="Compact"/>
            </w:pPr>
            <w:r>
              <w:rPr>
                <w:b/>
                <w:bCs/>
              </w:rPr>
              <w:t>Hierarchy</w:t>
            </w:r>
          </w:p>
        </w:tc>
        <w:tc>
          <w:tcPr>
            <w:tcW w:w="1896" w:type="dxa"/>
          </w:tcPr>
          <w:p w14:paraId="5CFF86D8" w14:textId="77777777" w:rsidR="00C87760" w:rsidRDefault="00000000">
            <w:pPr>
              <w:pStyle w:val="Compact"/>
            </w:pPr>
            <w:r>
              <w:t>—</w:t>
            </w:r>
          </w:p>
        </w:tc>
        <w:tc>
          <w:tcPr>
            <w:tcW w:w="1896" w:type="dxa"/>
          </w:tcPr>
          <w:p w14:paraId="51E4F48B" w14:textId="77777777" w:rsidR="00C87760" w:rsidRDefault="00000000">
            <w:pPr>
              <w:pStyle w:val="Compact"/>
            </w:pPr>
            <w:r>
              <w:t>Exchangeable</w:t>
            </w:r>
          </w:p>
        </w:tc>
        <w:tc>
          <w:tcPr>
            <w:tcW w:w="2007" w:type="dxa"/>
          </w:tcPr>
          <w:p w14:paraId="57865DCC" w14:textId="77777777" w:rsidR="00C87760" w:rsidRDefault="00000000">
            <w:pPr>
              <w:pStyle w:val="Compact"/>
            </w:pPr>
            <w:r>
              <w:rPr>
                <w:b/>
                <w:bCs/>
              </w:rPr>
              <w:t>Nested</w:t>
            </w:r>
            <w:r>
              <w:t xml:space="preserve"> (geo + industry)</w:t>
            </w:r>
          </w:p>
        </w:tc>
      </w:tr>
      <w:tr w:rsidR="00C87760" w14:paraId="38EBCA47" w14:textId="77777777">
        <w:tc>
          <w:tcPr>
            <w:tcW w:w="2119" w:type="dxa"/>
          </w:tcPr>
          <w:p w14:paraId="3D53F9AB" w14:textId="77777777" w:rsidR="00C87760" w:rsidRDefault="00000000">
            <w:pPr>
              <w:pStyle w:val="Compact"/>
            </w:pPr>
            <w:proofErr w:type="spellStart"/>
            <w:r>
              <w:rPr>
                <w:b/>
                <w:bCs/>
              </w:rPr>
              <w:t>MinT</w:t>
            </w:r>
            <w:proofErr w:type="spellEnd"/>
          </w:p>
        </w:tc>
        <w:tc>
          <w:tcPr>
            <w:tcW w:w="1896" w:type="dxa"/>
          </w:tcPr>
          <w:p w14:paraId="599DF64D" w14:textId="77777777" w:rsidR="00C87760" w:rsidRDefault="00000000">
            <w:pPr>
              <w:pStyle w:val="Compact"/>
            </w:pPr>
            <w:r>
              <w:t>No</w:t>
            </w:r>
          </w:p>
        </w:tc>
        <w:tc>
          <w:tcPr>
            <w:tcW w:w="1896" w:type="dxa"/>
          </w:tcPr>
          <w:p w14:paraId="1BFED85E" w14:textId="77777777" w:rsidR="00C87760" w:rsidRDefault="00000000">
            <w:pPr>
              <w:pStyle w:val="Compact"/>
            </w:pPr>
            <w:r>
              <w:rPr>
                <w:b/>
                <w:bCs/>
              </w:rPr>
              <w:t>Yes</w:t>
            </w:r>
            <w:r>
              <w:t xml:space="preserve"> (national ↔ </w:t>
            </w:r>
            <w:proofErr w:type="spellStart"/>
            <w:r>
              <w:t>supersectors</w:t>
            </w:r>
            <w:proofErr w:type="spellEnd"/>
            <w:r>
              <w:t>)</w:t>
            </w:r>
          </w:p>
        </w:tc>
        <w:tc>
          <w:tcPr>
            <w:tcW w:w="2007" w:type="dxa"/>
          </w:tcPr>
          <w:p w14:paraId="1ABF534F" w14:textId="77777777" w:rsidR="00C87760" w:rsidRDefault="00000000">
            <w:pPr>
              <w:pStyle w:val="Compact"/>
            </w:pPr>
            <w:r>
              <w:t xml:space="preserve">Yes (national ↔ </w:t>
            </w:r>
            <w:proofErr w:type="spellStart"/>
            <w:r>
              <w:t>supersectors</w:t>
            </w:r>
            <w:proofErr w:type="spellEnd"/>
            <w:r>
              <w:t xml:space="preserve"> ↔ cells)</w:t>
            </w:r>
          </w:p>
        </w:tc>
      </w:tr>
      <w:tr w:rsidR="00C87760" w14:paraId="3D139553" w14:textId="77777777">
        <w:tc>
          <w:tcPr>
            <w:tcW w:w="2119" w:type="dxa"/>
          </w:tcPr>
          <w:p w14:paraId="48BBD1B2" w14:textId="77777777" w:rsidR="00C87760" w:rsidRDefault="00000000">
            <w:pPr>
              <w:pStyle w:val="Compact"/>
            </w:pPr>
            <w:r>
              <w:rPr>
                <w:b/>
                <w:bCs/>
              </w:rPr>
              <w:t>QCEW</w:t>
            </w:r>
          </w:p>
        </w:tc>
        <w:tc>
          <w:tcPr>
            <w:tcW w:w="1896" w:type="dxa"/>
          </w:tcPr>
          <w:p w14:paraId="68687393" w14:textId="77777777" w:rsidR="00C87760" w:rsidRDefault="00000000">
            <w:pPr>
              <w:pStyle w:val="Compact"/>
            </w:pPr>
            <w:r>
              <w:rPr>
                <w:b/>
                <w:bCs/>
              </w:rPr>
              <w:t>Anchored</w:t>
            </w:r>
            <w:r>
              <w:t xml:space="preserve"> (lagged)</w:t>
            </w:r>
          </w:p>
        </w:tc>
        <w:tc>
          <w:tcPr>
            <w:tcW w:w="1896" w:type="dxa"/>
          </w:tcPr>
          <w:p w14:paraId="0A26CD69" w14:textId="77777777" w:rsidR="00C87760" w:rsidRDefault="00000000">
            <w:pPr>
              <w:pStyle w:val="Compact"/>
            </w:pPr>
            <w:r>
              <w:t>Anchored (lagged)</w:t>
            </w:r>
          </w:p>
        </w:tc>
        <w:tc>
          <w:tcPr>
            <w:tcW w:w="2007" w:type="dxa"/>
          </w:tcPr>
          <w:p w14:paraId="0DA2E40E" w14:textId="77777777" w:rsidR="00C87760" w:rsidRDefault="00000000">
            <w:pPr>
              <w:pStyle w:val="Compact"/>
            </w:pPr>
            <w:r>
              <w:rPr>
                <w:b/>
                <w:bCs/>
              </w:rPr>
              <w:t>Forecasted</w:t>
            </w:r>
            <w:r>
              <w:t xml:space="preserve"> (real-time)</w:t>
            </w:r>
          </w:p>
        </w:tc>
      </w:tr>
      <w:tr w:rsidR="00C87760" w14:paraId="1866265B" w14:textId="77777777">
        <w:tc>
          <w:tcPr>
            <w:tcW w:w="2119" w:type="dxa"/>
          </w:tcPr>
          <w:p w14:paraId="33545962" w14:textId="77777777" w:rsidR="00C87760" w:rsidRDefault="00000000">
            <w:pPr>
              <w:pStyle w:val="Compact"/>
            </w:pPr>
            <w:r>
              <w:rPr>
                <w:b/>
                <w:bCs/>
              </w:rPr>
              <w:t>CES Vintages</w:t>
            </w:r>
          </w:p>
        </w:tc>
        <w:tc>
          <w:tcPr>
            <w:tcW w:w="1896" w:type="dxa"/>
          </w:tcPr>
          <w:p w14:paraId="45F5E256" w14:textId="77777777" w:rsidR="00C87760" w:rsidRDefault="00000000">
            <w:pPr>
              <w:pStyle w:val="Compact"/>
            </w:pPr>
            <w:r>
              <w:rPr>
                <w:b/>
                <w:bCs/>
              </w:rPr>
              <w:t>Yes</w:t>
            </w:r>
            <w:r>
              <w:t xml:space="preserve"> (national, 3 prints)</w:t>
            </w:r>
          </w:p>
        </w:tc>
        <w:tc>
          <w:tcPr>
            <w:tcW w:w="1896" w:type="dxa"/>
          </w:tcPr>
          <w:p w14:paraId="04F8E000" w14:textId="77777777" w:rsidR="00C87760" w:rsidRDefault="00000000">
            <w:pPr>
              <w:pStyle w:val="Compact"/>
            </w:pPr>
            <w:r>
              <w:t xml:space="preserve">Yes (+ </w:t>
            </w:r>
            <w:proofErr w:type="spellStart"/>
            <w:r>
              <w:t>supersector</w:t>
            </w:r>
            <w:proofErr w:type="spellEnd"/>
            <w:r>
              <w:t>, 3 prints)</w:t>
            </w:r>
          </w:p>
        </w:tc>
        <w:tc>
          <w:tcPr>
            <w:tcW w:w="2007" w:type="dxa"/>
          </w:tcPr>
          <w:p w14:paraId="5AB622E9" w14:textId="77777777" w:rsidR="00C87760" w:rsidRDefault="00000000">
            <w:pPr>
              <w:pStyle w:val="Compact"/>
            </w:pPr>
            <w:r>
              <w:t>Yes (+ state, 2 prints)</w:t>
            </w:r>
          </w:p>
        </w:tc>
      </w:tr>
      <w:tr w:rsidR="00C87760" w14:paraId="5882AEFA" w14:textId="77777777">
        <w:tc>
          <w:tcPr>
            <w:tcW w:w="2119" w:type="dxa"/>
          </w:tcPr>
          <w:p w14:paraId="21DA1F24" w14:textId="77777777" w:rsidR="00C87760" w:rsidRDefault="00000000">
            <w:pPr>
              <w:pStyle w:val="Compact"/>
            </w:pPr>
            <w:r>
              <w:rPr>
                <w:b/>
                <w:bCs/>
              </w:rPr>
              <w:t>Time-Varying Bias</w:t>
            </w:r>
          </w:p>
        </w:tc>
        <w:tc>
          <w:tcPr>
            <w:tcW w:w="1896" w:type="dxa"/>
          </w:tcPr>
          <w:p w14:paraId="47E976C1" w14:textId="77777777" w:rsidR="00C87760" w:rsidRDefault="00000000">
            <w:pPr>
              <w:pStyle w:val="Compact"/>
            </w:pPr>
            <w:r>
              <w:t>No</w:t>
            </w:r>
          </w:p>
        </w:tc>
        <w:tc>
          <w:tcPr>
            <w:tcW w:w="1896" w:type="dxa"/>
          </w:tcPr>
          <w:p w14:paraId="627D9950" w14:textId="77777777" w:rsidR="00C87760" w:rsidRDefault="00000000">
            <w:pPr>
              <w:pStyle w:val="Compact"/>
            </w:pPr>
            <w:r>
              <w:t>No</w:t>
            </w:r>
          </w:p>
        </w:tc>
        <w:tc>
          <w:tcPr>
            <w:tcW w:w="2007" w:type="dxa"/>
          </w:tcPr>
          <w:p w14:paraId="076F6BAE" w14:textId="77777777" w:rsidR="00C87760" w:rsidRDefault="00000000">
            <w:pPr>
              <w:pStyle w:val="Compact"/>
            </w:pPr>
            <w:r>
              <w:rPr>
                <w:b/>
                <w:bCs/>
              </w:rPr>
              <w:t>Yes</w:t>
            </w:r>
          </w:p>
        </w:tc>
      </w:tr>
      <w:tr w:rsidR="00C87760" w14:paraId="1F250158" w14:textId="77777777">
        <w:tc>
          <w:tcPr>
            <w:tcW w:w="2119" w:type="dxa"/>
          </w:tcPr>
          <w:p w14:paraId="287F9293" w14:textId="77777777" w:rsidR="00C87760" w:rsidRDefault="00000000">
            <w:pPr>
              <w:pStyle w:val="Compact"/>
            </w:pPr>
            <w:r>
              <w:rPr>
                <w:b/>
                <w:bCs/>
              </w:rPr>
              <w:t>Info Regimes</w:t>
            </w:r>
          </w:p>
        </w:tc>
        <w:tc>
          <w:tcPr>
            <w:tcW w:w="1896" w:type="dxa"/>
          </w:tcPr>
          <w:p w14:paraId="4126DE81" w14:textId="77777777" w:rsidR="00C87760" w:rsidRDefault="00000000">
            <w:pPr>
              <w:pStyle w:val="Compact"/>
            </w:pPr>
            <w:r>
              <w:t>N/A</w:t>
            </w:r>
          </w:p>
        </w:tc>
        <w:tc>
          <w:tcPr>
            <w:tcW w:w="1896" w:type="dxa"/>
          </w:tcPr>
          <w:p w14:paraId="0B32D12F" w14:textId="77777777" w:rsidR="00C87760" w:rsidRDefault="00000000">
            <w:pPr>
              <w:pStyle w:val="Compact"/>
            </w:pPr>
            <w:r>
              <w:t>B: industry anchored</w:t>
            </w:r>
          </w:p>
        </w:tc>
        <w:tc>
          <w:tcPr>
            <w:tcW w:w="2007" w:type="dxa"/>
          </w:tcPr>
          <w:p w14:paraId="378FB524" w14:textId="77777777" w:rsidR="00C87760" w:rsidRDefault="00000000">
            <w:pPr>
              <w:pStyle w:val="Compact"/>
            </w:pPr>
            <w:r>
              <w:t>B: industry anchored; C: geography anchored</w:t>
            </w:r>
          </w:p>
        </w:tc>
      </w:tr>
      <w:tr w:rsidR="00C87760" w14:paraId="5ADE6CC9" w14:textId="77777777">
        <w:tc>
          <w:tcPr>
            <w:tcW w:w="2119" w:type="dxa"/>
          </w:tcPr>
          <w:p w14:paraId="69B14995" w14:textId="77777777" w:rsidR="00C87760" w:rsidRDefault="00000000">
            <w:pPr>
              <w:pStyle w:val="Compact"/>
            </w:pPr>
            <w:r>
              <w:rPr>
                <w:b/>
                <w:bCs/>
              </w:rPr>
              <w:t>Regime B narrative</w:t>
            </w:r>
          </w:p>
        </w:tc>
        <w:tc>
          <w:tcPr>
            <w:tcW w:w="1896" w:type="dxa"/>
          </w:tcPr>
          <w:p w14:paraId="5160D74F" w14:textId="77777777" w:rsidR="00C87760" w:rsidRDefault="00000000">
            <w:pPr>
              <w:pStyle w:val="Compact"/>
            </w:pPr>
            <w:r>
              <w:t>National only</w:t>
            </w:r>
          </w:p>
        </w:tc>
        <w:tc>
          <w:tcPr>
            <w:tcW w:w="1896" w:type="dxa"/>
          </w:tcPr>
          <w:p w14:paraId="0B30C70C" w14:textId="77777777" w:rsidR="00C87760" w:rsidRDefault="00000000">
            <w:pPr>
              <w:pStyle w:val="Compact"/>
            </w:pPr>
            <w:r>
              <w:rPr>
                <w:b/>
                <w:bCs/>
              </w:rPr>
              <w:t>“Which industries?”</w:t>
            </w:r>
          </w:p>
        </w:tc>
        <w:tc>
          <w:tcPr>
            <w:tcW w:w="2007" w:type="dxa"/>
          </w:tcPr>
          <w:p w14:paraId="6950C690" w14:textId="77777777" w:rsidR="00C87760" w:rsidRDefault="00000000">
            <w:pPr>
              <w:pStyle w:val="Compact"/>
            </w:pPr>
            <w:r>
              <w:t>+ preliminary “Where?” (provider-based)</w:t>
            </w:r>
          </w:p>
        </w:tc>
      </w:tr>
    </w:tbl>
    <w:p w14:paraId="22003922" w14:textId="77777777" w:rsidR="00C87760" w:rsidRDefault="00C87760">
      <w:pPr>
        <w:pStyle w:val="Heading1"/>
      </w:pPr>
      <w:bookmarkStart w:id="88" w:name="section"/>
      <w:bookmarkEnd w:id="87"/>
    </w:p>
    <w:p w14:paraId="1772CEA8" w14:textId="77777777" w:rsidR="00C86A6D" w:rsidRDefault="00C86A6D">
      <w:pPr>
        <w:rPr>
          <w:rFonts w:asciiTheme="majorHAnsi" w:eastAsiaTheme="majorEastAsia" w:hAnsiTheme="majorHAnsi" w:cstheme="majorBidi"/>
          <w:color w:val="0F4761" w:themeColor="accent1" w:themeShade="BF"/>
          <w:sz w:val="40"/>
          <w:szCs w:val="40"/>
        </w:rPr>
      </w:pPr>
      <w:bookmarkStart w:id="89" w:name="X6ced4835efb86810ba9b880e31a6fdce3c58a7b"/>
      <w:bookmarkEnd w:id="88"/>
      <w:r>
        <w:br w:type="page"/>
      </w:r>
    </w:p>
    <w:p w14:paraId="7D9C8638" w14:textId="0DA1E8F6" w:rsidR="00C87760" w:rsidRDefault="00000000">
      <w:pPr>
        <w:pStyle w:val="Heading1"/>
      </w:pPr>
      <w:r>
        <w:lastRenderedPageBreak/>
        <w:t>Appendix B: Multi-Provider Design Rationale</w:t>
      </w:r>
    </w:p>
    <w:p w14:paraId="78D60D5F" w14:textId="77777777" w:rsidR="00C87760" w:rsidRDefault="00000000">
      <w:pPr>
        <w:pStyle w:val="Heading2"/>
      </w:pPr>
      <w:bookmarkStart w:id="90" w:name="why-multi-provider-from-the-start"/>
      <w:r>
        <w:t>Why Multi-Provider from the Start?</w:t>
      </w:r>
    </w:p>
    <w:p w14:paraId="46CBFF74" w14:textId="77777777" w:rsidR="00C87760" w:rsidRDefault="00000000">
      <w:pPr>
        <w:numPr>
          <w:ilvl w:val="0"/>
          <w:numId w:val="18"/>
        </w:numPr>
      </w:pPr>
      <w:r>
        <w:rPr>
          <w:b/>
          <w:bCs/>
        </w:rPr>
        <w:t>No retrofitting:</w:t>
      </w:r>
      <w:r>
        <w:t xml:space="preserve"> Adding providers later requires restructuring; building it in from Release 1 is cleaner.</w:t>
      </w:r>
    </w:p>
    <w:p w14:paraId="1B13EE6B" w14:textId="77777777" w:rsidR="00C87760" w:rsidRDefault="00000000">
      <w:pPr>
        <w:numPr>
          <w:ilvl w:val="0"/>
          <w:numId w:val="18"/>
        </w:numPr>
      </w:pPr>
      <w:r>
        <w:rPr>
          <w:b/>
          <w:bCs/>
        </w:rPr>
        <w:t>Graceful degradation:</w:t>
      </w:r>
      <w:r>
        <w:t xml:space="preserve"> With one provider, independent priors collapse to weakly informative; the framework works but doesn’t overcomplicate.</w:t>
      </w:r>
    </w:p>
    <w:p w14:paraId="66AE3A36" w14:textId="77777777" w:rsidR="00C87760" w:rsidRDefault="00000000">
      <w:pPr>
        <w:numPr>
          <w:ilvl w:val="0"/>
          <w:numId w:val="18"/>
        </w:numPr>
      </w:pPr>
      <w:r>
        <w:rPr>
          <w:b/>
          <w:bCs/>
        </w:rPr>
        <w:t>Immediate benefits:</w:t>
      </w:r>
      <w:r>
        <w:t xml:space="preserve"> Even with one provider, the framework reveals provider-specific signal quality metrics and precision budget.</w:t>
      </w:r>
    </w:p>
    <w:p w14:paraId="44FC246D" w14:textId="77777777" w:rsidR="00C87760" w:rsidRDefault="00000000">
      <w:pPr>
        <w:numPr>
          <w:ilvl w:val="0"/>
          <w:numId w:val="18"/>
        </w:numPr>
      </w:pPr>
      <w:r>
        <w:rPr>
          <w:b/>
          <w:bCs/>
        </w:rPr>
        <w:t>Provider comparison:</w:t>
      </w:r>
      <w:r>
        <w:t xml:space="preserve"> When multiple providers exist, the model automatically learns relative strengths by cell/industry.</w:t>
      </w:r>
    </w:p>
    <w:p w14:paraId="180E3846" w14:textId="77777777" w:rsidR="00C87760" w:rsidRDefault="00000000">
      <w:pPr>
        <w:pStyle w:val="Heading2"/>
      </w:pPr>
      <w:bookmarkStart w:id="91" w:name="provider-cell-interaction-release-3"/>
      <w:bookmarkEnd w:id="90"/>
      <w:r>
        <w:t>Provider × Cell Interaction (Release 3)</w:t>
      </w:r>
    </w:p>
    <w:p w14:paraId="7491A4A0" w14:textId="77777777" w:rsidR="00C87760" w:rsidRDefault="00000000">
      <w:pPr>
        <w:pStyle w:val="FirstParagraph"/>
      </w:pPr>
      <w:r>
        <w:t xml:space="preserve">The decomposition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sub>
          <m:sup>
            <m:r>
              <w:rPr>
                <w:rFonts w:ascii="Cambria Math" w:hAnsi="Cambria Math"/>
              </w:rPr>
              <m:t>prov</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r</m:t>
            </m:r>
            <m:d>
              <m:dPr>
                <m:ctrlPr>
                  <w:rPr>
                    <w:rFonts w:ascii="Cambria Math" w:hAnsi="Cambria Math"/>
                  </w:rPr>
                </m:ctrlPr>
              </m:dPr>
              <m:e>
                <m:r>
                  <w:rPr>
                    <w:rFonts w:ascii="Cambria Math" w:hAnsi="Cambria Math"/>
                  </w:rPr>
                  <m:t>j</m:t>
                </m:r>
              </m:e>
            </m:d>
          </m:sub>
          <m:sup>
            <m:r>
              <w:rPr>
                <w:rFonts w:ascii="Cambria Math" w:hAnsi="Cambria Math"/>
              </w:rPr>
              <m:t>region</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d</m:t>
            </m:r>
            <m:d>
              <m:dPr>
                <m:ctrlPr>
                  <w:rPr>
                    <w:rFonts w:ascii="Cambria Math" w:hAnsi="Cambria Math"/>
                  </w:rPr>
                </m:ctrlPr>
              </m:dPr>
              <m:e>
                <m:r>
                  <w:rPr>
                    <w:rFonts w:ascii="Cambria Math" w:hAnsi="Cambria Math"/>
                  </w:rPr>
                  <m:t>j</m:t>
                </m:r>
              </m:e>
            </m:d>
          </m:sub>
          <m:sup>
            <m:r>
              <w:rPr>
                <w:rFonts w:ascii="Cambria Math" w:hAnsi="Cambria Math"/>
              </w:rPr>
              <m:t>division</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st</m:t>
            </m:r>
            <m:d>
              <m:dPr>
                <m:ctrlPr>
                  <w:rPr>
                    <w:rFonts w:ascii="Cambria Math" w:hAnsi="Cambria Math"/>
                  </w:rPr>
                </m:ctrlPr>
              </m:dPr>
              <m:e>
                <m:r>
                  <w:rPr>
                    <w:rFonts w:ascii="Cambria Math" w:hAnsi="Cambria Math"/>
                  </w:rPr>
                  <m:t>j</m:t>
                </m:r>
              </m:e>
            </m:d>
          </m:sub>
          <m:sup>
            <m:r>
              <w:rPr>
                <w:rFonts w:ascii="Cambria Math" w:hAnsi="Cambria Math"/>
              </w:rPr>
              <m:t>state</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s</m:t>
            </m:r>
            <m:d>
              <m:dPr>
                <m:ctrlPr>
                  <w:rPr>
                    <w:rFonts w:ascii="Cambria Math" w:hAnsi="Cambria Math"/>
                  </w:rPr>
                </m:ctrlPr>
              </m:dPr>
              <m:e>
                <m:r>
                  <w:rPr>
                    <w:rFonts w:ascii="Cambria Math" w:hAnsi="Cambria Math"/>
                  </w:rPr>
                  <m:t>j</m:t>
                </m:r>
              </m:e>
            </m:d>
          </m:sub>
          <m:sup>
            <m:r>
              <w:rPr>
                <w:rFonts w:ascii="Cambria Math" w:hAnsi="Cambria Math"/>
              </w:rPr>
              <m:t>supersector</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sub>
          <m:sup>
            <m:r>
              <w:rPr>
                <w:rFonts w:ascii="Cambria Math" w:hAnsi="Cambria Math"/>
              </w:rPr>
              <m:t>prov</m:t>
            </m:r>
            <m:r>
              <m:rPr>
                <m:sty m:val="p"/>
              </m:rPr>
              <w:rPr>
                <w:rFonts w:ascii="Cambria Math" w:hAnsi="Cambria Math"/>
              </w:rPr>
              <m:t>×</m:t>
            </m:r>
            <m:r>
              <w:rPr>
                <w:rFonts w:ascii="Cambria Math" w:hAnsi="Cambria Math"/>
              </w:rPr>
              <m:t>ind</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up>
            <m:r>
              <w:rPr>
                <w:rFonts w:ascii="Cambria Math" w:hAnsi="Cambria Math"/>
              </w:rPr>
              <m:t>resid</m:t>
            </m:r>
          </m:sup>
        </m:sSubSup>
      </m:oMath>
      <w:r>
        <w:t xml:space="preserve"> captures:</w:t>
      </w:r>
    </w:p>
    <w:p w14:paraId="12658E1B" w14:textId="77777777" w:rsidR="00C87760" w:rsidRDefault="00000000">
      <w:pPr>
        <w:pStyle w:val="Compact"/>
        <w:numPr>
          <w:ilvl w:val="0"/>
          <w:numId w:val="19"/>
        </w:numPr>
      </w:pPr>
      <w:r>
        <w:rPr>
          <w:b/>
          <w:bCs/>
        </w:rPr>
        <w:t>Provider main effect:</w:t>
      </w:r>
      <w:r>
        <w:t xml:space="preserve"> Some providers are systematically biased</w:t>
      </w:r>
    </w:p>
    <w:p w14:paraId="5D095E93" w14:textId="77777777" w:rsidR="00C87760" w:rsidRDefault="00000000">
      <w:pPr>
        <w:pStyle w:val="Compact"/>
        <w:numPr>
          <w:ilvl w:val="0"/>
          <w:numId w:val="19"/>
        </w:numPr>
      </w:pPr>
      <w:r>
        <w:rPr>
          <w:b/>
          <w:bCs/>
        </w:rPr>
        <w:t>Cell main effect:</w:t>
      </w:r>
      <w:r>
        <w:t xml:space="preserve"> Some cells are harder to estimate for all providers</w:t>
      </w:r>
    </w:p>
    <w:p w14:paraId="4B7E1328" w14:textId="77777777" w:rsidR="00C87760" w:rsidRDefault="00000000">
      <w:pPr>
        <w:pStyle w:val="Compact"/>
        <w:numPr>
          <w:ilvl w:val="0"/>
          <w:numId w:val="19"/>
        </w:numPr>
      </w:pPr>
      <w:r>
        <w:rPr>
          <w:b/>
          <w:bCs/>
        </w:rPr>
        <w:t>Provider × industry:</w:t>
      </w:r>
      <w:r>
        <w:t xml:space="preserve"> Some providers specialize in certain industries</w:t>
      </w:r>
    </w:p>
    <w:p w14:paraId="3EB1B2A2" w14:textId="77777777" w:rsidR="00C87760" w:rsidRDefault="00000000">
      <w:pPr>
        <w:pStyle w:val="Compact"/>
        <w:numPr>
          <w:ilvl w:val="0"/>
          <w:numId w:val="19"/>
        </w:numPr>
      </w:pPr>
      <w:r>
        <w:rPr>
          <w:b/>
          <w:bCs/>
        </w:rPr>
        <w:t>Residual:</w:t>
      </w:r>
      <w:r>
        <w:t xml:space="preserve"> Unexplained provider-cell variation</w:t>
      </w:r>
    </w:p>
    <w:p w14:paraId="421EC72B" w14:textId="77777777" w:rsidR="00C87760" w:rsidRDefault="00000000">
      <w:pPr>
        <w:pStyle w:val="Heading2"/>
      </w:pPr>
      <w:bookmarkStart w:id="92" w:name="combining-multiple-provider-signals"/>
      <w:bookmarkEnd w:id="91"/>
      <w:r>
        <w:t>Combining Multiple Provider Signals</w:t>
      </w:r>
    </w:p>
    <w:p w14:paraId="31CBA00D" w14:textId="77777777" w:rsidR="00C87760" w:rsidRDefault="00000000">
      <w:pPr>
        <w:pStyle w:val="FirstParagraph"/>
      </w:pPr>
      <w:r>
        <w:t xml:space="preserve">For a given cell </w:t>
      </w:r>
      <m:oMath>
        <m:r>
          <w:rPr>
            <w:rFonts w:ascii="Cambria Math" w:hAnsi="Cambria Math"/>
          </w:rPr>
          <m:t>j</m:t>
        </m:r>
      </m:oMath>
      <w:r>
        <w:t xml:space="preserve">, the model combines signals from all providers observing that cell via precision weighting. Providers with lower noise (higher </w:t>
      </w:r>
      <m:oMath>
        <m:sSub>
          <m:sSubPr>
            <m:ctrlPr>
              <w:rPr>
                <w:rFonts w:ascii="Cambria Math" w:hAnsi="Cambria Math"/>
              </w:rPr>
            </m:ctrlPr>
          </m:sSubPr>
          <m:e>
            <m:r>
              <w:rPr>
                <w:rFonts w:ascii="Cambria Math" w:hAnsi="Cambria Math"/>
              </w:rPr>
              <m:t>λ</m:t>
            </m:r>
          </m:e>
          <m:sub>
            <m:r>
              <w:rPr>
                <w:rFonts w:ascii="Cambria Math" w:hAnsi="Cambria Math"/>
              </w:rPr>
              <m:t>p</m:t>
            </m:r>
          </m:sub>
        </m:sSub>
      </m:oMath>
      <w:r>
        <w:t xml:space="preserve">, lower </w:t>
      </w:r>
      <m:oMath>
        <m:sSub>
          <m:sSubPr>
            <m:ctrlPr>
              <w:rPr>
                <w:rFonts w:ascii="Cambria Math" w:hAnsi="Cambria Math"/>
              </w:rPr>
            </m:ctrlPr>
          </m:sSubPr>
          <m:e>
            <m:r>
              <w:rPr>
                <w:rFonts w:ascii="Cambria Math" w:hAnsi="Cambria Math"/>
              </w:rPr>
              <m:t>σ</m:t>
            </m:r>
          </m:e>
          <m:sub>
            <m:r>
              <w:rPr>
                <w:rFonts w:ascii="Cambria Math" w:hAnsi="Cambria Math"/>
              </w:rPr>
              <m:t>p</m:t>
            </m:r>
            <m:r>
              <m:rPr>
                <m:sty m:val="p"/>
              </m:rPr>
              <w:rPr>
                <w:rFonts w:ascii="Cambria Math" w:hAnsi="Cambria Math"/>
              </w:rPr>
              <m:t>,</m:t>
            </m:r>
            <m:r>
              <w:rPr>
                <w:rFonts w:ascii="Cambria Math" w:hAnsi="Cambria Math"/>
              </w:rPr>
              <m:t>j</m:t>
            </m:r>
          </m:sub>
        </m:sSub>
      </m:oMath>
      <w:r>
        <w:t xml:space="preserve">) receive more weight. For </w:t>
      </w:r>
      <w:proofErr w:type="gramStart"/>
      <w:r>
        <w:t>AR(</w:t>
      </w:r>
      <w:proofErr w:type="gramEnd"/>
      <w:r>
        <w:t xml:space="preserve">1) providers, effective precision is reduced by </w:t>
      </w:r>
      <m:oMath>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p</m:t>
                </m:r>
              </m:sub>
              <m:sup>
                <m:r>
                  <w:rPr>
                    <w:rFonts w:ascii="Cambria Math" w:hAnsi="Cambria Math"/>
                  </w:rPr>
                  <m:t>2</m:t>
                </m:r>
              </m:sup>
            </m:sSubSup>
          </m:e>
        </m:d>
      </m:oMath>
      <w:r>
        <w:t>.</w:t>
      </w:r>
    </w:p>
    <w:p w14:paraId="74D80556" w14:textId="77777777" w:rsidR="00C86A6D" w:rsidRDefault="00C86A6D">
      <w:pPr>
        <w:rPr>
          <w:rFonts w:asciiTheme="majorHAnsi" w:eastAsiaTheme="majorEastAsia" w:hAnsiTheme="majorHAnsi" w:cstheme="majorBidi"/>
          <w:color w:val="0F4761" w:themeColor="accent1" w:themeShade="BF"/>
          <w:sz w:val="40"/>
          <w:szCs w:val="40"/>
        </w:rPr>
      </w:pPr>
      <w:bookmarkStart w:id="93" w:name="appendix-c-implementation-notes-1"/>
      <w:bookmarkEnd w:id="89"/>
      <w:bookmarkEnd w:id="92"/>
      <w:r>
        <w:br w:type="page"/>
      </w:r>
    </w:p>
    <w:p w14:paraId="6BC7EDFC" w14:textId="2A6EB9BB" w:rsidR="00C87760" w:rsidRDefault="00000000">
      <w:pPr>
        <w:pStyle w:val="Heading1"/>
      </w:pPr>
      <w:r>
        <w:lastRenderedPageBreak/>
        <w:t>Appendix C: Implementation Notes</w:t>
      </w:r>
    </w:p>
    <w:p w14:paraId="7001BF86" w14:textId="77777777" w:rsidR="00C87760" w:rsidRDefault="00000000">
      <w:pPr>
        <w:pStyle w:val="Heading2"/>
      </w:pPr>
      <w:bookmarkStart w:id="94" w:name="non-centered-parameterization"/>
      <w:r>
        <w:t>Non-Centered Parameterization</w:t>
      </w:r>
    </w:p>
    <w:p w14:paraId="0E1D75F0" w14:textId="77777777" w:rsidR="00C87760" w:rsidRDefault="00000000">
      <w:pPr>
        <w:pStyle w:val="FirstParagraph"/>
      </w:pPr>
      <w:r>
        <w:t>Essential for sparse cells and providers with limited coverage:</w:t>
      </w:r>
    </w:p>
    <w:p w14:paraId="1B422E37" w14:textId="77777777" w:rsidR="00C87760" w:rsidRDefault="00000000">
      <w:pPr>
        <w:pStyle w:val="SourceCode"/>
      </w:pPr>
      <w:r>
        <w:rPr>
          <w:rStyle w:val="VerbatimChar"/>
        </w:rPr>
        <w:t>α̃_{</w:t>
      </w:r>
      <w:proofErr w:type="spellStart"/>
      <w:proofErr w:type="gramStart"/>
      <w:r>
        <w:rPr>
          <w:rStyle w:val="VerbatimChar"/>
        </w:rPr>
        <w:t>p,j</w:t>
      </w:r>
      <w:proofErr w:type="spellEnd"/>
      <w:proofErr w:type="gramEnd"/>
      <w:r>
        <w:rPr>
          <w:rStyle w:val="VerbatimChar"/>
        </w:rPr>
        <w:t xml:space="preserve">} ~ </w:t>
      </w:r>
      <w:proofErr w:type="gramStart"/>
      <w:r>
        <w:rPr>
          <w:rStyle w:val="VerbatimChar"/>
        </w:rPr>
        <w:t>N(</w:t>
      </w:r>
      <w:proofErr w:type="gramEnd"/>
      <w:r>
        <w:rPr>
          <w:rStyle w:val="VerbatimChar"/>
        </w:rPr>
        <w:t>0, 1)</w:t>
      </w:r>
      <w:r>
        <w:br/>
      </w:r>
      <w:r>
        <w:rPr>
          <w:rStyle w:val="VerbatimChar"/>
        </w:rPr>
        <w:t>α_{</w:t>
      </w:r>
      <w:proofErr w:type="spellStart"/>
      <w:proofErr w:type="gramStart"/>
      <w:r>
        <w:rPr>
          <w:rStyle w:val="VerbatimChar"/>
        </w:rPr>
        <w:t>p,j</w:t>
      </w:r>
      <w:proofErr w:type="spellEnd"/>
      <w:proofErr w:type="gramEnd"/>
      <w:r>
        <w:rPr>
          <w:rStyle w:val="VerbatimChar"/>
        </w:rPr>
        <w:t>} = μ_α + τ_α × α̃_{</w:t>
      </w:r>
      <w:proofErr w:type="spellStart"/>
      <w:proofErr w:type="gramStart"/>
      <w:r>
        <w:rPr>
          <w:rStyle w:val="VerbatimChar"/>
        </w:rPr>
        <w:t>p,j</w:t>
      </w:r>
      <w:proofErr w:type="spellEnd"/>
      <w:proofErr w:type="gramEnd"/>
      <w:r>
        <w:rPr>
          <w:rStyle w:val="VerbatimChar"/>
        </w:rPr>
        <w:t>}</w:t>
      </w:r>
    </w:p>
    <w:p w14:paraId="54F3A608" w14:textId="77777777" w:rsidR="00C87760" w:rsidRDefault="00000000">
      <w:pPr>
        <w:pStyle w:val="FirstParagraph"/>
      </w:pPr>
      <w:r>
        <w:t>This avoids the Neal’s funnel pathology where the sampler struggles to simultaneously estimate the group mean, group variance, and individual effects.</w:t>
      </w:r>
    </w:p>
    <w:p w14:paraId="223567A3" w14:textId="77777777" w:rsidR="00C87760" w:rsidRDefault="00000000">
      <w:pPr>
        <w:pStyle w:val="Heading2"/>
      </w:pPr>
      <w:bookmarkStart w:id="95" w:name="computational-scaling"/>
      <w:bookmarkEnd w:id="94"/>
      <w:r>
        <w:t>Computational Scaling</w:t>
      </w:r>
    </w:p>
    <w:tbl>
      <w:tblPr>
        <w:tblStyle w:val="Table"/>
        <w:tblW w:w="5000" w:type="pct"/>
        <w:tblLayout w:type="fixed"/>
        <w:tblLook w:val="0020" w:firstRow="1" w:lastRow="0" w:firstColumn="0" w:lastColumn="0" w:noHBand="0" w:noVBand="0"/>
      </w:tblPr>
      <w:tblGrid>
        <w:gridCol w:w="1153"/>
        <w:gridCol w:w="6027"/>
        <w:gridCol w:w="2180"/>
      </w:tblGrid>
      <w:tr w:rsidR="00C87760" w14:paraId="18D9D0F9" w14:textId="77777777" w:rsidTr="00C87760">
        <w:trPr>
          <w:cnfStyle w:val="100000000000" w:firstRow="1" w:lastRow="0" w:firstColumn="0" w:lastColumn="0" w:oddVBand="0" w:evenVBand="0" w:oddHBand="0" w:evenHBand="0" w:firstRowFirstColumn="0" w:firstRowLastColumn="0" w:lastRowFirstColumn="0" w:lastRowLastColumn="0"/>
          <w:tblHeader/>
        </w:trPr>
        <w:tc>
          <w:tcPr>
            <w:tcW w:w="976" w:type="dxa"/>
          </w:tcPr>
          <w:p w14:paraId="75D58CD0" w14:textId="77777777" w:rsidR="00C87760" w:rsidRDefault="00000000">
            <w:pPr>
              <w:pStyle w:val="Compact"/>
            </w:pPr>
            <w:r>
              <w:t>Release</w:t>
            </w:r>
          </w:p>
        </w:tc>
        <w:tc>
          <w:tcPr>
            <w:tcW w:w="5099" w:type="dxa"/>
          </w:tcPr>
          <w:p w14:paraId="1C87F509" w14:textId="77777777" w:rsidR="00C87760" w:rsidRDefault="00000000">
            <w:pPr>
              <w:pStyle w:val="Compact"/>
            </w:pPr>
            <w:r>
              <w:t>Approx. Parameters</w:t>
            </w:r>
          </w:p>
        </w:tc>
        <w:tc>
          <w:tcPr>
            <w:tcW w:w="1844" w:type="dxa"/>
          </w:tcPr>
          <w:p w14:paraId="26D01C49" w14:textId="77777777" w:rsidR="00C87760" w:rsidRDefault="00000000">
            <w:pPr>
              <w:pStyle w:val="Compact"/>
            </w:pPr>
            <w:r>
              <w:t>Typical Runtime</w:t>
            </w:r>
          </w:p>
        </w:tc>
      </w:tr>
      <w:tr w:rsidR="00C87760" w14:paraId="4A61A6C1" w14:textId="77777777">
        <w:tc>
          <w:tcPr>
            <w:tcW w:w="976" w:type="dxa"/>
          </w:tcPr>
          <w:p w14:paraId="773299A0" w14:textId="77777777" w:rsidR="00C87760" w:rsidRDefault="00000000">
            <w:pPr>
              <w:pStyle w:val="Compact"/>
            </w:pPr>
            <w:r>
              <w:t>1</w:t>
            </w:r>
          </w:p>
        </w:tc>
        <w:tc>
          <w:tcPr>
            <w:tcW w:w="5099" w:type="dxa"/>
          </w:tcPr>
          <w:p w14:paraId="6B3C7FAA" w14:textId="77777777" w:rsidR="00C87760" w:rsidRDefault="00000000">
            <w:pPr>
              <w:pStyle w:val="Compact"/>
            </w:pPr>
            <w:r>
              <w:t>~15 + 5×P</w:t>
            </w:r>
          </w:p>
        </w:tc>
        <w:tc>
          <w:tcPr>
            <w:tcW w:w="1844" w:type="dxa"/>
          </w:tcPr>
          <w:p w14:paraId="0AFA9638" w14:textId="77777777" w:rsidR="00C87760" w:rsidRDefault="00000000">
            <w:pPr>
              <w:pStyle w:val="Compact"/>
            </w:pPr>
            <w:r>
              <w:t>Minutes</w:t>
            </w:r>
          </w:p>
        </w:tc>
      </w:tr>
      <w:tr w:rsidR="00C87760" w14:paraId="4A853E89" w14:textId="77777777">
        <w:tc>
          <w:tcPr>
            <w:tcW w:w="976" w:type="dxa"/>
          </w:tcPr>
          <w:p w14:paraId="1F470DBC" w14:textId="77777777" w:rsidR="00C87760" w:rsidRDefault="00000000">
            <w:pPr>
              <w:pStyle w:val="Compact"/>
            </w:pPr>
            <w:r>
              <w:t>2</w:t>
            </w:r>
          </w:p>
        </w:tc>
        <w:tc>
          <w:tcPr>
            <w:tcW w:w="5099" w:type="dxa"/>
          </w:tcPr>
          <w:p w14:paraId="03E6B40D" w14:textId="77777777" w:rsidR="00C87760" w:rsidRDefault="00000000">
            <w:pPr>
              <w:pStyle w:val="Compact"/>
            </w:pPr>
            <w:r>
              <w:t>~50 + 10×P + 8×</w:t>
            </w:r>
            <m:oMath>
              <m:sSub>
                <m:sSubPr>
                  <m:ctrlPr>
                    <w:rPr>
                      <w:rFonts w:ascii="Cambria Math" w:hAnsi="Cambria Math"/>
                    </w:rPr>
                  </m:ctrlPr>
                </m:sSubPr>
                <m:e>
                  <m:r>
                    <w:rPr>
                      <w:rFonts w:ascii="Cambria Math" w:hAnsi="Cambria Math"/>
                    </w:rPr>
                    <m:t>J</m:t>
                  </m:r>
                </m:e>
                <m:sub>
                  <m:r>
                    <w:rPr>
                      <w:rFonts w:ascii="Cambria Math" w:hAnsi="Cambria Math"/>
                    </w:rPr>
                    <m:t>s</m:t>
                  </m:r>
                </m:sub>
              </m:sSub>
            </m:oMath>
          </w:p>
        </w:tc>
        <w:tc>
          <w:tcPr>
            <w:tcW w:w="1844" w:type="dxa"/>
          </w:tcPr>
          <w:p w14:paraId="44960687" w14:textId="77777777" w:rsidR="00C87760" w:rsidRDefault="00000000">
            <w:pPr>
              <w:pStyle w:val="Compact"/>
            </w:pPr>
            <w:r>
              <w:t>10–30 min</w:t>
            </w:r>
          </w:p>
        </w:tc>
      </w:tr>
      <w:tr w:rsidR="00C87760" w14:paraId="11DAEBAD" w14:textId="77777777">
        <w:tc>
          <w:tcPr>
            <w:tcW w:w="976" w:type="dxa"/>
          </w:tcPr>
          <w:p w14:paraId="74BCF145" w14:textId="77777777" w:rsidR="00C87760" w:rsidRDefault="00000000">
            <w:pPr>
              <w:pStyle w:val="Compact"/>
            </w:pPr>
            <w:r>
              <w:t>3</w:t>
            </w:r>
          </w:p>
        </w:tc>
        <w:tc>
          <w:tcPr>
            <w:tcW w:w="5099" w:type="dxa"/>
          </w:tcPr>
          <w:p w14:paraId="0F80ECAA" w14:textId="77777777" w:rsidR="00C87760" w:rsidRDefault="00000000">
            <w:pPr>
              <w:pStyle w:val="Compact"/>
            </w:pPr>
            <w:r>
              <w:t>~100 + 10×P + hierarchy + P×J + T×P×J (bias)</w:t>
            </w:r>
          </w:p>
        </w:tc>
        <w:tc>
          <w:tcPr>
            <w:tcW w:w="1844" w:type="dxa"/>
          </w:tcPr>
          <w:p w14:paraId="6003EE54" w14:textId="77777777" w:rsidR="00C87760" w:rsidRDefault="00000000">
            <w:pPr>
              <w:pStyle w:val="Compact"/>
            </w:pPr>
            <w:r>
              <w:t>3–6 hours</w:t>
            </w:r>
          </w:p>
        </w:tc>
      </w:tr>
    </w:tbl>
    <w:p w14:paraId="1690198D" w14:textId="77777777" w:rsidR="00C87760" w:rsidRDefault="00000000">
      <w:pPr>
        <w:pStyle w:val="BodyText"/>
      </w:pPr>
      <w:r>
        <w:t xml:space="preserve">P = number of providers, </w:t>
      </w:r>
      <m:oMath>
        <m:sSub>
          <m:sSubPr>
            <m:ctrlPr>
              <w:rPr>
                <w:rFonts w:ascii="Cambria Math" w:hAnsi="Cambria Math"/>
              </w:rPr>
            </m:ctrlPr>
          </m:sSubPr>
          <m:e>
            <m:r>
              <w:rPr>
                <w:rFonts w:ascii="Cambria Math" w:hAnsi="Cambria Math"/>
              </w:rPr>
              <m:t>J</m:t>
            </m:r>
          </m:e>
          <m:sub>
            <m:r>
              <w:rPr>
                <w:rFonts w:ascii="Cambria Math" w:hAnsi="Cambria Math"/>
              </w:rPr>
              <m:t>s</m:t>
            </m:r>
          </m:sub>
        </m:sSub>
      </m:oMath>
      <w:r>
        <w:t xml:space="preserve"> = number of supersectors (~10), J = number of </w:t>
      </w:r>
      <w:proofErr w:type="gramStart"/>
      <w:r>
        <w:t>state</w:t>
      </w:r>
      <w:proofErr w:type="gramEnd"/>
      <w:r>
        <w:t xml:space="preserve"> × supersector cells (~550), T = time periods.</w:t>
      </w:r>
    </w:p>
    <w:p w14:paraId="3130F790" w14:textId="77777777" w:rsidR="00C87760" w:rsidRDefault="00000000">
      <w:pPr>
        <w:pStyle w:val="BodyText"/>
      </w:pPr>
      <w:r>
        <w:t xml:space="preserve">Release 3 at full state × </w:t>
      </w:r>
      <w:proofErr w:type="spellStart"/>
      <w:r>
        <w:t>supersector</w:t>
      </w:r>
      <w:proofErr w:type="spellEnd"/>
      <w:r>
        <w:t xml:space="preserve"> scale with time-varying bias will require careful attention to sampler efficiency: </w:t>
      </w:r>
      <w:proofErr w:type="spellStart"/>
      <w:r>
        <w:t>nutpie</w:t>
      </w:r>
      <w:proofErr w:type="spellEnd"/>
      <w:r>
        <w:t xml:space="preserve"> with JAX backend, batched non-centered parameterizations, and potentially variational initialization for MCMC.</w:t>
      </w:r>
    </w:p>
    <w:p w14:paraId="3E9611C6" w14:textId="77777777" w:rsidR="00C87760" w:rsidRDefault="00000000">
      <w:pPr>
        <w:pStyle w:val="Heading2"/>
      </w:pPr>
      <w:bookmarkStart w:id="96" w:name="sampler-configuration"/>
      <w:bookmarkEnd w:id="95"/>
      <w:r>
        <w:t>Sampler Configuration</w:t>
      </w:r>
    </w:p>
    <w:p w14:paraId="1E34B731" w14:textId="77777777" w:rsidR="00C87760" w:rsidRDefault="00000000">
      <w:pPr>
        <w:pStyle w:val="FirstParagraph"/>
      </w:pPr>
      <w:r>
        <w:t xml:space="preserve">The default sampler is </w:t>
      </w:r>
      <w:proofErr w:type="spellStart"/>
      <w:r>
        <w:t>nutpie</w:t>
      </w:r>
      <w:proofErr w:type="spellEnd"/>
      <w:r>
        <w:t>, optimized for Apple Silicon (M4 Max). Three configurations are available:</w:t>
      </w:r>
    </w:p>
    <w:p w14:paraId="6764999B" w14:textId="77777777" w:rsidR="00C87760" w:rsidRDefault="00000000">
      <w:pPr>
        <w:pStyle w:val="Compact"/>
        <w:numPr>
          <w:ilvl w:val="0"/>
          <w:numId w:val="20"/>
        </w:numPr>
      </w:pPr>
      <w:r>
        <w:rPr>
          <w:b/>
          <w:bCs/>
        </w:rPr>
        <w:t>LIGHT:</w:t>
      </w:r>
      <w:r>
        <w:t xml:space="preserve"> Faster convergence checks during development</w:t>
      </w:r>
    </w:p>
    <w:p w14:paraId="1965C21A" w14:textId="77777777" w:rsidR="00C87760" w:rsidRDefault="00000000">
      <w:pPr>
        <w:pStyle w:val="Compact"/>
        <w:numPr>
          <w:ilvl w:val="0"/>
          <w:numId w:val="20"/>
        </w:numPr>
      </w:pPr>
      <w:r>
        <w:rPr>
          <w:b/>
          <w:bCs/>
        </w:rPr>
        <w:t>MEDIUM:</w:t>
      </w:r>
      <w:r>
        <w:t xml:space="preserve"> Used for sensitivity analysis runs</w:t>
      </w:r>
    </w:p>
    <w:p w14:paraId="6FD41D69" w14:textId="77777777" w:rsidR="00C87760" w:rsidRDefault="00000000">
      <w:pPr>
        <w:pStyle w:val="Compact"/>
        <w:numPr>
          <w:ilvl w:val="0"/>
          <w:numId w:val="20"/>
        </w:numPr>
      </w:pPr>
      <w:r>
        <w:rPr>
          <w:b/>
          <w:bCs/>
        </w:rPr>
        <w:t>DEFAULT:</w:t>
      </w:r>
      <w:r>
        <w:t xml:space="preserve"> Full production sampling with convergence guarantees</w:t>
      </w:r>
    </w:p>
    <w:p w14:paraId="3779274D" w14:textId="77777777" w:rsidR="00C87760" w:rsidRDefault="00000000">
      <w:pPr>
        <w:pStyle w:val="Heading2"/>
      </w:pPr>
      <w:bookmarkStart w:id="97" w:name="config-driven-provider-architecture"/>
      <w:bookmarkEnd w:id="96"/>
      <w:r>
        <w:t>Config-Driven Provider Architecture</w:t>
      </w:r>
    </w:p>
    <w:p w14:paraId="3DE58CDD" w14:textId="77777777" w:rsidR="00C87760" w:rsidRDefault="00000000">
      <w:pPr>
        <w:pStyle w:val="FirstParagraph"/>
      </w:pPr>
      <w:r>
        <w:t xml:space="preserve">Adding a new provider requires only a </w:t>
      </w:r>
      <w:proofErr w:type="spellStart"/>
      <w:r>
        <w:rPr>
          <w:rStyle w:val="VerbatimChar"/>
        </w:rPr>
        <w:t>ProviderConfig</w:t>
      </w:r>
      <w:proofErr w:type="spellEnd"/>
      <w:r>
        <w:t xml:space="preserve"> entry:</w:t>
      </w:r>
    </w:p>
    <w:p w14:paraId="2A59D699" w14:textId="77777777" w:rsidR="00C87760" w:rsidRDefault="00000000">
      <w:pPr>
        <w:pStyle w:val="SourceCode"/>
      </w:pPr>
      <w:proofErr w:type="spellStart"/>
      <w:r>
        <w:rPr>
          <w:rStyle w:val="VerbatimChar"/>
        </w:rPr>
        <w:t>ProviderConfig</w:t>
      </w:r>
      <w:proofErr w:type="spellEnd"/>
      <w:r>
        <w:rPr>
          <w:rStyle w:val="VerbatimChar"/>
        </w:rPr>
        <w:t>(</w:t>
      </w:r>
      <w:r>
        <w:br/>
      </w:r>
      <w:r>
        <w:rPr>
          <w:rStyle w:val="VerbatimChar"/>
        </w:rPr>
        <w:t xml:space="preserve">    name='PP3',</w:t>
      </w:r>
      <w:r>
        <w:br/>
      </w:r>
      <w:r>
        <w:rPr>
          <w:rStyle w:val="VerbatimChar"/>
        </w:rPr>
        <w:t xml:space="preserve">    file='alt_nfp_index_3.csv',</w:t>
      </w:r>
      <w:r>
        <w:br/>
      </w:r>
      <w:r>
        <w:rPr>
          <w:rStyle w:val="VerbatimChar"/>
        </w:rPr>
        <w:t xml:space="preserve">    </w:t>
      </w:r>
      <w:proofErr w:type="spellStart"/>
      <w:r>
        <w:rPr>
          <w:rStyle w:val="VerbatimChar"/>
        </w:rPr>
        <w:t>index_col</w:t>
      </w:r>
      <w:proofErr w:type="spellEnd"/>
      <w:r>
        <w:rPr>
          <w:rStyle w:val="VerbatimChar"/>
        </w:rPr>
        <w:t>='pp_index_3',</w:t>
      </w:r>
      <w:r>
        <w:br/>
      </w:r>
      <w:r>
        <w:rPr>
          <w:rStyle w:val="VerbatimChar"/>
        </w:rPr>
        <w:t xml:space="preserve">    </w:t>
      </w:r>
      <w:proofErr w:type="spellStart"/>
      <w:r>
        <w:rPr>
          <w:rStyle w:val="VerbatimChar"/>
        </w:rPr>
        <w:t>error_model</w:t>
      </w:r>
      <w:proofErr w:type="spellEnd"/>
      <w:r>
        <w:rPr>
          <w:rStyle w:val="VerbatimChar"/>
        </w:rPr>
        <w:t>='ar1',  # or '</w:t>
      </w:r>
      <w:proofErr w:type="spellStart"/>
      <w:r>
        <w:rPr>
          <w:rStyle w:val="VerbatimChar"/>
        </w:rPr>
        <w:t>iid</w:t>
      </w:r>
      <w:proofErr w:type="spellEnd"/>
      <w:r>
        <w:rPr>
          <w:rStyle w:val="VerbatimChar"/>
        </w:rPr>
        <w:t>'</w:t>
      </w:r>
      <w:r>
        <w:br/>
      </w:r>
      <w:r>
        <w:rPr>
          <w:rStyle w:val="VerbatimChar"/>
        </w:rPr>
        <w:t xml:space="preserve">    </w:t>
      </w:r>
      <w:proofErr w:type="spellStart"/>
      <w:r>
        <w:rPr>
          <w:rStyle w:val="VerbatimChar"/>
        </w:rPr>
        <w:t>births_file</w:t>
      </w:r>
      <w:proofErr w:type="spellEnd"/>
      <w:r>
        <w:rPr>
          <w:rStyle w:val="VerbatimChar"/>
        </w:rPr>
        <w:t>='alt_nfp_births_3.csv',  # optional</w:t>
      </w:r>
      <w:r>
        <w:br/>
      </w:r>
      <w:r>
        <w:rPr>
          <w:rStyle w:val="VerbatimChar"/>
        </w:rPr>
        <w:t xml:space="preserve">    </w:t>
      </w:r>
      <w:proofErr w:type="spellStart"/>
      <w:r>
        <w:rPr>
          <w:rStyle w:val="VerbatimChar"/>
        </w:rPr>
        <w:t>births_col</w:t>
      </w:r>
      <w:proofErr w:type="spellEnd"/>
      <w:r>
        <w:rPr>
          <w:rStyle w:val="VerbatimChar"/>
        </w:rPr>
        <w:t>='pp3_births',             # optional</w:t>
      </w:r>
      <w:r>
        <w:br/>
      </w:r>
      <w:r>
        <w:rPr>
          <w:rStyle w:val="VerbatimChar"/>
        </w:rPr>
        <w:t xml:space="preserve">    </w:t>
      </w:r>
      <w:proofErr w:type="spellStart"/>
      <w:r>
        <w:rPr>
          <w:rStyle w:val="VerbatimChar"/>
        </w:rPr>
        <w:t>cell_file</w:t>
      </w:r>
      <w:proofErr w:type="spellEnd"/>
      <w:r>
        <w:rPr>
          <w:rStyle w:val="VerbatimChar"/>
        </w:rPr>
        <w:t>='alt_nfp_cells_3.parquet', # cell-level signals</w:t>
      </w:r>
      <w:r>
        <w:br/>
      </w:r>
      <w:r>
        <w:rPr>
          <w:rStyle w:val="VerbatimChar"/>
        </w:rPr>
        <w:lastRenderedPageBreak/>
        <w:t xml:space="preserve">    </w:t>
      </w:r>
      <w:proofErr w:type="spellStart"/>
      <w:r>
        <w:rPr>
          <w:rStyle w:val="VerbatimChar"/>
        </w:rPr>
        <w:t>cell_level</w:t>
      </w:r>
      <w:proofErr w:type="spellEnd"/>
      <w:r>
        <w:rPr>
          <w:rStyle w:val="VerbatimChar"/>
        </w:rPr>
        <w:t>='</w:t>
      </w:r>
      <w:proofErr w:type="spellStart"/>
      <w:r>
        <w:rPr>
          <w:rStyle w:val="VerbatimChar"/>
        </w:rPr>
        <w:t>supersector_x_region</w:t>
      </w:r>
      <w:proofErr w:type="spellEnd"/>
      <w:r>
        <w:rPr>
          <w:rStyle w:val="VerbatimChar"/>
        </w:rPr>
        <w:t>',   # aggregation level</w:t>
      </w:r>
      <w:r>
        <w:br/>
      </w:r>
      <w:r>
        <w:rPr>
          <w:rStyle w:val="VerbatimChar"/>
        </w:rPr>
        <w:t>)</w:t>
      </w:r>
    </w:p>
    <w:p w14:paraId="538A7D07" w14:textId="77777777" w:rsidR="00C87760" w:rsidRDefault="00000000">
      <w:pPr>
        <w:pStyle w:val="FirstParagraph"/>
      </w:pPr>
      <w:r>
        <w:t xml:space="preserve">The cell-level signals file contains continuing-units growth by </w:t>
      </w:r>
      <w:proofErr w:type="spellStart"/>
      <w:r>
        <w:t>supersector</w:t>
      </w:r>
      <w:proofErr w:type="spellEnd"/>
      <w:r>
        <w:t xml:space="preserve"> </w:t>
      </w:r>
      <m:oMath>
        <m:r>
          <m:rPr>
            <m:sty m:val="p"/>
          </m:rPr>
          <w:rPr>
            <w:rFonts w:ascii="Cambria Math" w:hAnsi="Cambria Math"/>
          </w:rPr>
          <m:t>×</m:t>
        </m:r>
      </m:oMath>
      <w:r>
        <w:t xml:space="preserve"> Census region. The representativeness-corrected national composite is constructed automatically from these cell-level signals using current QCEW employment weights. The model, diagnostics, sensitivity analysis, and plots adapt automatically.</w:t>
      </w:r>
    </w:p>
    <w:p w14:paraId="3BE3D4DC" w14:textId="77777777" w:rsidR="00C86A6D" w:rsidRDefault="00C86A6D">
      <w:pPr>
        <w:rPr>
          <w:rFonts w:asciiTheme="majorHAnsi" w:eastAsiaTheme="majorEastAsia" w:hAnsiTheme="majorHAnsi" w:cstheme="majorBidi"/>
          <w:color w:val="0F4761" w:themeColor="accent1" w:themeShade="BF"/>
          <w:sz w:val="40"/>
          <w:szCs w:val="40"/>
        </w:rPr>
      </w:pPr>
      <w:bookmarkStart w:id="98" w:name="X492ec549374b32b0894258bc10806cb1998b15a"/>
      <w:bookmarkEnd w:id="93"/>
      <w:bookmarkEnd w:id="97"/>
      <w:r>
        <w:br w:type="page"/>
      </w:r>
    </w:p>
    <w:p w14:paraId="02EB6065" w14:textId="1E519C3F" w:rsidR="00C87760" w:rsidRDefault="00000000">
      <w:pPr>
        <w:pStyle w:val="Heading1"/>
      </w:pPr>
      <w:r>
        <w:lastRenderedPageBreak/>
        <w:t>Appendix D: CES Birth/Death Model and System Value Proposition</w:t>
      </w:r>
    </w:p>
    <w:p w14:paraId="1ADDB6EB" w14:textId="2F4B07D5" w:rsidR="00C87760" w:rsidRDefault="00000000">
      <w:pPr>
        <w:pStyle w:val="FirstParagraph"/>
      </w:pPr>
      <w:r>
        <w:t xml:space="preserve">The CES </w:t>
      </w:r>
      <w:r w:rsidR="00C86A6D">
        <w:t>National B</w:t>
      </w:r>
      <w:r>
        <w:t>irth/</w:t>
      </w:r>
      <w:r w:rsidR="00C86A6D">
        <w:t>D</w:t>
      </w:r>
      <w:r>
        <w:t xml:space="preserve">eath </w:t>
      </w:r>
      <w:r w:rsidR="00C86A6D">
        <w:t>M</w:t>
      </w:r>
      <w:r>
        <w:t>odel (NBDM) operates in two steps: (1) excluding zero-employment reports from the matched sample, implicitly imputing dead establishments with continuers’ growth rate; (2) adding an ARIMA-based forecast of the residual between actual and imputed birth/death dynamics, trained on 5 years of QCEW microdata from the Longitudinal Database. Updated quarterly.</w:t>
      </w:r>
    </w:p>
    <w:p w14:paraId="46BF2000" w14:textId="77777777" w:rsidR="00C87760" w:rsidRDefault="00000000">
      <w:pPr>
        <w:pStyle w:val="BodyText"/>
      </w:pPr>
      <w:r>
        <w:t>The NBDM’s fundamental vulnerability is inability to anticipate turning points — the ARIMA projects historical seasonal patterns forward, systematically overcounting employment during decelerations. Three consecutive benchmark misses totaling ~1.8 million jobs (−266K in 2023, −598K in 2024, −911K preliminary in 2025) demonstrate the failure mode.</w:t>
      </w:r>
    </w:p>
    <w:p w14:paraId="2D3B8D8C" w14:textId="77777777" w:rsidR="00C87760" w:rsidRDefault="00000000">
      <w:pPr>
        <w:pStyle w:val="BodyText"/>
      </w:pPr>
      <w:r>
        <w:t xml:space="preserve">Starting January 2026, BLS permanently incorporated the sample Weighted Link Relative (WLR) as a regression covariate in the NBDM, which internal research (Grieves, Mance, Witt 2023) showed nearly halved forecast RMSE. The </w:t>
      </w:r>
      <w:proofErr w:type="spellStart"/>
      <w:r>
        <w:rPr>
          <w:rStyle w:val="VerbatimChar"/>
        </w:rPr>
        <w:t>alt_nfp</w:t>
      </w:r>
      <w:proofErr w:type="spellEnd"/>
      <w:r>
        <w:t xml:space="preserve"> system should benchmark its BD performance against this improved post-2026 BLS baseline — not the pre-2026 NBDM.</w:t>
      </w:r>
    </w:p>
    <w:p w14:paraId="60B1FCC3" w14:textId="77777777" w:rsidR="00C87760" w:rsidRDefault="00000000">
      <w:pPr>
        <w:pStyle w:val="BodyText"/>
      </w:pPr>
      <w:r>
        <w:t>The system’s comparative advantage lies in combining real-time provider-derived formation signals with cyclical indicators and QCEW anchoring to detect BD drift faster than the improved NBDM can self-correct. The structural BD model observes provider birth rates in real time (the NBDM does not use private payroll data) and conditions on QCEW as it becomes available (the NBDM updates quarterly but does not perform real-time Bayesian updating).</w:t>
      </w:r>
      <w:bookmarkEnd w:id="98"/>
    </w:p>
    <w:sectPr w:rsidR="00C877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4294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CC17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D054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6939388">
    <w:abstractNumId w:val="0"/>
  </w:num>
  <w:num w:numId="2" w16cid:durableId="95710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9752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0435380">
    <w:abstractNumId w:val="1"/>
  </w:num>
  <w:num w:numId="5" w16cid:durableId="1225143741">
    <w:abstractNumId w:val="1"/>
  </w:num>
  <w:num w:numId="6" w16cid:durableId="2002348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5712381">
    <w:abstractNumId w:val="1"/>
  </w:num>
  <w:num w:numId="8" w16cid:durableId="1732923515">
    <w:abstractNumId w:val="1"/>
  </w:num>
  <w:num w:numId="9" w16cid:durableId="424544754">
    <w:abstractNumId w:val="1"/>
  </w:num>
  <w:num w:numId="10" w16cid:durableId="17775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2906899">
    <w:abstractNumId w:val="1"/>
  </w:num>
  <w:num w:numId="12" w16cid:durableId="702903298">
    <w:abstractNumId w:val="1"/>
  </w:num>
  <w:num w:numId="13" w16cid:durableId="968433188">
    <w:abstractNumId w:val="1"/>
  </w:num>
  <w:num w:numId="14" w16cid:durableId="816803678">
    <w:abstractNumId w:val="1"/>
  </w:num>
  <w:num w:numId="15" w16cid:durableId="191263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98417186">
    <w:abstractNumId w:val="1"/>
  </w:num>
  <w:num w:numId="17" w16cid:durableId="565381815">
    <w:abstractNumId w:val="1"/>
  </w:num>
  <w:num w:numId="18" w16cid:durableId="607004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4670911">
    <w:abstractNumId w:val="1"/>
  </w:num>
  <w:num w:numId="20" w16cid:durableId="1392578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760"/>
    <w:rsid w:val="000C7254"/>
    <w:rsid w:val="002A250B"/>
    <w:rsid w:val="00345B5B"/>
    <w:rsid w:val="00393C1A"/>
    <w:rsid w:val="00891E41"/>
    <w:rsid w:val="00AB380F"/>
    <w:rsid w:val="00AC24EF"/>
    <w:rsid w:val="00C86A6D"/>
    <w:rsid w:val="00C87760"/>
    <w:rsid w:val="00D618F4"/>
    <w:rsid w:val="00EB2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66171"/>
  <w15:docId w15:val="{DF717034-7CFE-3D4D-9349-0A3E81F1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30</Pages>
  <Words>6675</Words>
  <Characters>45464</Characters>
  <Application>Microsoft Office Word</Application>
  <DocSecurity>0</DocSecurity>
  <Lines>1196</Lines>
  <Paragraphs>814</Paragraphs>
  <ScaleCrop>false</ScaleCrop>
  <Company/>
  <LinksUpToDate>false</LinksUpToDate>
  <CharactersWithSpaces>51325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5</cp:revision>
  <dcterms:created xsi:type="dcterms:W3CDTF">2026-02-22T12:14:00Z</dcterms:created>
  <dcterms:modified xsi:type="dcterms:W3CDTF">2026-02-25T15:16:00Z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