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8CA6" w14:textId="77777777" w:rsidR="00D72204" w:rsidRPr="00230D43" w:rsidRDefault="00000000" w:rsidP="00230D43">
      <w:pPr>
        <w:pStyle w:val="Heading1"/>
        <w:jc w:val="center"/>
      </w:pPr>
      <w:bookmarkStart w:id="0" w:name="X40a18f354d0b0f6af15d5f462fe0714f31679ed"/>
      <w:r w:rsidRPr="00230D43">
        <w:t>Estimating Employment Using Payroll-Provider Microdata</w:t>
      </w:r>
    </w:p>
    <w:p w14:paraId="65176351" w14:textId="77777777" w:rsidR="00392355" w:rsidRDefault="00392355">
      <w:pPr>
        <w:pStyle w:val="Heading2"/>
      </w:pPr>
      <w:bookmarkStart w:id="1" w:name="abstract"/>
    </w:p>
    <w:p w14:paraId="43189A7D" w14:textId="2CAF8894" w:rsidR="00D72204" w:rsidRDefault="00000000">
      <w:pPr>
        <w:pStyle w:val="Heading2"/>
      </w:pPr>
      <w:r>
        <w:t>Abstract</w:t>
      </w:r>
    </w:p>
    <w:p w14:paraId="21EB939D" w14:textId="77777777" w:rsidR="00D72204" w:rsidRDefault="00000000">
      <w:pPr>
        <w:pStyle w:val="FirstParagraph"/>
      </w:pPr>
      <w:r>
        <w:t>Private payroll providers offer rich, high-frequency microdata at the client-, employee-, and payment-level. These data can support timely and granular employment measurement, but they are not designed for statistical inference and differ fundamentally from official employment universes. This paper proposes an integrated framework for producing official-style employment estimates from payroll microdata.</w:t>
      </w:r>
    </w:p>
    <w:p w14:paraId="658ABE95" w14:textId="77777777" w:rsidR="00D72204" w:rsidRDefault="00000000">
      <w:pPr>
        <w:pStyle w:val="BodyText"/>
      </w:pPr>
      <w:r>
        <w:t>We organize the approach as a sequential pipeline:</w:t>
      </w:r>
    </w:p>
    <w:p w14:paraId="16BE3E16" w14:textId="77777777" w:rsidR="00D72204" w:rsidRDefault="00000000">
      <w:pPr>
        <w:pStyle w:val="Compact"/>
        <w:numPr>
          <w:ilvl w:val="0"/>
          <w:numId w:val="2"/>
        </w:numPr>
      </w:pPr>
      <w:r>
        <w:t>Define operational employment concepts from pay events around a reference date</w:t>
      </w:r>
    </w:p>
    <w:p w14:paraId="1B60914F" w14:textId="77777777" w:rsidR="00D72204" w:rsidRDefault="00000000">
      <w:pPr>
        <w:pStyle w:val="Compact"/>
        <w:numPr>
          <w:ilvl w:val="0"/>
          <w:numId w:val="2"/>
        </w:numPr>
      </w:pPr>
      <w:r>
        <w:t>Harmonize statistical units by diagnosing and correcting client–establishment mismatch</w:t>
      </w:r>
    </w:p>
    <w:p w14:paraId="62B349D5" w14:textId="77777777" w:rsidR="00D72204" w:rsidRDefault="00000000">
      <w:pPr>
        <w:pStyle w:val="Compact"/>
        <w:numPr>
          <w:ilvl w:val="0"/>
          <w:numId w:val="2"/>
        </w:numPr>
      </w:pPr>
      <w:r>
        <w:t>Correct sample dynamics arising from onboarding, offboarding, and administrative churn</w:t>
      </w:r>
    </w:p>
    <w:p w14:paraId="13244AD2" w14:textId="77777777" w:rsidR="00D72204" w:rsidRDefault="00000000">
      <w:pPr>
        <w:pStyle w:val="Compact"/>
        <w:numPr>
          <w:ilvl w:val="0"/>
          <w:numId w:val="2"/>
        </w:numPr>
      </w:pPr>
      <w:r>
        <w:t>Address representativeness through benchmarking to QCEW with explicit size-class structure</w:t>
      </w:r>
    </w:p>
    <w:p w14:paraId="725716FA" w14:textId="77777777" w:rsidR="00D72204" w:rsidRDefault="00000000">
      <w:pPr>
        <w:pStyle w:val="Compact"/>
        <w:numPr>
          <w:ilvl w:val="0"/>
          <w:numId w:val="2"/>
        </w:numPr>
      </w:pPr>
      <w:r>
        <w:t>Embed payroll series in a Bayesian state-space model anchored to QCEW and extended to handle continuing-units measurement and birth/death dynamics</w:t>
      </w:r>
    </w:p>
    <w:p w14:paraId="121979F9" w14:textId="77777777" w:rsidR="00D72204" w:rsidRDefault="00000000">
      <w:pPr>
        <w:pStyle w:val="Compact"/>
        <w:numPr>
          <w:ilvl w:val="0"/>
          <w:numId w:val="2"/>
        </w:numPr>
      </w:pPr>
      <w:r>
        <w:t>Implement governance and drift monitoring to manage business-process-driven concept change</w:t>
      </w:r>
    </w:p>
    <w:p w14:paraId="7668F063" w14:textId="77777777" w:rsidR="00D72204" w:rsidRDefault="00000000">
      <w:pPr>
        <w:pStyle w:val="FirstParagraph"/>
      </w:pPr>
      <w:r>
        <w:t xml:space="preserve">The framework builds on the model-based data fusion approach of </w:t>
      </w:r>
      <w:proofErr w:type="spellStart"/>
      <w:r>
        <w:t>Cajner</w:t>
      </w:r>
      <w:proofErr w:type="spellEnd"/>
      <w:r>
        <w:t xml:space="preserve"> et al. (2022) and extends it by explicitly addressing payroll-specific issues related to statistical units, size-class distortions, onboarding dynamics, and concept drift.</w:t>
      </w:r>
    </w:p>
    <w:p w14:paraId="2929C682" w14:textId="77777777" w:rsidR="00392355" w:rsidRDefault="00392355">
      <w:pPr>
        <w:pStyle w:val="Heading2"/>
      </w:pPr>
      <w:bookmarkStart w:id="2" w:name="motivation-and-organizing-principle"/>
      <w:bookmarkEnd w:id="1"/>
    </w:p>
    <w:p w14:paraId="2033D0BA" w14:textId="77777777" w:rsidR="00392355" w:rsidRDefault="00392355">
      <w:pPr>
        <w:rPr>
          <w:rFonts w:asciiTheme="majorHAnsi" w:eastAsiaTheme="majorEastAsia" w:hAnsiTheme="majorHAnsi" w:cstheme="majorBidi"/>
          <w:color w:val="0F4761" w:themeColor="accent1" w:themeShade="BF"/>
          <w:sz w:val="32"/>
          <w:szCs w:val="32"/>
        </w:rPr>
      </w:pPr>
      <w:r>
        <w:br w:type="page"/>
      </w:r>
    </w:p>
    <w:p w14:paraId="32DB093E" w14:textId="46A28517" w:rsidR="00D72204" w:rsidRDefault="00392355">
      <w:pPr>
        <w:pStyle w:val="Heading2"/>
      </w:pPr>
      <w:r>
        <w:lastRenderedPageBreak/>
        <w:t>1. Motivation and Organizing Principle</w:t>
      </w:r>
    </w:p>
    <w:p w14:paraId="17FE4BFE" w14:textId="77777777" w:rsidR="00D72204" w:rsidRDefault="00000000">
      <w:pPr>
        <w:pStyle w:val="FirstParagraph"/>
      </w:pPr>
      <w:r>
        <w:t xml:space="preserve">Traditional employment measurement relies on probability surveys (CES) and administrative </w:t>
      </w:r>
      <w:proofErr w:type="gramStart"/>
      <w:r>
        <w:t>near-universes</w:t>
      </w:r>
      <w:proofErr w:type="gramEnd"/>
      <w:r>
        <w:t xml:space="preserve"> (QCEW). Payroll microdata </w:t>
      </w:r>
      <w:proofErr w:type="gramStart"/>
      <w:r>
        <w:t>provide</w:t>
      </w:r>
      <w:proofErr w:type="gramEnd"/>
      <w:r>
        <w:t xml:space="preserve"> a complementary, high-frequency signal but are generated as a byproduct of business processes rather than statistical design.</w:t>
      </w:r>
    </w:p>
    <w:p w14:paraId="11B61928" w14:textId="77777777" w:rsidR="00D72204" w:rsidRDefault="00000000">
      <w:pPr>
        <w:pStyle w:val="BodyText"/>
      </w:pPr>
      <w:r>
        <w:t>As a result, payroll data exhibit several structural challenges:</w:t>
      </w:r>
    </w:p>
    <w:p w14:paraId="11EFCAC2" w14:textId="77777777" w:rsidR="00D72204" w:rsidRDefault="00000000">
      <w:pPr>
        <w:pStyle w:val="Compact"/>
        <w:numPr>
          <w:ilvl w:val="0"/>
          <w:numId w:val="3"/>
        </w:numPr>
      </w:pPr>
      <w:r>
        <w:t>Non-random selection into the payroll provider’s client base</w:t>
      </w:r>
    </w:p>
    <w:p w14:paraId="374222EF" w14:textId="77777777" w:rsidR="00D72204" w:rsidRDefault="00000000">
      <w:pPr>
        <w:pStyle w:val="Compact"/>
        <w:numPr>
          <w:ilvl w:val="0"/>
          <w:numId w:val="3"/>
        </w:numPr>
      </w:pPr>
      <w:r>
        <w:t>Ambiguity in the statistical unit (client vs establishment)</w:t>
      </w:r>
    </w:p>
    <w:p w14:paraId="7F42F5F9" w14:textId="77777777" w:rsidR="00D72204" w:rsidRDefault="00000000">
      <w:pPr>
        <w:pStyle w:val="Compact"/>
        <w:numPr>
          <w:ilvl w:val="0"/>
          <w:numId w:val="3"/>
        </w:numPr>
      </w:pPr>
      <w:r>
        <w:t>Administrative onboarding and offboarding that mimic economic dynamics</w:t>
      </w:r>
    </w:p>
    <w:p w14:paraId="46E358C7" w14:textId="77777777" w:rsidR="00D72204" w:rsidRDefault="00000000">
      <w:pPr>
        <w:pStyle w:val="Compact"/>
        <w:numPr>
          <w:ilvl w:val="0"/>
          <w:numId w:val="3"/>
        </w:numPr>
      </w:pPr>
      <w:r>
        <w:t>Mechanical timing effects from payroll-period structure</w:t>
      </w:r>
    </w:p>
    <w:p w14:paraId="1AD1A5C8" w14:textId="77777777" w:rsidR="00D72204" w:rsidRDefault="00000000">
      <w:pPr>
        <w:pStyle w:val="Compact"/>
        <w:numPr>
          <w:ilvl w:val="0"/>
          <w:numId w:val="3"/>
        </w:numPr>
      </w:pPr>
      <w:r>
        <w:t>Concept drift arising from provider business-process changes</w:t>
      </w:r>
    </w:p>
    <w:p w14:paraId="77D1BB2D" w14:textId="77777777" w:rsidR="00D72204" w:rsidRDefault="00000000">
      <w:pPr>
        <w:pStyle w:val="FirstParagraph"/>
      </w:pPr>
      <w:r>
        <w:t>These challenges motivate the organizing principle of this work:</w:t>
      </w:r>
    </w:p>
    <w:p w14:paraId="44069F2A" w14:textId="77777777" w:rsidR="00D72204" w:rsidRDefault="00000000">
      <w:pPr>
        <w:pStyle w:val="BlockText"/>
      </w:pPr>
      <w:r>
        <w:t>Payroll microdata should be treated as noisy, high-frequency measurements of latent true employment that must be anchored to a stable administrative benchmark (QCEW), rather than interpreted as a standalone census.</w:t>
      </w:r>
    </w:p>
    <w:p w14:paraId="4D14E4CD" w14:textId="77777777" w:rsidR="00D72204" w:rsidRDefault="00000000">
      <w:pPr>
        <w:pStyle w:val="FirstParagraph"/>
      </w:pPr>
      <w:r>
        <w:t xml:space="preserve">This perspective follows </w:t>
      </w:r>
      <w:proofErr w:type="spellStart"/>
      <w:r>
        <w:t>Cajner</w:t>
      </w:r>
      <w:proofErr w:type="spellEnd"/>
      <w:r>
        <w:t xml:space="preserve"> et al. (2022), who model payroll and survey series as multiple noisy observations of latent employment. Our framework generalizes this approach to explicitly address payroll-specific unit mismatch, onboarding artifacts, size-class distortions, and business-process drift.</w:t>
      </w:r>
    </w:p>
    <w:p w14:paraId="084FB620" w14:textId="77777777" w:rsidR="00392355" w:rsidRDefault="00392355">
      <w:pPr>
        <w:pStyle w:val="Heading2"/>
      </w:pPr>
      <w:bookmarkStart w:id="3" w:name="X8a762ceeb28e43dfcacaa99f160502ef40e3028"/>
      <w:bookmarkEnd w:id="2"/>
    </w:p>
    <w:p w14:paraId="359A5E72" w14:textId="63D89EC4" w:rsidR="00D72204" w:rsidRDefault="00000000">
      <w:pPr>
        <w:pStyle w:val="Heading2"/>
      </w:pPr>
      <w:r>
        <w:t>2. Data Inputs and Operational Employment Measurement</w:t>
      </w:r>
    </w:p>
    <w:p w14:paraId="7E260A4F" w14:textId="77777777" w:rsidR="00D72204" w:rsidRDefault="00000000">
      <w:pPr>
        <w:pStyle w:val="FirstParagraph"/>
      </w:pPr>
      <w:r>
        <w:t xml:space="preserve">Payroll provider microdata typically </w:t>
      </w:r>
      <w:proofErr w:type="gramStart"/>
      <w:r>
        <w:t>include</w:t>
      </w:r>
      <w:proofErr w:type="gramEnd"/>
      <w:r>
        <w:t xml:space="preserve"> client-, employee-, and payment-level records. Preserving this layered structure is critical for unit diagnostics, geographic assignment, and validation.</w:t>
      </w:r>
    </w:p>
    <w:p w14:paraId="1466832B" w14:textId="77777777" w:rsidR="00D72204" w:rsidRDefault="00000000">
      <w:pPr>
        <w:pStyle w:val="BodyText"/>
      </w:pPr>
      <w:r>
        <w:t>Employment is defined operationally using the payroll period containing a reference date (aligned with the CES/QCEW reference week). We construct two measures:</w:t>
      </w:r>
    </w:p>
    <w:p w14:paraId="3BC2D5DF" w14:textId="77777777" w:rsidR="00D72204" w:rsidRDefault="00000000">
      <w:pPr>
        <w:pStyle w:val="Compact"/>
        <w:numPr>
          <w:ilvl w:val="0"/>
          <w:numId w:val="4"/>
        </w:numPr>
      </w:pPr>
      <w:r>
        <w:rPr>
          <w:b/>
          <w:bCs/>
        </w:rPr>
        <w:t>Active employment</w:t>
      </w:r>
      <w:r>
        <w:t>: employees on payroll during the period</w:t>
      </w:r>
    </w:p>
    <w:p w14:paraId="3C93B044" w14:textId="77777777" w:rsidR="00D72204" w:rsidRDefault="00000000">
      <w:pPr>
        <w:pStyle w:val="Compact"/>
        <w:numPr>
          <w:ilvl w:val="0"/>
          <w:numId w:val="4"/>
        </w:numPr>
      </w:pPr>
      <w:r>
        <w:rPr>
          <w:b/>
          <w:bCs/>
        </w:rPr>
        <w:t>Qualified employment</w:t>
      </w:r>
      <w:r>
        <w:t>: active employees receiving qualified pay</w:t>
      </w:r>
      <w:r>
        <w:rPr>
          <w:rStyle w:val="FootnoteReference"/>
        </w:rPr>
        <w:footnoteReference w:id="1"/>
      </w:r>
    </w:p>
    <w:p w14:paraId="08DDFBE5" w14:textId="77777777" w:rsidR="00D72204" w:rsidRDefault="00000000">
      <w:pPr>
        <w:pStyle w:val="FirstParagraph"/>
      </w:pPr>
      <w:r>
        <w:lastRenderedPageBreak/>
        <w:t xml:space="preserve">Let </w:t>
      </w:r>
      <m:oMath>
        <m:r>
          <w:rPr>
            <w:rFonts w:ascii="Cambria Math" w:hAnsi="Cambria Math"/>
          </w:rPr>
          <m:t>i</m:t>
        </m:r>
      </m:oMath>
      <w:r>
        <w:t xml:space="preserve"> index employees and </w:t>
      </w:r>
      <m:oMath>
        <m:r>
          <w:rPr>
            <w:rFonts w:ascii="Cambria Math" w:hAnsi="Cambria Math"/>
          </w:rPr>
          <m:t>p</m:t>
        </m:r>
        <m:d>
          <m:dPr>
            <m:ctrlPr>
              <w:rPr>
                <w:rFonts w:ascii="Cambria Math" w:hAnsi="Cambria Math"/>
              </w:rPr>
            </m:ctrlPr>
          </m:dPr>
          <m:e>
            <m:r>
              <w:rPr>
                <w:rFonts w:ascii="Cambria Math" w:hAnsi="Cambria Math"/>
              </w:rPr>
              <m:t>t</m:t>
            </m:r>
          </m:e>
        </m:d>
      </m:oMath>
      <w:r>
        <w:t xml:space="preserve"> denote the payroll period containing reference date </w:t>
      </w:r>
      <m:oMath>
        <m:r>
          <w:rPr>
            <w:rFonts w:ascii="Cambria Math" w:hAnsi="Cambria Math"/>
          </w:rPr>
          <m:t>t</m:t>
        </m:r>
      </m:oMath>
      <w:r>
        <w:t>. Then:</w:t>
      </w:r>
    </w:p>
    <w:p w14:paraId="471535D7" w14:textId="77777777" w:rsidR="00D7220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active</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3BF550C" w14:textId="77777777" w:rsidR="00D72204"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qual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m:rPr>
                  <m:nor/>
                </m:rPr>
                <m:t>qualified pay</m:t>
              </m:r>
            </m:e>
            <m:sub>
              <m:r>
                <w:rPr>
                  <w:rFonts w:ascii="Cambria Math" w:hAnsi="Cambria Math"/>
                </w:rPr>
                <m:t>i</m:t>
              </m:r>
            </m:sub>
          </m:sSub>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t</m:t>
                  </m:r>
                </m:e>
              </m:d>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E2E5BF7" w14:textId="77777777" w:rsidR="00D72204" w:rsidRDefault="00000000">
      <w:pPr>
        <w:pStyle w:val="FirstParagraph"/>
      </w:pPr>
      <w:r>
        <w:t>These definitions mirror CES concepts but remain sensitive to payroll timing, off-cycle payments, and provider rules. Maintaining both measures enables robustness checks and diagnostics.</w:t>
      </w:r>
    </w:p>
    <w:p w14:paraId="31AFF1D6" w14:textId="77777777" w:rsidR="00392355" w:rsidRDefault="00392355">
      <w:pPr>
        <w:pStyle w:val="Heading2"/>
      </w:pPr>
      <w:bookmarkStart w:id="4" w:name="statistical-unit-harmonization"/>
      <w:bookmarkEnd w:id="3"/>
    </w:p>
    <w:p w14:paraId="438AEBD2" w14:textId="750A92D5" w:rsidR="00D72204" w:rsidRDefault="00000000">
      <w:pPr>
        <w:pStyle w:val="Heading2"/>
      </w:pPr>
      <w:r>
        <w:t>3. Statistical Unit Harmonization</w:t>
      </w:r>
    </w:p>
    <w:p w14:paraId="4385B001" w14:textId="77777777" w:rsidR="00D72204" w:rsidRDefault="00000000">
      <w:pPr>
        <w:pStyle w:val="FirstParagraph"/>
      </w:pPr>
      <w:r>
        <w:t>Official benchmarks are establishment-based, while payroll clients may represent:</w:t>
      </w:r>
    </w:p>
    <w:p w14:paraId="7ABDF299" w14:textId="77777777" w:rsidR="00D72204" w:rsidRDefault="00000000">
      <w:pPr>
        <w:pStyle w:val="Compact"/>
        <w:numPr>
          <w:ilvl w:val="0"/>
          <w:numId w:val="5"/>
        </w:numPr>
      </w:pPr>
      <w:r>
        <w:t>Single establishments</w:t>
      </w:r>
    </w:p>
    <w:p w14:paraId="6410C86C" w14:textId="77777777" w:rsidR="00D72204" w:rsidRDefault="00000000">
      <w:pPr>
        <w:pStyle w:val="Compact"/>
        <w:numPr>
          <w:ilvl w:val="0"/>
          <w:numId w:val="5"/>
        </w:numPr>
      </w:pPr>
      <w:r>
        <w:t>Multi-establishment enterprises</w:t>
      </w:r>
    </w:p>
    <w:p w14:paraId="72E5C633" w14:textId="77777777" w:rsidR="00D72204" w:rsidRDefault="00000000">
      <w:pPr>
        <w:pStyle w:val="Compact"/>
        <w:numPr>
          <w:ilvl w:val="0"/>
          <w:numId w:val="5"/>
        </w:numPr>
      </w:pPr>
      <w:r>
        <w:t>Intermediate or sub-establishment payroll accounts</w:t>
      </w:r>
    </w:p>
    <w:p w14:paraId="73F1931A" w14:textId="77777777" w:rsidR="00D72204" w:rsidRDefault="00000000">
      <w:pPr>
        <w:pStyle w:val="FirstParagraph"/>
      </w:pPr>
      <w:r>
        <w:t>Treating all clients as establishments can distort geography, industry, and calibration. The severity of this distortion depends critically on the location information available. This section describes the full-information approach to unit harmonization and then addresses progressively degraded information regimes, each of which requires different diagnostic and allocation methods.</w:t>
      </w:r>
    </w:p>
    <w:p w14:paraId="15A540F6" w14:textId="77777777" w:rsidR="00D72204" w:rsidRDefault="00000000">
      <w:pPr>
        <w:pStyle w:val="Heading3"/>
      </w:pPr>
      <w:bookmarkStart w:id="5" w:name="establishment-likeness-diagnostics"/>
      <w:r>
        <w:t>3.1 Establishment-Likeness Diagnostics</w:t>
      </w:r>
    </w:p>
    <w:p w14:paraId="7FB9E239" w14:textId="77777777" w:rsidR="00D72204" w:rsidRDefault="00000000">
      <w:pPr>
        <w:pStyle w:val="FirstParagraph"/>
      </w:pPr>
      <w:r>
        <w:t>We assess whether a client behaves like a single establishment using employee geographic dispersion relative to the client address. Diagnostics include:</w:t>
      </w:r>
    </w:p>
    <w:p w14:paraId="1928A224" w14:textId="77777777" w:rsidR="00D72204" w:rsidRDefault="00000000">
      <w:pPr>
        <w:pStyle w:val="Compact"/>
        <w:numPr>
          <w:ilvl w:val="0"/>
          <w:numId w:val="6"/>
        </w:numPr>
      </w:pPr>
      <w:r>
        <w:t>Distance distributions (e.g., percentile distances)</w:t>
      </w:r>
    </w:p>
    <w:p w14:paraId="46E0F51A" w14:textId="77777777" w:rsidR="00D72204" w:rsidRDefault="00000000">
      <w:pPr>
        <w:pStyle w:val="Compact"/>
        <w:numPr>
          <w:ilvl w:val="0"/>
          <w:numId w:val="6"/>
        </w:numPr>
      </w:pPr>
      <w:r>
        <w:t>Multimodality detection (e.g., mixture models)</w:t>
      </w:r>
    </w:p>
    <w:p w14:paraId="3F27BEDC" w14:textId="77777777" w:rsidR="00D72204" w:rsidRDefault="00000000">
      <w:pPr>
        <w:pStyle w:val="Compact"/>
        <w:numPr>
          <w:ilvl w:val="0"/>
          <w:numId w:val="6"/>
        </w:numPr>
      </w:pPr>
      <w:r>
        <w:t>Industry- and metro-specific commuting priors</w:t>
      </w:r>
    </w:p>
    <w:p w14:paraId="72D1E4A5" w14:textId="77777777" w:rsidR="00D72204" w:rsidRDefault="00000000">
      <w:pPr>
        <w:pStyle w:val="Compact"/>
        <w:numPr>
          <w:ilvl w:val="0"/>
          <w:numId w:val="6"/>
        </w:numPr>
      </w:pPr>
      <w:r>
        <w:t>Temporal stability of dispersion patterns</w:t>
      </w:r>
    </w:p>
    <w:p w14:paraId="793D8F44" w14:textId="77777777" w:rsidR="00D72204" w:rsidRDefault="00000000">
      <w:pPr>
        <w:pStyle w:val="FirstParagraph"/>
      </w:pPr>
      <w:r>
        <w:t>These diagnostics produce a latent classification of clients as establishment-like, enterprise-like, or ambiguous.</w:t>
      </w:r>
    </w:p>
    <w:p w14:paraId="49AE112C" w14:textId="77777777" w:rsidR="00D72204" w:rsidRDefault="00000000">
      <w:pPr>
        <w:pStyle w:val="Heading3"/>
      </w:pPr>
      <w:bookmarkStart w:id="6" w:name="pseudo-establishment-construction"/>
      <w:bookmarkEnd w:id="5"/>
      <w:r>
        <w:t>3.2 Pseudo-Establishment Construction</w:t>
      </w:r>
    </w:p>
    <w:p w14:paraId="35D5AD5C" w14:textId="77777777" w:rsidR="00D72204" w:rsidRDefault="00000000">
      <w:pPr>
        <w:pStyle w:val="FirstParagraph"/>
      </w:pPr>
      <w:r>
        <w:t xml:space="preserve">For enterprise-like clients, we construct pseudo-establishments by clustering employees into geographically coherent groups. For cluster </w:t>
      </w:r>
      <m:oMath>
        <m:r>
          <w:rPr>
            <w:rFonts w:ascii="Cambria Math" w:hAnsi="Cambria Math"/>
          </w:rPr>
          <m:t>k</m:t>
        </m:r>
      </m:oMath>
      <w:r>
        <w:t xml:space="preserve"> within client </w:t>
      </w:r>
      <m:oMath>
        <m:r>
          <w:rPr>
            <w:rFonts w:ascii="Cambria Math" w:hAnsi="Cambria Math"/>
          </w:rPr>
          <m:t>c</m:t>
        </m:r>
      </m:oMath>
      <w:r>
        <w:t>, pseudo-establishment employment is:</w:t>
      </w:r>
    </w:p>
    <w:p w14:paraId="61687D3C" w14:textId="77777777" w:rsidR="00D7220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c</m:t>
                  </m:r>
                  <m:r>
                    <m:rPr>
                      <m:sty m:val="p"/>
                    </m:rPr>
                    <w:rPr>
                      <w:rFonts w:ascii="Cambria Math" w:hAnsi="Cambria Math"/>
                    </w:rPr>
                    <m:t>,</m:t>
                  </m:r>
                  <m:r>
                    <w:rPr>
                      <w:rFonts w:ascii="Cambria Math" w:hAnsi="Cambria Math"/>
                    </w:rPr>
                    <m:t>k</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nor/>
            </m:rPr>
            <m:t xml:space="preserve"> employed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0994656" w14:textId="77777777" w:rsidR="00D72204" w:rsidRDefault="00000000">
      <w:pPr>
        <w:pStyle w:val="FirstParagraph"/>
      </w:pPr>
      <w:r>
        <w:t>Each pseudo-establishment is assigned a geography via a centroid or medoid and inherits (or optionally reassigns) industry. This converts enterprise clients into establishment-like units and improves coherence with QCEW.</w:t>
      </w:r>
    </w:p>
    <w:p w14:paraId="132BF510" w14:textId="77777777" w:rsidR="00D72204" w:rsidRDefault="00000000">
      <w:pPr>
        <w:pStyle w:val="Heading3"/>
      </w:pPr>
      <w:bookmarkStart w:id="7" w:name="degraded-location-information"/>
      <w:bookmarkEnd w:id="6"/>
      <w:r>
        <w:t>3.3 Degraded Location Information</w:t>
      </w:r>
    </w:p>
    <w:p w14:paraId="1865138C" w14:textId="04453046" w:rsidR="00D72204" w:rsidRDefault="00000000">
      <w:pPr>
        <w:pStyle w:val="FirstParagraph"/>
      </w:pPr>
      <w:r>
        <w:t>The diagnostics and pseudo-establishment construction described above assume precise employee-level geocodes. In practice, different payroll providers</w:t>
      </w:r>
      <w:r w:rsidR="00392355">
        <w:t xml:space="preserve"> </w:t>
      </w:r>
      <w:r>
        <w:t>may offer only coarse location information. The methods described in Sections 3.1 and 3.2 represent the best case. This section addresses a cascade of increasingly degraded information regimes and the adaptations required at each level.</w:t>
      </w:r>
    </w:p>
    <w:p w14:paraId="78ABB1B1" w14:textId="77777777" w:rsidR="00D72204" w:rsidRDefault="00000000">
      <w:pPr>
        <w:pStyle w:val="BodyText"/>
      </w:pPr>
      <w:r>
        <w:t>The degradation is not merely a loss of precision. Each step down the information ladder progressively undermines the representativeness correction infrastructure: coverage ratios become less meaningful, shift-share decompositions absorb geographic misallocation alongside genuine compositional differences, and usability diagnostics are themselves contaminated by the same information gap. Recognizing which regime applies for a given provider is therefore a prerequisite for selecting appropriate methods.</w:t>
      </w:r>
    </w:p>
    <w:p w14:paraId="6DCCD4F6" w14:textId="77777777" w:rsidR="00D72204" w:rsidRDefault="00000000">
      <w:pPr>
        <w:pStyle w:val="Heading4"/>
      </w:pPr>
      <w:bookmarkStart w:id="8" w:name="zip-codes-only"/>
      <w:r>
        <w:t>3.3.1 Zip Codes Only</w:t>
      </w:r>
    </w:p>
    <w:p w14:paraId="6612DAF9" w14:textId="77777777" w:rsidR="00D72204" w:rsidRDefault="00000000">
      <w:pPr>
        <w:pStyle w:val="FirstParagraph"/>
      </w:pPr>
      <w:r>
        <w:t>When employee-level zip codes are available but precise geocodes are not, pseudo-establishment construction remains feasible with modest degradation. Zip code</w:t>
      </w:r>
      <w:r w:rsidRPr="00392355">
        <w:t xml:space="preserve"> centroids—preferably population-weighted centroids published by the Census Bureau, which sit where people </w:t>
      </w:r>
      <w:proofErr w:type="gramStart"/>
      <w:r w:rsidRPr="00392355">
        <w:t>actually are</w:t>
      </w:r>
      <w:proofErr w:type="gramEnd"/>
      <w:r w:rsidRPr="00392355">
        <w:t xml:space="preserve"> rather than at the geographic center of potentially la</w:t>
      </w:r>
      <w:r>
        <w:t>rge rural zip codes—provide sufficient resolution for the geographic assignments that matter most.</w:t>
      </w:r>
    </w:p>
    <w:p w14:paraId="7C677B2A" w14:textId="77777777" w:rsidR="00D72204" w:rsidRPr="00392355" w:rsidRDefault="00000000">
      <w:pPr>
        <w:pStyle w:val="BodyText"/>
      </w:pPr>
      <w:r>
        <w:t xml:space="preserve">For the representativeness correction targeting </w:t>
      </w:r>
      <w:proofErr w:type="spellStart"/>
      <w:r>
        <w:t>supersector</w:t>
      </w:r>
      <w:proofErr w:type="spellEnd"/>
      <w:r>
        <w:t xml:space="preserve"> </w:t>
      </w:r>
      <m:oMath>
        <m:r>
          <m:rPr>
            <m:sty m:val="p"/>
          </m:rPr>
          <w:rPr>
            <w:rFonts w:ascii="Cambria Math" w:hAnsi="Cambria Math"/>
          </w:rPr>
          <m:t>×</m:t>
        </m:r>
      </m:oMath>
      <w:r>
        <w:t xml:space="preserve"> Census region cells, zip code centroids will almost never misassign a Census region, and state-level assignment will be correct in </w:t>
      </w:r>
      <w:proofErr w:type="gramStart"/>
      <w:r>
        <w:t>the vast majority of</w:t>
      </w:r>
      <w:proofErr w:type="gramEnd"/>
      <w:r>
        <w:t xml:space="preserve"> cases (zip codes straddling state lines exist but are negligible in employment terms). The clustering step for identifying enterprise-like clients also remains effective for the cases that matter most: national retail chains, multi-location healthcare systems, and other large multi-establishment firms whose employees span many zip codes. The di</w:t>
      </w:r>
      <w:proofErr w:type="spellStart"/>
      <w:r>
        <w:t>spersion</w:t>
      </w:r>
      <w:proofErr w:type="spellEnd"/>
      <w:r>
        <w:t xml:space="preserve"> signal that distinguishes enterprise-like from establishment-like clients—employees in 50 zip codes versus one—is preserved.</w:t>
      </w:r>
    </w:p>
    <w:p w14:paraId="28ECEC00" w14:textId="77777777" w:rsidR="00D72204" w:rsidRDefault="00000000">
      <w:pPr>
        <w:pStyle w:val="BodyText"/>
      </w:pPr>
      <w:r w:rsidRPr="00392355">
        <w:t>The principal loss is in the Section 3.1 diagnostics for mid-size firms operating 2–3 worksites within the same metro area, where employees at distinct locations may share</w:t>
      </w:r>
      <w:r>
        <w:t xml:space="preserve"> a zip code. For these cases, commuting-distance priors provide a partial substitute: if a zip centroid is within a reasonable commuting radius of the client address for the relevant industry, the client is treated as establishment-like; if not, the dispersion signals a remote </w:t>
      </w:r>
      <w:r>
        <w:lastRenderedPageBreak/>
        <w:t>worksite. Industry-specific commuting norms (shorter for retail, longer for professional services) should inform the distance threshold.</w:t>
      </w:r>
    </w:p>
    <w:p w14:paraId="24268B80" w14:textId="77777777" w:rsidR="00D72204" w:rsidRDefault="00000000">
      <w:pPr>
        <w:pStyle w:val="Heading4"/>
      </w:pPr>
      <w:bookmarkStart w:id="9" w:name="no-employee-or-client-location"/>
      <w:bookmarkEnd w:id="8"/>
      <w:r>
        <w:t>3.3.2 No Employee or Client Location</w:t>
      </w:r>
    </w:p>
    <w:p w14:paraId="75C27C9F" w14:textId="77777777" w:rsidR="00D72204" w:rsidRDefault="00000000">
      <w:pPr>
        <w:pStyle w:val="FirstParagraph"/>
      </w:pPr>
      <w:r>
        <w:t xml:space="preserve">When no location information is available at the employee or client level, pseudo-establishment construction is </w:t>
      </w:r>
      <w:proofErr w:type="gramStart"/>
      <w:r>
        <w:t>impossible</w:t>
      </w:r>
      <w:proofErr w:type="gramEnd"/>
      <w:r>
        <w:t xml:space="preserve"> and geographic allocation must rely entirely on external benchmarks. The available information reduces to the client’s NAICS code and its employment count. The question becomes how to distribute that employment geographically.</w:t>
      </w:r>
    </w:p>
    <w:p w14:paraId="4133D8C5" w14:textId="77777777" w:rsidR="00D72204" w:rsidRDefault="00000000">
      <w:pPr>
        <w:pStyle w:val="BodyText"/>
      </w:pPr>
      <w:r>
        <w:t xml:space="preserve">The natural approach uses QCEW employment shares by state </w:t>
      </w:r>
      <m:oMath>
        <m:r>
          <m:rPr>
            <m:sty m:val="p"/>
          </m:rPr>
          <w:rPr>
            <w:rFonts w:ascii="Cambria Math" w:hAnsi="Cambria Math"/>
          </w:rPr>
          <m:t>×</m:t>
        </m:r>
      </m:oMath>
      <w:r>
        <w:t xml:space="preserve"> industry as an allocation key. Let </w:t>
      </w:r>
      <m:oMath>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n</m:t>
            </m:r>
          </m:sub>
          <m:sup>
            <m:r>
              <m:rPr>
                <m:nor/>
              </m:rPr>
              <m:t>QCEW</m:t>
            </m:r>
          </m:sup>
        </m:sSubSup>
      </m:oMath>
      <w:r>
        <w:t xml:space="preserve"> denote the share of national employment in state </w:t>
      </w:r>
      <m:oMath>
        <m:r>
          <w:rPr>
            <w:rFonts w:ascii="Cambria Math" w:hAnsi="Cambria Math"/>
          </w:rPr>
          <m:t>g</m:t>
        </m:r>
      </m:oMath>
      <w:r>
        <w:t xml:space="preserve"> and industry </w:t>
      </w:r>
      <m:oMath>
        <m:r>
          <w:rPr>
            <w:rFonts w:ascii="Cambria Math" w:hAnsi="Cambria Math"/>
          </w:rPr>
          <m:t>n</m:t>
        </m:r>
      </m:oMath>
      <w:r>
        <w:t xml:space="preserve"> from the most recent QCEW vintage. For a client </w:t>
      </w:r>
      <m:oMath>
        <m:r>
          <w:rPr>
            <w:rFonts w:ascii="Cambria Math" w:hAnsi="Cambria Math"/>
          </w:rPr>
          <m:t>c</m:t>
        </m:r>
      </m:oMath>
      <w:r>
        <w:t xml:space="preserve"> with industry code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and employment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allocated employment to state </w:t>
      </w:r>
      <m:oMath>
        <m:r>
          <w:rPr>
            <w:rFonts w:ascii="Cambria Math" w:hAnsi="Cambria Math"/>
          </w:rPr>
          <m:t>g</m:t>
        </m:r>
      </m:oMath>
      <w:r>
        <w:t xml:space="preserve"> is:</w:t>
      </w:r>
    </w:p>
    <w:p w14:paraId="7D0FE4E4" w14:textId="77777777" w:rsidR="00D72204"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ub>
            <m:sup>
              <m:r>
                <m:rPr>
                  <m:nor/>
                </m:rPr>
                <m:t>QCEW</m:t>
              </m:r>
            </m:sup>
          </m:sSubSup>
        </m:oMath>
      </m:oMathPara>
    </w:p>
    <w:p w14:paraId="65CCEB2C" w14:textId="77777777" w:rsidR="00D72204" w:rsidRDefault="00000000">
      <w:pPr>
        <w:pStyle w:val="FirstParagraph"/>
      </w:pPr>
      <w:r>
        <w:t>This treats every client as if its geographic footprint mirrors the national distribution for its industry—a strong assumption but the best available without location data.</w:t>
      </w:r>
    </w:p>
    <w:p w14:paraId="0166E9DB" w14:textId="77777777" w:rsidR="00D72204" w:rsidRDefault="00000000">
      <w:pPr>
        <w:pStyle w:val="BodyText"/>
      </w:pPr>
      <w:r>
        <w:t xml:space="preserve">The allocation works better for industries with geographically diffuse employment that roughly tracks population (food service, general retail, healthcare) than for industries with strong geographic concentration (mining, technology, finance), where employment will be incorrectly smeared across states. However, at the </w:t>
      </w:r>
      <w:proofErr w:type="spellStart"/>
      <w:r>
        <w:t>supersector</w:t>
      </w:r>
      <w:proofErr w:type="spellEnd"/>
      <w:r>
        <w:t xml:space="preserve"> </w:t>
      </w:r>
      <m:oMath>
        <m:r>
          <m:rPr>
            <m:sty m:val="p"/>
          </m:rPr>
          <w:rPr>
            <w:rFonts w:ascii="Cambria Math" w:hAnsi="Cambria Math"/>
          </w:rPr>
          <m:t>×</m:t>
        </m:r>
      </m:oMath>
      <w:r>
        <w:t xml:space="preserve"> Census region level, allocation errors partially cancel across many clients and the distortion is moderated.</w:t>
      </w:r>
    </w:p>
    <w:p w14:paraId="64261521" w14:textId="77777777" w:rsidR="00D72204" w:rsidRDefault="00000000">
      <w:pPr>
        <w:pStyle w:val="BodyText"/>
      </w:pPr>
      <w:r>
        <w:t xml:space="preserve">Allocation should be performed at the finest available NAICS level (6-digit) and then aggregated upward, rather than allocating at the </w:t>
      </w:r>
      <w:proofErr w:type="spellStart"/>
      <w:r>
        <w:t>supersector</w:t>
      </w:r>
      <w:proofErr w:type="spellEnd"/>
      <w:r>
        <w:t xml:space="preserve"> level directly, because finer industries carry more geographic specificity that is preserved through aggregation.</w:t>
      </w:r>
    </w:p>
    <w:p w14:paraId="24057107" w14:textId="77777777" w:rsidR="00D72204" w:rsidRDefault="00000000">
      <w:pPr>
        <w:pStyle w:val="Heading4"/>
      </w:pPr>
      <w:bookmarkStart w:id="10" w:name="client-state-only"/>
      <w:bookmarkEnd w:id="9"/>
      <w:r>
        <w:t>3.3.3 Client State Only</w:t>
      </w:r>
    </w:p>
    <w:p w14:paraId="7FCDD6E8" w14:textId="77777777" w:rsidR="00D72204" w:rsidRPr="007A6202" w:rsidRDefault="00000000">
      <w:pPr>
        <w:pStyle w:val="FirstParagraph"/>
      </w:pPr>
      <w:r>
        <w:t xml:space="preserve">When only the state in which the client is headquartered is known, the data contain a geographic signal that is </w:t>
      </w:r>
      <w:r w:rsidRPr="007A6202">
        <w:t>informative for small firms but systematically misleading for large ones. This is the headquarters bias problem: a retail chain headquartered in Arkansas has all its employment assigned to Arkansas regardless of where its stores operate.</w:t>
      </w:r>
    </w:p>
    <w:p w14:paraId="16BA796C" w14:textId="77777777" w:rsidR="00D72204" w:rsidRPr="007A6202" w:rsidRDefault="00000000">
      <w:pPr>
        <w:pStyle w:val="BodyText"/>
      </w:pPr>
      <w:r w:rsidRPr="007A6202">
        <w:t xml:space="preserve">For small clients (below a size threshold), the state assignment is likely correct. </w:t>
      </w:r>
      <w:proofErr w:type="gramStart"/>
      <w:r w:rsidRPr="007A6202">
        <w:t>The vast majority of</w:t>
      </w:r>
      <w:proofErr w:type="gramEnd"/>
      <w:r w:rsidRPr="007A6202">
        <w:t xml:space="preserve"> small firms are single-establishment and operate in their headquarters state. For small- and medium-sized enterprise (SME) focused payroll providers, this means most of the client base can be directly assigned without significant distortion.</w:t>
      </w:r>
    </w:p>
    <w:p w14:paraId="0AD0D05F" w14:textId="506A1E2D" w:rsidR="00D72204" w:rsidRPr="007A6202" w:rsidRDefault="00000000">
      <w:pPr>
        <w:pStyle w:val="BodyText"/>
      </w:pPr>
      <w:r w:rsidRPr="007A6202">
        <w:t xml:space="preserve">For large clients above the threshold, the headquarters state is uninformative about where employment </w:t>
      </w:r>
      <w:proofErr w:type="gramStart"/>
      <w:r w:rsidRPr="007A6202">
        <w:t>actually sits</w:t>
      </w:r>
      <w:proofErr w:type="gramEnd"/>
      <w:r w:rsidRPr="007A6202">
        <w:t xml:space="preserve">, and the firm’s total employment will often exceed the QCEW total for that state </w:t>
      </w:r>
      <m:oMath>
        <m:r>
          <m:rPr>
            <m:sty m:val="p"/>
          </m:rPr>
          <w:rPr>
            <w:rFonts w:ascii="Cambria Math" w:hAnsi="Cambria Math"/>
          </w:rPr>
          <m:t>×</m:t>
        </m:r>
      </m:oMath>
      <w:r w:rsidRPr="007A6202">
        <w:t xml:space="preserve"> industry cell—not because of data error, but because the firm is a multi-establishment enterprise whose employment spans many states while being attributed to one. A coverage ratio exceeding 1 in this context is the expected mechanical </w:t>
      </w:r>
      <w:r w:rsidRPr="007A6202">
        <w:lastRenderedPageBreak/>
        <w:t>consequence of attributing firm-level employment to the headquarters state when the firm’s establishments are distributed nationally.</w:t>
      </w:r>
    </w:p>
    <w:p w14:paraId="07D67F77" w14:textId="77777777" w:rsidR="00D72204" w:rsidRDefault="00000000">
      <w:pPr>
        <w:pStyle w:val="BodyText"/>
      </w:pPr>
      <w:r w:rsidRPr="007A6202">
        <w:t>A hybrid allocation addresses this by treating small and</w:t>
      </w:r>
      <w:r>
        <w:t xml:space="preserve"> large clients differently:</w:t>
      </w:r>
    </w:p>
    <w:p w14:paraId="4AE4BF7D" w14:textId="77777777" w:rsidR="00D72204" w:rsidRDefault="00000000">
      <w:pPr>
        <w:pStyle w:val="Compact"/>
        <w:numPr>
          <w:ilvl w:val="0"/>
          <w:numId w:val="7"/>
        </w:numPr>
      </w:pPr>
      <w:r>
        <w:rPr>
          <w:b/>
          <w:bCs/>
        </w:rPr>
        <w:t>Below the size threshold</w:t>
      </w:r>
      <w:r>
        <w:t xml:space="preserve">: Accept the headquarters state assignment. These clients are overwhelmingly </w:t>
      </w:r>
      <w:proofErr w:type="gramStart"/>
      <w:r>
        <w:t>single-establishment</w:t>
      </w:r>
      <w:proofErr w:type="gramEnd"/>
      <w:r>
        <w:t>.</w:t>
      </w:r>
    </w:p>
    <w:p w14:paraId="4492EE49" w14:textId="77777777" w:rsidR="00D72204" w:rsidRDefault="00000000">
      <w:pPr>
        <w:pStyle w:val="Compact"/>
        <w:numPr>
          <w:ilvl w:val="0"/>
          <w:numId w:val="7"/>
        </w:numPr>
      </w:pPr>
      <w:r>
        <w:rPr>
          <w:b/>
          <w:bCs/>
        </w:rPr>
        <w:t>Above the size threshold</w:t>
      </w:r>
      <w:r>
        <w:t xml:space="preserve">: Redistribute employment across states using QCEW state </w:t>
      </w:r>
      <m:oMath>
        <m:r>
          <m:rPr>
            <m:sty m:val="p"/>
          </m:rPr>
          <w:rPr>
            <w:rFonts w:ascii="Cambria Math" w:hAnsi="Cambria Math"/>
          </w:rPr>
          <m:t>×</m:t>
        </m:r>
      </m:oMath>
      <w:r>
        <w:t xml:space="preserve"> industry shares as a prior, optionally anchored to the headquarters state with some weight. Specifically, assign a base share to the headquarters state proportional to QCEW’s share for that state </w:t>
      </w:r>
      <m:oMath>
        <m:r>
          <m:rPr>
            <m:sty m:val="p"/>
          </m:rPr>
          <w:rPr>
            <w:rFonts w:ascii="Cambria Math" w:hAnsi="Cambria Math"/>
          </w:rPr>
          <m:t>×</m:t>
        </m:r>
      </m:oMath>
      <w:r>
        <w:t xml:space="preserve"> industry, then distribute the remainder according to QCEW shares for other states.</w:t>
      </w:r>
    </w:p>
    <w:p w14:paraId="53CC321F" w14:textId="77777777" w:rsidR="00D72204" w:rsidRDefault="00000000">
      <w:pPr>
        <w:pStyle w:val="FirstParagraph"/>
      </w:pPr>
      <w:r>
        <w:t xml:space="preserve">The size threshold itself should be calibrated using QCEW data on multi-establishment versus single-establishment firms by industry and size class. QCEW’s Multiple Worksite Report (MWR) data show that only 4.7% of employers operate multiple establishments, but these account for 45% of national employment. The threshold varies by industry: in retail or food service, even </w:t>
      </w:r>
      <w:proofErr w:type="gramStart"/>
      <w:r>
        <w:t>modestly-sized</w:t>
      </w:r>
      <w:proofErr w:type="gramEnd"/>
      <w:r>
        <w:t xml:space="preserve"> firms are often multi-establishment; in professional services, larger firms may still operate from a single location.</w:t>
      </w:r>
    </w:p>
    <w:p w14:paraId="5BABB3AA" w14:textId="77777777" w:rsidR="00D72204" w:rsidRDefault="00000000">
      <w:pPr>
        <w:pStyle w:val="BodyText"/>
      </w:pPr>
      <w:r>
        <w:t xml:space="preserve">When the provider’s data include some clients with full location information (geocodes or zip codes) alongside others with only headquarters state, the observed relationship between firm size and geographic dispersion by industry for the located clients can be used to calibrate the redistribution for unlocated clients. This amounts to a </w:t>
      </w:r>
      <w:proofErr w:type="gramStart"/>
      <w:r>
        <w:t>missing-data</w:t>
      </w:r>
      <w:proofErr w:type="gramEnd"/>
      <w:r>
        <w:t xml:space="preserve"> model where observed clients inform the allocation of unobserved ones.</w:t>
      </w:r>
    </w:p>
    <w:p w14:paraId="651869E1" w14:textId="77777777" w:rsidR="00D72204" w:rsidRDefault="00000000">
      <w:pPr>
        <w:pStyle w:val="Heading4"/>
      </w:pPr>
      <w:bookmarkStart w:id="11" w:name="coverage-ratios-exceeding-unity"/>
      <w:bookmarkEnd w:id="10"/>
      <w:r>
        <w:t>3.3.4 Coverage Ratios Exceeding Unity</w:t>
      </w:r>
    </w:p>
    <w:p w14:paraId="74A2D6DE" w14:textId="77777777" w:rsidR="00D72204" w:rsidRDefault="00000000">
      <w:pPr>
        <w:pStyle w:val="FirstParagraph"/>
      </w:pPr>
      <w:r>
        <w:t xml:space="preserve">Under degraded location information—particularly in the state-only regime—cell-level coverage ratios (payroll employment divided by QCEW employment) may exceed 1. This does not necessarily indicate misclassification. When the payroll client is a firm rather than an establishment, its total employment may exceed the QCEW total for the headquarters state </w:t>
      </w:r>
      <m:oMath>
        <m:r>
          <m:rPr>
            <m:sty m:val="p"/>
          </m:rPr>
          <w:rPr>
            <w:rFonts w:ascii="Cambria Math" w:hAnsi="Cambria Math"/>
          </w:rPr>
          <m:t>×</m:t>
        </m:r>
      </m:oMath>
      <w:r>
        <w:t xml:space="preserve"> industry cell simply because the firm operates establishments across many states while all its employment has been attributed to one.</w:t>
      </w:r>
    </w:p>
    <w:p w14:paraId="261A05B3" w14:textId="77777777" w:rsidR="00D72204" w:rsidRDefault="00000000">
      <w:pPr>
        <w:pStyle w:val="BodyText"/>
      </w:pPr>
      <w:r>
        <w:t xml:space="preserve">Ratios exceeding 1 are </w:t>
      </w:r>
      <w:r w:rsidRPr="007A6202">
        <w:t>the expected outcome for large</w:t>
      </w:r>
      <w:r>
        <w:t xml:space="preserve"> multi-establishment firms under headquarters-state assignment and should be treated as the primary signal that redistribution is needed, not as an anomaly to be suppressed. Nevertheless, several factors may contribute, and the appropriate remedy depends on the cause:</w:t>
      </w:r>
    </w:p>
    <w:p w14:paraId="4F597207" w14:textId="77777777" w:rsidR="00D72204" w:rsidRDefault="00000000">
      <w:pPr>
        <w:pStyle w:val="BodyText"/>
      </w:pPr>
      <w:r>
        <w:rPr>
          <w:b/>
          <w:bCs/>
        </w:rPr>
        <w:t>Firm–establishment mismatch (primary cause).</w:t>
      </w:r>
      <w:r>
        <w:t xml:space="preserve"> The client’s total firm employment exceeds the establishment-level QCEW total for the assigned cell because the firm’s worksites span geographies not captured in the assignment. This is remedied by the hybrid allocation described in Section 3.3.3.</w:t>
      </w:r>
    </w:p>
    <w:p w14:paraId="357853C1" w14:textId="77777777" w:rsidR="00D72204" w:rsidRDefault="00000000">
      <w:pPr>
        <w:pStyle w:val="BodyText"/>
      </w:pPr>
      <w:r>
        <w:rPr>
          <w:b/>
          <w:bCs/>
        </w:rPr>
        <w:t>NAICS misclassification.</w:t>
      </w:r>
      <w:r>
        <w:t xml:space="preserve"> At fine NAICS granularity (6-digit), some cells are genuinely small, and even a moderately-sized client with an incorrect industry code can exceed the </w:t>
      </w:r>
      <w:r>
        <w:lastRenderedPageBreak/>
        <w:t>cell total. Persistent ratios exceeding 1 at fine granularity after redistribution may serve as diagnostic flags for NAICS code auditing.</w:t>
      </w:r>
    </w:p>
    <w:p w14:paraId="6431EB74" w14:textId="77777777" w:rsidR="00D72204" w:rsidRDefault="00000000">
      <w:pPr>
        <w:pStyle w:val="BodyText"/>
      </w:pPr>
      <w:r>
        <w:rPr>
          <w:b/>
          <w:bCs/>
        </w:rPr>
        <w:t>Stale QCEW shares.</w:t>
      </w:r>
      <w:r>
        <w:t xml:space="preserve"> If the most recent QCEW vintage is from a prior year and the industry has grown rapidly in a particular state, the denominator may be too small. This is especially relevant for fast-growing industries or states and is addressed by using the most current QCEW vintage available and recognizing that allocation precision degrades as the QCEW anchor ages.</w:t>
      </w:r>
    </w:p>
    <w:p w14:paraId="6A22A0E6" w14:textId="77777777" w:rsidR="00D72204" w:rsidRDefault="00000000">
      <w:pPr>
        <w:pStyle w:val="BodyText"/>
      </w:pPr>
      <w:r>
        <w:t>Several remedies address the mechanical consequences:</w:t>
      </w:r>
    </w:p>
    <w:p w14:paraId="4D8376A3" w14:textId="77777777" w:rsidR="00D72204" w:rsidRDefault="00000000">
      <w:pPr>
        <w:pStyle w:val="BodyText"/>
      </w:pPr>
      <w:r>
        <w:rPr>
          <w:b/>
          <w:bCs/>
        </w:rPr>
        <w:t>Aggregate to coarser cells.</w:t>
      </w:r>
      <w:r>
        <w:t xml:space="preserve"> At 6-digit NAICS </w:t>
      </w:r>
      <m:oMath>
        <m:r>
          <m:rPr>
            <m:sty m:val="p"/>
          </m:rPr>
          <w:rPr>
            <w:rFonts w:ascii="Cambria Math" w:hAnsi="Cambria Math"/>
          </w:rPr>
          <m:t>×</m:t>
        </m:r>
      </m:oMath>
      <w:r>
        <w:t xml:space="preserve"> state, many cells are small enough that ratios above 1 are common. At supersector </w:t>
      </w:r>
      <m:oMath>
        <m:r>
          <m:rPr>
            <m:sty m:val="p"/>
          </m:rPr>
          <w:rPr>
            <w:rFonts w:ascii="Cambria Math" w:hAnsi="Cambria Math"/>
          </w:rPr>
          <m:t>×</m:t>
        </m:r>
      </m:oMath>
      <w:r>
        <w:t xml:space="preserve"> Census region—the aggregation level targeted by the representativeness correction—cells are large enough that ratios above 1 become rare, resolving most cases mechanically.</w:t>
      </w:r>
    </w:p>
    <w:p w14:paraId="476B384F" w14:textId="77777777" w:rsidR="00D72204" w:rsidRDefault="00000000">
      <w:pPr>
        <w:pStyle w:val="BodyText"/>
      </w:pPr>
      <w:r>
        <w:rPr>
          <w:b/>
          <w:bCs/>
        </w:rPr>
        <w:t>Iterative proportional fitting (raking).</w:t>
      </w:r>
      <w:r>
        <w:t xml:space="preserve"> Treat the allocation as a two-dimensional margins problem with known provider employment totals by industry (from NAICS codes) and known QCEW state </w:t>
      </w:r>
      <m:oMath>
        <m:r>
          <m:rPr>
            <m:sty m:val="p"/>
          </m:rPr>
          <w:rPr>
            <w:rFonts w:ascii="Cambria Math" w:hAnsi="Cambria Math"/>
          </w:rPr>
          <m:t>×</m:t>
        </m:r>
      </m:oMath>
      <w:r>
        <w:t xml:space="preserve"> industry population totals. Raking iteratively rescales rows and columns until convergence and can incorporate upper-bound constraints that prevent any cell from exceeding its QCEW total (or a specified multiple reflecting the provider’s national coverage rate). This produces an internally consistent allocation that respects both the industry composition of the provider’s client base and the geographic structure of official employment.</w:t>
      </w:r>
    </w:p>
    <w:p w14:paraId="775C1A85" w14:textId="77777777" w:rsidR="00D72204" w:rsidRDefault="00000000">
      <w:pPr>
        <w:pStyle w:val="BodyText"/>
      </w:pPr>
      <w:r>
        <w:rPr>
          <w:b/>
          <w:bCs/>
        </w:rPr>
        <w:t>Two-stage raking.</w:t>
      </w:r>
      <w:r>
        <w:t xml:space="preserve"> The hybrid allocation motivates a two-stage approach: first, for clients below the size threshold, accept the state assignment and let them contribute directly to coverage ratios; second, for clients above the threshold, redistribute using QCEW shares as a prior and then rake the combined result to QCEW margins. This preserves the high-quality information from small single-establishment clients while preventing large multi-establishment firms from distorting cell-level coverage.</w:t>
      </w:r>
    </w:p>
    <w:p w14:paraId="237248C5" w14:textId="77777777" w:rsidR="00D72204" w:rsidRDefault="00000000">
      <w:pPr>
        <w:pStyle w:val="BodyText"/>
      </w:pPr>
      <w:r>
        <w:rPr>
          <w:b/>
          <w:bCs/>
        </w:rPr>
        <w:t>Bayesian shrinkage.</w:t>
      </w:r>
      <w:r>
        <w:t xml:space="preserve"> Rather than hard allocation followed by capping, model the allocation probabilistically by placing a Dirichlet prior on the state distribution for each industry (informed by QCEW shares) and updating with observed data (headquarters state, any partial location information). Cells where the posterior allocation exceeds the QCEW total are automatically penalized because the likelihood of observing that much employment in a small cell is low. This approach integrates naturally with the Bayesian framework described in Section 6.</w:t>
      </w:r>
    </w:p>
    <w:p w14:paraId="725E68FB" w14:textId="77777777" w:rsidR="00D72204" w:rsidRDefault="00000000">
      <w:pPr>
        <w:pStyle w:val="Heading4"/>
      </w:pPr>
      <w:bookmarkStart w:id="12" w:name="Xc3473a835aee46af2db0814b0dec282b1ec0b74"/>
      <w:bookmarkEnd w:id="11"/>
      <w:r>
        <w:t>3.3.5 Downstream Consequences for Representativeness Assessment</w:t>
      </w:r>
    </w:p>
    <w:p w14:paraId="2AEE66F6" w14:textId="77777777" w:rsidR="00D72204" w:rsidRDefault="00000000">
      <w:pPr>
        <w:pStyle w:val="FirstParagraph"/>
      </w:pPr>
      <w:r>
        <w:t xml:space="preserve">The degradation cascade affects not only geographic allocation but also the diagnostics described in the companion evaluation methodology. Coverage ratios computed under degraded location information reflect the allocation assumptions rather than true coverage. The shift-share decomposition of growth divergence into composition and within-cell effects (Section III.B of the evaluation methodology) becomes unreliable </w:t>
      </w:r>
      <w:r>
        <w:lastRenderedPageBreak/>
        <w:t xml:space="preserve">because the composition weights </w:t>
      </w:r>
      <m:oMath>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payroll</m:t>
            </m:r>
          </m:sup>
        </m:sSubSup>
      </m:oMath>
      <w:r>
        <w:t xml:space="preserve"> absorb geographic misallocation on top of genuine compositional differences. Similarly, the cell-level reliability classification (reliable, marginal, insufficient) should be </w:t>
      </w:r>
      <w:r w:rsidRPr="007A6202">
        <w:t>computed after any redistribution step, not before, to avoid marking headquarters states as reliable and branch</w:t>
      </w:r>
      <w:r>
        <w:t>-operation states as insufficient when the true coverage pattern may be the reverse.</w:t>
      </w:r>
    </w:p>
    <w:p w14:paraId="16F0B5EC" w14:textId="77777777" w:rsidR="00D72204" w:rsidRDefault="00000000">
      <w:pPr>
        <w:pStyle w:val="BodyText"/>
      </w:pPr>
      <w:r>
        <w:t>The temporal stability of redistributed coverage ratios provides a useful cross-check. If QCEW-share-based allocation produces coverage ratios that are stable over time, the allocation is likely reasonable. If ratios jump at business cycle frequencies, it may indicate that firm-level geographic footprints are shifting in ways that static QCEW shares do not capture, flagging cells for aggregation to coarser levels or for closer investigation.</w:t>
      </w:r>
    </w:p>
    <w:p w14:paraId="2B7FEE4F" w14:textId="77777777" w:rsidR="00D72204" w:rsidRDefault="00000000">
      <w:pPr>
        <w:pStyle w:val="BodyText"/>
      </w:pPr>
      <w:r>
        <w:t xml:space="preserve">As a practical matter, when location information is limited to the state level, restricting the geographic analysis to the subset of small clients where client </w:t>
      </w:r>
      <m:oMath>
        <m:r>
          <m:rPr>
            <m:sty m:val="p"/>
          </m:rPr>
          <w:rPr>
            <w:rFonts w:ascii="Cambria Math" w:hAnsi="Cambria Math"/>
          </w:rPr>
          <m:t>≈</m:t>
        </m:r>
      </m:oMath>
      <w:r>
        <w:t xml:space="preserve"> establishment—which for SME-focused providers constitutes the core of the client base—may be preferable to applying allocation assumptions to the full sample. Large multi-establishment clients can still contribute to national industry-level signals without being forced into a geographic decomposition that the data cannot support.</w:t>
      </w:r>
    </w:p>
    <w:p w14:paraId="5AB89133" w14:textId="77777777" w:rsidR="00392355" w:rsidRDefault="00392355">
      <w:pPr>
        <w:pStyle w:val="Heading2"/>
      </w:pPr>
      <w:bookmarkStart w:id="13" w:name="Xe977073facf07191ed84f0e7d744204db38607a"/>
      <w:bookmarkEnd w:id="4"/>
      <w:bookmarkEnd w:id="7"/>
      <w:bookmarkEnd w:id="12"/>
    </w:p>
    <w:p w14:paraId="65E622CA" w14:textId="45DD6D58" w:rsidR="00D72204" w:rsidRDefault="00000000">
      <w:pPr>
        <w:pStyle w:val="Heading2"/>
      </w:pPr>
      <w:r>
        <w:t>4. Sample Dynamics: Onboarding, Churn, and Administrative Artifacts</w:t>
      </w:r>
    </w:p>
    <w:p w14:paraId="48D19445" w14:textId="77777777" w:rsidR="00D72204" w:rsidRDefault="00000000">
      <w:pPr>
        <w:pStyle w:val="FirstParagraph"/>
      </w:pPr>
      <w:r>
        <w:t>Payroll-provider data differ from CES in a critical respect: the set of continuing units is not conditionally static. Clients inevitably enter and exit the provider for administrative reasons (vendor switching, mergers, contract churn) that are unrelated to true economic hiring or separations.</w:t>
      </w:r>
    </w:p>
    <w:p w14:paraId="2B3202B2" w14:textId="77777777" w:rsidR="00D72204" w:rsidRDefault="00000000">
      <w:pPr>
        <w:pStyle w:val="BodyText"/>
      </w:pPr>
      <w:r>
        <w:t>Additionally, clients do not onboard (or offboard) their employees all at once. If onboarding and paying their employees is a multi-period process, any onboarding after the first period will appear as economic growth rather than administrative change.</w:t>
      </w:r>
    </w:p>
    <w:p w14:paraId="389E2228" w14:textId="77777777" w:rsidR="00D72204" w:rsidRDefault="00000000">
      <w:pPr>
        <w:pStyle w:val="BodyText"/>
      </w:pPr>
      <w:r>
        <w:t>If untreated, this client churn mechanically generates positive and negative employment changes that are purely administrative artifacts. In contrast to CES—where the sample is fixed by design—client entry and exit and slow-onboarding and offboarding in payroll data must be explicitly excluded from employment growth measurement.</w:t>
      </w:r>
    </w:p>
    <w:p w14:paraId="25913AEA" w14:textId="77777777" w:rsidR="00D72204" w:rsidRDefault="00000000">
      <w:pPr>
        <w:pStyle w:val="BodyText"/>
      </w:pPr>
      <w:r>
        <w:t>Accordingly, client churn is treated as measurement noise, not as employment dynamics.</w:t>
      </w:r>
    </w:p>
    <w:p w14:paraId="4F8DE971" w14:textId="77777777" w:rsidR="00D72204" w:rsidRDefault="00000000">
      <w:pPr>
        <w:pStyle w:val="Heading3"/>
      </w:pPr>
      <w:bookmarkStart w:id="14" w:name="rotating-frozen-measurement-panels"/>
      <w:r>
        <w:t>4.1 Rotating, Frozen Measurement Panels</w:t>
      </w:r>
    </w:p>
    <w:p w14:paraId="12416401" w14:textId="77777777" w:rsidR="00D72204" w:rsidRDefault="00000000">
      <w:pPr>
        <w:pStyle w:val="FirstParagraph"/>
      </w:pPr>
      <w:r>
        <w:t>To isolate within-firm employment change while preserving representativeness, we construct rotating but internally static measurement panels. Clients become eligible for inclusion only after satisfying a tenure requirement that suppresses onboarding ramps.</w:t>
      </w:r>
    </w:p>
    <w:p w14:paraId="71A62691" w14:textId="77777777" w:rsidR="00D72204" w:rsidRDefault="00000000">
      <w:pPr>
        <w:pStyle w:val="BodyText"/>
      </w:pPr>
      <w:r>
        <w:t>At fixed intervals (e.g., quarterly), a measurement panel is defined consisting of all eligible clients as of the panel start date. This panel is then frozen for the duration of the interval:</w:t>
      </w:r>
    </w:p>
    <w:p w14:paraId="0E228F53" w14:textId="77777777" w:rsidR="00D72204" w:rsidRDefault="00000000">
      <w:pPr>
        <w:pStyle w:val="Compact"/>
        <w:numPr>
          <w:ilvl w:val="0"/>
          <w:numId w:val="8"/>
        </w:numPr>
      </w:pPr>
      <w:r>
        <w:lastRenderedPageBreak/>
        <w:t>No new clients are added mid-period, even if they subsequently satisfy eligibility criteria.</w:t>
      </w:r>
    </w:p>
    <w:p w14:paraId="5EE1265D" w14:textId="77777777" w:rsidR="00D72204" w:rsidRDefault="00000000">
      <w:pPr>
        <w:pStyle w:val="Compact"/>
        <w:numPr>
          <w:ilvl w:val="0"/>
          <w:numId w:val="8"/>
        </w:numPr>
      </w:pPr>
      <w:r>
        <w:t>Clients exiting the provider are removed from the panel without contributing to negative employment change.</w:t>
      </w:r>
    </w:p>
    <w:p w14:paraId="7E899500" w14:textId="77777777" w:rsidR="00D72204" w:rsidRDefault="00000000">
      <w:pPr>
        <w:pStyle w:val="FirstParagraph"/>
      </w:pPr>
      <w:r>
        <w:t>Within each panel, employment growth is computed using a CES-style continuing-unit estimator based solely on matched observations across consecutive periods. This ensures that measured growth reflects only within-firm employment change for surviving employers.</w:t>
      </w:r>
    </w:p>
    <w:p w14:paraId="7F260B52" w14:textId="77777777" w:rsidR="00D72204" w:rsidRDefault="00000000">
      <w:pPr>
        <w:pStyle w:val="BodyText"/>
      </w:pPr>
      <w:r>
        <w:t>This design prevents:</w:t>
      </w:r>
    </w:p>
    <w:p w14:paraId="718D3F66" w14:textId="77777777" w:rsidR="00D72204" w:rsidRDefault="00000000">
      <w:pPr>
        <w:pStyle w:val="Compact"/>
        <w:numPr>
          <w:ilvl w:val="0"/>
          <w:numId w:val="9"/>
        </w:numPr>
      </w:pPr>
      <w:r>
        <w:t>Artificial growth from client onboarding or provider expansion</w:t>
      </w:r>
    </w:p>
    <w:p w14:paraId="52C61A93" w14:textId="77777777" w:rsidR="00D72204" w:rsidRDefault="00000000">
      <w:pPr>
        <w:pStyle w:val="Compact"/>
        <w:numPr>
          <w:ilvl w:val="0"/>
          <w:numId w:val="9"/>
        </w:numPr>
      </w:pPr>
      <w:r>
        <w:t>Artificial contraction from administrative client churn</w:t>
      </w:r>
    </w:p>
    <w:p w14:paraId="14F6503F" w14:textId="77777777" w:rsidR="00D72204" w:rsidRDefault="00000000">
      <w:pPr>
        <w:pStyle w:val="Compact"/>
        <w:numPr>
          <w:ilvl w:val="0"/>
          <w:numId w:val="9"/>
        </w:numPr>
      </w:pPr>
      <w:r>
        <w:t>Survivorship bias arising from permanently fixed cohorts</w:t>
      </w:r>
    </w:p>
    <w:p w14:paraId="4871485E" w14:textId="77777777" w:rsidR="00D72204" w:rsidRDefault="00000000">
      <w:pPr>
        <w:pStyle w:val="FirstParagraph"/>
      </w:pPr>
      <w:r>
        <w:t>The rotating-panel structure closely mirrors CES sample refresh procedures while respecting the realities of payroll-provider data generation.</w:t>
      </w:r>
    </w:p>
    <w:p w14:paraId="3CF222ED" w14:textId="77777777" w:rsidR="00D72204" w:rsidRDefault="00000000">
      <w:pPr>
        <w:pStyle w:val="Heading3"/>
      </w:pPr>
      <w:bookmarkStart w:id="15" w:name="client-stabilization"/>
      <w:bookmarkEnd w:id="14"/>
      <w:r>
        <w:t>4.2 Client Stabilization</w:t>
      </w:r>
    </w:p>
    <w:p w14:paraId="3032C3B4" w14:textId="77777777" w:rsidR="00D72204" w:rsidRDefault="00000000">
      <w:pPr>
        <w:pStyle w:val="FirstParagraph"/>
      </w:pPr>
      <w:r>
        <w:t>Slow onboarding can generate spurious growth as employees migrate to the new payroll system over multiple periods. The following methods identify this phenomenon. Only after this initial ramp-up should a client be eligible for inclusion in a panel.</w:t>
      </w:r>
    </w:p>
    <w:p w14:paraId="268A8F8F" w14:textId="77777777" w:rsidR="00D72204" w:rsidRDefault="00000000">
      <w:pPr>
        <w:pStyle w:val="BodyText"/>
      </w:pPr>
      <w:r>
        <w:t>Two methods to determine stability are:</w:t>
      </w:r>
    </w:p>
    <w:p w14:paraId="2CB21926" w14:textId="77777777" w:rsidR="00D72204" w:rsidRDefault="00000000">
      <w:pPr>
        <w:pStyle w:val="Heading4"/>
      </w:pPr>
      <w:bookmarkStart w:id="16" w:name="tenure-based-stabilization"/>
      <w:r>
        <w:t>4.2.1 Tenure-Based Stabilization</w:t>
      </w:r>
    </w:p>
    <w:p w14:paraId="477B831F" w14:textId="77777777" w:rsidR="00D72204" w:rsidRDefault="00000000">
      <w:pPr>
        <w:pStyle w:val="FirstParagraph"/>
      </w:pPr>
      <w:r>
        <w:t xml:space="preserve">A basic correction requires multi-period presence before a unit is treated as stable. For example, a unit may be required to appear in </w:t>
      </w:r>
      <m:oMath>
        <m:r>
          <w:rPr>
            <w:rFonts w:ascii="Cambria Math" w:hAnsi="Cambria Math"/>
          </w:rPr>
          <m:t>K</m:t>
        </m:r>
      </m:oMath>
      <w:r>
        <w:t xml:space="preserve"> consecutive periods before contributing to growth:</w:t>
      </w:r>
    </w:p>
    <w:p w14:paraId="68621E91" w14:textId="77777777" w:rsidR="00D72204" w:rsidRDefault="00000000">
      <w:pPr>
        <w:pStyle w:val="BodyText"/>
      </w:pPr>
      <m:oMathPara>
        <m:oMathParaPr>
          <m:jc m:val="center"/>
        </m:oMathParaP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stable</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K</m:t>
              </m:r>
            </m:e>
          </m:d>
        </m:oMath>
      </m:oMathPara>
    </w:p>
    <w:p w14:paraId="173B8682" w14:textId="77777777" w:rsidR="00D72204" w:rsidRDefault="00000000">
      <w:pPr>
        <w:pStyle w:val="Heading4"/>
      </w:pPr>
      <w:bookmarkStart w:id="17" w:name="change-point-detection"/>
      <w:bookmarkEnd w:id="16"/>
      <w:r>
        <w:t>4.2.2 Change-Point Detection</w:t>
      </w:r>
    </w:p>
    <w:p w14:paraId="61A3D6EE" w14:textId="77777777" w:rsidR="00D72204" w:rsidRDefault="00000000">
      <w:pPr>
        <w:pStyle w:val="FirstParagraph"/>
      </w:pPr>
      <w:r>
        <w:t xml:space="preserve">Statistical change-point methods are used to detect transitions from onboarding to steady-state regimes. Let </w:t>
      </w:r>
      <m:oMath>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Sub>
      </m:oMath>
      <w:r>
        <w:t xml:space="preserve"> denote employment for unit </w:t>
      </w:r>
      <m:oMath>
        <m:r>
          <w:rPr>
            <w:rFonts w:ascii="Cambria Math" w:hAnsi="Cambria Math"/>
          </w:rPr>
          <m:t>j</m:t>
        </m:r>
      </m:oMath>
      <w:r>
        <w:t xml:space="preserve">. A change-point model </w:t>
      </w:r>
      <w:proofErr w:type="gramStart"/>
      <w:r>
        <w:t>estimates</w:t>
      </w:r>
      <w:proofErr w:type="gramEnd"/>
      <w:r>
        <w:t>:</w:t>
      </w:r>
    </w:p>
    <w:p w14:paraId="65796105" w14:textId="77777777" w:rsidR="00D72204"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 xml:space="preserve">regime change at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e>
          </m:d>
        </m:oMath>
      </m:oMathPara>
    </w:p>
    <w:p w14:paraId="7C8BE09E" w14:textId="77777777" w:rsidR="00D72204" w:rsidRDefault="00000000">
      <w:pPr>
        <w:pStyle w:val="FirstParagraph"/>
      </w:pPr>
      <w:r>
        <w:t>Units are classified as stable once the posterior probability of being past an onboarding regime exceeds a threshold. This reduces reliance on arbitrary tenure rules and allows probabilistic classification.</w:t>
      </w:r>
    </w:p>
    <w:p w14:paraId="1D350B81" w14:textId="77777777" w:rsidR="00D72204" w:rsidRDefault="00000000">
      <w:pPr>
        <w:pStyle w:val="Heading2"/>
      </w:pPr>
      <w:bookmarkStart w:id="18" w:name="Xb02079880a58430eafc669b0541784ab8616e40"/>
      <w:bookmarkEnd w:id="13"/>
      <w:bookmarkEnd w:id="15"/>
      <w:bookmarkEnd w:id="17"/>
      <w:r>
        <w:lastRenderedPageBreak/>
        <w:t>5. Representativeness, Size Class, and Calibration</w:t>
      </w:r>
    </w:p>
    <w:p w14:paraId="17072251" w14:textId="77777777" w:rsidR="00D72204" w:rsidRDefault="00000000">
      <w:pPr>
        <w:pStyle w:val="FirstParagraph"/>
      </w:pPr>
      <w:r>
        <w:t>Most payroll provider convenience samples are systematically skewed toward small and medium-sized clients. Size class affects:</w:t>
      </w:r>
    </w:p>
    <w:p w14:paraId="07BC37B9" w14:textId="77777777" w:rsidR="00D72204" w:rsidRDefault="00000000">
      <w:pPr>
        <w:pStyle w:val="Compact"/>
        <w:numPr>
          <w:ilvl w:val="0"/>
          <w:numId w:val="10"/>
        </w:numPr>
      </w:pPr>
      <w:r>
        <w:t>Coverage rates</w:t>
      </w:r>
    </w:p>
    <w:p w14:paraId="5AB273D2" w14:textId="77777777" w:rsidR="00D72204" w:rsidRDefault="00000000">
      <w:pPr>
        <w:pStyle w:val="Compact"/>
        <w:numPr>
          <w:ilvl w:val="0"/>
          <w:numId w:val="10"/>
        </w:numPr>
      </w:pPr>
      <w:r>
        <w:t>Growth dynamics</w:t>
      </w:r>
    </w:p>
    <w:p w14:paraId="0B12214C" w14:textId="77777777" w:rsidR="00D72204" w:rsidRDefault="00000000">
      <w:pPr>
        <w:pStyle w:val="Compact"/>
        <w:numPr>
          <w:ilvl w:val="0"/>
          <w:numId w:val="10"/>
        </w:numPr>
      </w:pPr>
      <w:r>
        <w:t>Churn and onboarding behavior</w:t>
      </w:r>
    </w:p>
    <w:p w14:paraId="51942A90" w14:textId="77777777" w:rsidR="00D72204" w:rsidRDefault="00000000">
      <w:pPr>
        <w:pStyle w:val="Compact"/>
        <w:numPr>
          <w:ilvl w:val="0"/>
          <w:numId w:val="10"/>
        </w:numPr>
      </w:pPr>
      <w:r>
        <w:t>Birth/death intensity</w:t>
      </w:r>
    </w:p>
    <w:p w14:paraId="3C31BADE" w14:textId="77777777" w:rsidR="00D72204" w:rsidRDefault="00000000">
      <w:pPr>
        <w:pStyle w:val="FirstParagraph"/>
      </w:pPr>
      <w:r>
        <w:t>Accordingly, size class must be treated as a first-class dimension in both calibration and modeling, alongside geography and industry.</w:t>
      </w:r>
    </w:p>
    <w:p w14:paraId="5ADAA758" w14:textId="77777777" w:rsidR="00D72204" w:rsidRDefault="00000000">
      <w:pPr>
        <w:pStyle w:val="BodyText"/>
      </w:pPr>
      <w:r>
        <w:t>Benchmarking to QCEW is implemented over calibration cells defined by:</w:t>
      </w:r>
    </w:p>
    <w:p w14:paraId="1152CCDD" w14:textId="77777777" w:rsidR="00D72204" w:rsidRDefault="00000000">
      <w:pPr>
        <w:pStyle w:val="BodyText"/>
      </w:pPr>
      <m:oMathPara>
        <m:oMathParaPr>
          <m:jc m:val="center"/>
        </m:oMathParaPr>
        <m:oMath>
          <m:r>
            <m:rPr>
              <m:nor/>
            </m:rPr>
            <m:t>Cell</m:t>
          </m:r>
          <m:r>
            <m:rPr>
              <m:sty m:val="p"/>
            </m:rPr>
            <w:rPr>
              <w:rFonts w:ascii="Cambria Math" w:hAnsi="Cambria Math"/>
            </w:rPr>
            <m:t>=</m:t>
          </m:r>
          <m:d>
            <m:dPr>
              <m:ctrlPr>
                <w:rPr>
                  <w:rFonts w:ascii="Cambria Math" w:hAnsi="Cambria Math"/>
                </w:rPr>
              </m:ctrlPr>
            </m:dPr>
            <m:e>
              <m:r>
                <m:rPr>
                  <m:nor/>
                </m:rPr>
                <m:t>state</m:t>
              </m:r>
              <m:r>
                <m:rPr>
                  <m:sty m:val="p"/>
                </m:rPr>
                <w:rPr>
                  <w:rFonts w:ascii="Cambria Math" w:hAnsi="Cambria Math"/>
                </w:rPr>
                <m:t>,</m:t>
              </m:r>
              <m:r>
                <w:rPr>
                  <w:rFonts w:ascii="Cambria Math" w:hAnsi="Cambria Math"/>
                </w:rPr>
                <m:t> </m:t>
              </m:r>
              <m:r>
                <m:rPr>
                  <m:nor/>
                </m:rPr>
                <m:t>industry</m:t>
              </m:r>
              <m:r>
                <m:rPr>
                  <m:sty m:val="p"/>
                </m:rPr>
                <w:rPr>
                  <w:rFonts w:ascii="Cambria Math" w:hAnsi="Cambria Math"/>
                </w:rPr>
                <m:t>,</m:t>
              </m:r>
              <m:r>
                <w:rPr>
                  <w:rFonts w:ascii="Cambria Math" w:hAnsi="Cambria Math"/>
                </w:rPr>
                <m:t> </m:t>
              </m:r>
              <m:r>
                <m:rPr>
                  <m:nor/>
                </m:rPr>
                <m:t>size class</m:t>
              </m:r>
            </m:e>
          </m:d>
        </m:oMath>
      </m:oMathPara>
    </w:p>
    <w:p w14:paraId="3089F15C" w14:textId="77777777" w:rsidR="00D72204" w:rsidRDefault="00000000">
      <w:pPr>
        <w:pStyle w:val="FirstParagraph"/>
      </w:pPr>
      <w:r>
        <w:t xml:space="preserve">Let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denote calibration weights for cell </w:t>
      </w:r>
      <m:oMath>
        <m:r>
          <w:rPr>
            <w:rFonts w:ascii="Cambria Math" w:hAnsi="Cambria Math"/>
          </w:rPr>
          <m:t>j</m:t>
        </m:r>
      </m:oMath>
      <w:r>
        <w:t>. Conceptually:</w:t>
      </w:r>
    </w:p>
    <w:p w14:paraId="36FD1D4E" w14:textId="77777777" w:rsidR="00D72204"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cell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payroll</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m:t>
              </m:r>
              <m:r>
                <m:rPr>
                  <m:sty m:val="p"/>
                </m:rPr>
                <w:rPr>
                  <w:rFonts w:ascii="Cambria Math" w:hAnsi="Cambria Math"/>
                </w:rPr>
                <m:t>,</m:t>
              </m:r>
              <m:r>
                <w:rPr>
                  <w:rFonts w:ascii="Cambria Math" w:hAnsi="Cambria Math"/>
                </w:rPr>
                <m:t>t</m:t>
              </m:r>
              <m:r>
                <m:rPr>
                  <m:scr m:val="script"/>
                  <m:sty m:val="p"/>
                </m:rPr>
                <w:rPr>
                  <w:rFonts w:ascii="Cambria Math" w:hAnsi="Cambria Math"/>
                </w:rPr>
                <m:t>-l</m:t>
              </m:r>
            </m:sub>
            <m:sup>
              <m:r>
                <m:rPr>
                  <m:nor/>
                </m:rPr>
                <m:t>QCEW</m:t>
              </m:r>
            </m:sup>
          </m:sSubSup>
        </m:oMath>
      </m:oMathPara>
    </w:p>
    <w:p w14:paraId="275A0CBC" w14:textId="77777777" w:rsidR="00D72204" w:rsidRDefault="00000000">
      <w:pPr>
        <w:pStyle w:val="FirstParagraph"/>
      </w:pPr>
      <w:r>
        <w:t xml:space="preserve">Where </w:t>
      </w:r>
      <m:oMath>
        <m:r>
          <m:rPr>
            <m:scr m:val="script"/>
            <m:sty m:val="p"/>
          </m:rPr>
          <w:rPr>
            <w:rFonts w:ascii="Cambria Math" w:hAnsi="Cambria Math"/>
          </w:rPr>
          <m:t>l</m:t>
        </m:r>
      </m:oMath>
      <w:r>
        <w:t xml:space="preserve"> denotes the QCEW publication lag. Size-class stratification is essential to avoid systematic bias arising from the overrepresentation of small firms in payroll data.</w:t>
      </w:r>
    </w:p>
    <w:p w14:paraId="44A74224" w14:textId="77777777" w:rsidR="00D72204" w:rsidRDefault="00000000">
      <w:pPr>
        <w:pStyle w:val="BodyText"/>
      </w:pPr>
      <w:r>
        <w:t xml:space="preserve">When location information is degraded (Section 3.3), the calibration cell definition may need to be adapted. Under the state-only regime, calibration cells for small clients (where client </w:t>
      </w:r>
      <m:oMath>
        <m:r>
          <m:rPr>
            <m:sty m:val="p"/>
          </m:rPr>
          <w:rPr>
            <w:rFonts w:ascii="Cambria Math" w:hAnsi="Cambria Math"/>
          </w:rPr>
          <m:t>≈</m:t>
        </m:r>
      </m:oMath>
      <w:r>
        <w:t xml:space="preserve"> establishment) can retain the full state </w:t>
      </w:r>
      <m:oMath>
        <m:r>
          <m:rPr>
            <m:sty m:val="p"/>
          </m:rPr>
          <w:rPr>
            <w:rFonts w:ascii="Cambria Math" w:hAnsi="Cambria Math"/>
          </w:rPr>
          <m:t>×</m:t>
        </m:r>
      </m:oMath>
      <w:r>
        <w:t xml:space="preserve"> industry </w:t>
      </w:r>
      <m:oMath>
        <m:r>
          <m:rPr>
            <m:sty m:val="p"/>
          </m:rPr>
          <w:rPr>
            <w:rFonts w:ascii="Cambria Math" w:hAnsi="Cambria Math"/>
          </w:rPr>
          <m:t>×</m:t>
        </m:r>
      </m:oMath>
      <w:r>
        <w:t xml:space="preserve"> size class structure, while cells incorporating redistributed large-client employment should be defined at coarser geographic levels (e.g., Census region) to avoid propagating allocation uncertainty into calibration weights.</w:t>
      </w:r>
    </w:p>
    <w:p w14:paraId="29CD0019" w14:textId="77777777" w:rsidR="00392355" w:rsidRDefault="00392355">
      <w:pPr>
        <w:pStyle w:val="Heading2"/>
      </w:pPr>
      <w:bookmarkStart w:id="19" w:name="X5c2e26e5bb64c7b1acbbd05f1fe8b02db2a2fd2"/>
      <w:bookmarkEnd w:id="18"/>
    </w:p>
    <w:p w14:paraId="5FA1419B" w14:textId="75A72F42" w:rsidR="00D72204" w:rsidRDefault="00000000">
      <w:pPr>
        <w:pStyle w:val="Heading2"/>
      </w:pPr>
      <w:r>
        <w:t>6. Latent-State Modeling and Benchmark Anchoring</w:t>
      </w:r>
    </w:p>
    <w:p w14:paraId="485ED20A" w14:textId="77777777" w:rsidR="00D72204" w:rsidRDefault="00000000">
      <w:pPr>
        <w:pStyle w:val="FirstParagraph"/>
      </w:pPr>
      <w:r>
        <w:t>The continuing-units series entering the state-space model is constructed using the rotating, frozen-panel methodology described in Section 4. As a result, payroll-provider observations load only on the intensive-margin component of employment change. Client entry and exit dynamics are excluded from the measurement equation and may enter the model only indirectly, for example as covariates informing time-varying measurement error or provider-specific drift.</w:t>
      </w:r>
    </w:p>
    <w:p w14:paraId="78ACB7B3" w14:textId="77777777" w:rsidR="00D72204" w:rsidRDefault="00000000">
      <w:pPr>
        <w:pStyle w:val="BodyText"/>
      </w:pPr>
      <w:r>
        <w:t>This separation improves identification of true continuing-unit growth and prevents administrative churn from being misinterpreted as economic signal.</w:t>
      </w:r>
    </w:p>
    <w:p w14:paraId="151047B7" w14:textId="77777777" w:rsidR="00D72204" w:rsidRDefault="00000000">
      <w:pPr>
        <w:pStyle w:val="BodyText"/>
      </w:pPr>
      <w:r>
        <w:lastRenderedPageBreak/>
        <w:t>Payroll continuing-unit microdata are embedded in a Bayesian state-space framework, summarized here and detailed in the separate estimation methods paper.</w:t>
      </w:r>
    </w:p>
    <w:p w14:paraId="2C9BEA5C" w14:textId="77777777" w:rsidR="00D72204" w:rsidRDefault="00000000">
      <w:pPr>
        <w:pStyle w:val="Heading3"/>
      </w:pPr>
      <w:bookmarkStart w:id="20" w:name="relation-to-cajner-et-al.-2022"/>
      <w:r>
        <w:t xml:space="preserve">6.1 Relation to </w:t>
      </w:r>
      <w:proofErr w:type="spellStart"/>
      <w:r>
        <w:t>Cajner</w:t>
      </w:r>
      <w:proofErr w:type="spellEnd"/>
      <w:r>
        <w:t xml:space="preserve"> et al. (2022)</w:t>
      </w:r>
    </w:p>
    <w:p w14:paraId="747A8BB5" w14:textId="77777777" w:rsidR="00D72204" w:rsidRDefault="00000000">
      <w:pPr>
        <w:pStyle w:val="FirstParagraph"/>
      </w:pPr>
      <w:proofErr w:type="spellStart"/>
      <w:r>
        <w:t>Cajner</w:t>
      </w:r>
      <w:proofErr w:type="spellEnd"/>
      <w:r>
        <w:t xml:space="preserve"> et al. model payroll and survey series as noisy observations of latent true employment:</w:t>
      </w:r>
    </w:p>
    <w:p w14:paraId="1C4E991D" w14:textId="77777777" w:rsidR="00D7220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source</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m:rPr>
                  <m:nor/>
                </m:rPr>
                <m:t>source</m:t>
              </m:r>
            </m:sup>
          </m:sSubSup>
        </m:oMath>
      </m:oMathPara>
    </w:p>
    <w:p w14:paraId="0E54B8D7" w14:textId="77777777" w:rsidR="00D72204" w:rsidRDefault="00000000">
      <w:pPr>
        <w:pStyle w:val="FirstParagraph"/>
      </w:pPr>
      <w:r>
        <w:t>Our framework extends this by:</w:t>
      </w:r>
    </w:p>
    <w:p w14:paraId="6343D8A2" w14:textId="77777777" w:rsidR="00D72204" w:rsidRPr="007A6202" w:rsidRDefault="00000000">
      <w:pPr>
        <w:pStyle w:val="Compact"/>
        <w:numPr>
          <w:ilvl w:val="0"/>
          <w:numId w:val="11"/>
        </w:numPr>
      </w:pPr>
      <w:r w:rsidRPr="007A6202">
        <w:t>Modeling continuing-units employment separately from total employment</w:t>
      </w:r>
    </w:p>
    <w:p w14:paraId="3CDAB876" w14:textId="77777777" w:rsidR="00D72204" w:rsidRPr="007A6202" w:rsidRDefault="00000000">
      <w:pPr>
        <w:pStyle w:val="Compact"/>
        <w:numPr>
          <w:ilvl w:val="0"/>
          <w:numId w:val="11"/>
        </w:numPr>
      </w:pPr>
      <w:r w:rsidRPr="007A6202">
        <w:t>Adding explicit birth/death components</w:t>
      </w:r>
    </w:p>
    <w:p w14:paraId="2DE35924" w14:textId="26CD4DA7" w:rsidR="00D72204" w:rsidRPr="007A6202" w:rsidRDefault="00000000">
      <w:pPr>
        <w:pStyle w:val="Compact"/>
        <w:numPr>
          <w:ilvl w:val="0"/>
          <w:numId w:val="11"/>
        </w:numPr>
      </w:pPr>
      <w:r w:rsidRPr="007A6202">
        <w:t xml:space="preserve">Introducing hierarchical pooling over geography </w:t>
      </w:r>
      <m:oMath>
        <m:r>
          <m:rPr>
            <m:sty m:val="p"/>
          </m:rPr>
          <w:rPr>
            <w:rFonts w:ascii="Cambria Math" w:hAnsi="Cambria Math"/>
          </w:rPr>
          <m:t>×</m:t>
        </m:r>
      </m:oMath>
      <w:r w:rsidRPr="007A6202">
        <w:t xml:space="preserve"> industry </w:t>
      </w:r>
      <m:oMath>
        <m:r>
          <m:rPr>
            <m:sty m:val="p"/>
          </m:rPr>
          <w:rPr>
            <w:rFonts w:ascii="Cambria Math" w:hAnsi="Cambria Math"/>
          </w:rPr>
          <m:t>×</m:t>
        </m:r>
      </m:oMath>
      <w:r w:rsidRPr="007A6202">
        <w:t xml:space="preserve"> size</w:t>
      </w:r>
    </w:p>
    <w:p w14:paraId="05DF7E7E" w14:textId="77777777" w:rsidR="00D72204" w:rsidRPr="007A6202" w:rsidRDefault="00000000">
      <w:pPr>
        <w:pStyle w:val="Compact"/>
        <w:numPr>
          <w:ilvl w:val="0"/>
          <w:numId w:val="11"/>
        </w:numPr>
      </w:pPr>
      <w:r w:rsidRPr="007A6202">
        <w:t>Including onboarding artifact terms</w:t>
      </w:r>
    </w:p>
    <w:p w14:paraId="6A045507" w14:textId="77777777" w:rsidR="00D72204" w:rsidRDefault="00000000">
      <w:pPr>
        <w:pStyle w:val="Compact"/>
        <w:numPr>
          <w:ilvl w:val="0"/>
          <w:numId w:val="11"/>
        </w:numPr>
      </w:pPr>
      <w:r w:rsidRPr="007A6202">
        <w:t>Treating QCEW as a near-census, lagged</w:t>
      </w:r>
      <w:r>
        <w:t xml:space="preserve"> anchor</w:t>
      </w:r>
    </w:p>
    <w:p w14:paraId="433EE2A8" w14:textId="77777777" w:rsidR="00D72204" w:rsidRDefault="00000000">
      <w:pPr>
        <w:pStyle w:val="Heading3"/>
      </w:pPr>
      <w:bookmarkStart w:id="21" w:name="Xa150a33cc6c096664f69350cfe0985864f7eaf3"/>
      <w:bookmarkEnd w:id="20"/>
      <w:r>
        <w:t>6.2 Continuing Units and Birth/Death Decomposition</w:t>
      </w:r>
    </w:p>
    <w:p w14:paraId="5E8A1D32" w14:textId="77777777" w:rsidR="00D72204" w:rsidRDefault="00000000">
      <w:pPr>
        <w:pStyle w:val="FirstParagraph"/>
      </w:pPr>
      <w:r>
        <w:t xml:space="preserve">For each cell </w:t>
      </w:r>
      <m:oMath>
        <m:r>
          <w:rPr>
            <w:rFonts w:ascii="Cambria Math" w:hAnsi="Cambria Math"/>
          </w:rPr>
          <m:t>j</m:t>
        </m:r>
      </m:oMath>
      <w:r>
        <w:t>:</w:t>
      </w:r>
    </w:p>
    <w:p w14:paraId="738F0305" w14:textId="77777777" w:rsidR="00D72204"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5073BA52" w14:textId="77777777" w:rsidR="00D72204" w:rsidRDefault="00000000">
      <w:pPr>
        <w:pStyle w:val="FirstParagraph"/>
      </w:pPr>
      <w:r>
        <w:t>Payroll observations load on the continuing-units component:</w:t>
      </w:r>
    </w:p>
    <w:p w14:paraId="02BFBE06" w14:textId="77777777" w:rsidR="00D7220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m:rPr>
                  <m:nor/>
                </m:rPr>
                <m:t>payroll</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sSub>
            <m:sSubPr>
              <m:ctrlPr>
                <w:rPr>
                  <w:rFonts w:ascii="Cambria Math" w:hAnsi="Cambria Math"/>
                </w:rPr>
              </m:ctrlPr>
            </m:sSubPr>
            <m:e>
              <m:r>
                <m:rPr>
                  <m:nor/>
                </m:rPr>
                <m:t>onboarding</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up>
              <m:r>
                <m:rPr>
                  <m:nor/>
                </m:rPr>
                <m:t>payroll</m:t>
              </m:r>
            </m:sup>
          </m:sSubSup>
        </m:oMath>
      </m:oMathPara>
    </w:p>
    <w:p w14:paraId="10E9A4AE" w14:textId="77777777" w:rsidR="00D72204" w:rsidRDefault="00000000">
      <w:pPr>
        <w:pStyle w:val="Heading3"/>
      </w:pPr>
      <w:bookmarkStart w:id="22" w:name="birthdeath-model"/>
      <w:bookmarkEnd w:id="21"/>
      <w:r>
        <w:t>6.3 Birth/Death Model</w:t>
      </w:r>
    </w:p>
    <w:p w14:paraId="6E5F590A" w14:textId="77777777" w:rsidR="00D72204" w:rsidRDefault="00000000">
      <w:pPr>
        <w:pStyle w:val="FirstParagraph"/>
      </w:pPr>
      <w:r>
        <w:t>Birth/death contributions are modeled as:</w:t>
      </w:r>
    </w:p>
    <w:p w14:paraId="5AE7BD75" w14:textId="77777777" w:rsidR="00D72204" w:rsidRDefault="00000000">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cycle</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r>
                <m:rPr>
                  <m:scr m:val="script"/>
                  <m:sty m:val="p"/>
                </m:rPr>
                <w:rPr>
                  <w:rFonts w:ascii="Cambria Math" w:hAnsi="Cambria Math"/>
                </w:rPr>
                <m:t>-l</m:t>
              </m:r>
            </m:sub>
            <m:sup>
              <m:r>
                <m:rPr>
                  <m:nor/>
                </m:rPr>
                <m:t>QCEW</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075C0FD8" w14:textId="77777777" w:rsidR="00D72204" w:rsidRDefault="00000000">
      <w:pPr>
        <w:pStyle w:val="FirstParagraph"/>
      </w:pPr>
      <w:r>
        <w:t>With hierarchical structure over:</w:t>
      </w:r>
    </w:p>
    <w:p w14:paraId="71D878E1" w14:textId="77777777" w:rsidR="00D72204" w:rsidRDefault="00000000">
      <w:pPr>
        <w:pStyle w:val="Compact"/>
        <w:numPr>
          <w:ilvl w:val="0"/>
          <w:numId w:val="12"/>
        </w:numPr>
      </w:pPr>
      <w:r>
        <w:t>Industry (nested NAICS)</w:t>
      </w:r>
    </w:p>
    <w:p w14:paraId="18A23E69" w14:textId="77777777" w:rsidR="00D72204" w:rsidRDefault="00000000">
      <w:pPr>
        <w:pStyle w:val="Compact"/>
        <w:numPr>
          <w:ilvl w:val="0"/>
          <w:numId w:val="12"/>
        </w:numPr>
      </w:pPr>
      <w:r>
        <w:t xml:space="preserve">Size class (small </w:t>
      </w:r>
      <w:proofErr w:type="gramStart"/>
      <w:r>
        <w:t>firms</w:t>
      </w:r>
      <w:proofErr w:type="gramEnd"/>
      <w:r>
        <w:t xml:space="preserve"> higher turnover)</w:t>
      </w:r>
    </w:p>
    <w:p w14:paraId="23410090" w14:textId="77777777" w:rsidR="00D72204" w:rsidRDefault="00000000">
      <w:pPr>
        <w:pStyle w:val="Compact"/>
        <w:numPr>
          <w:ilvl w:val="0"/>
          <w:numId w:val="12"/>
        </w:numPr>
      </w:pPr>
      <w:r>
        <w:t>Geography (secondary)</w:t>
      </w:r>
    </w:p>
    <w:p w14:paraId="0FBF538E" w14:textId="77777777" w:rsidR="00D72204" w:rsidRDefault="00000000">
      <w:pPr>
        <w:pStyle w:val="Heading3"/>
      </w:pPr>
      <w:bookmarkStart w:id="23" w:name="qcew-as-benchmark-observation"/>
      <w:bookmarkEnd w:id="22"/>
      <w:r>
        <w:t>6.4 QCEW as Benchmark Observation</w:t>
      </w:r>
    </w:p>
    <w:p w14:paraId="39F52DC0" w14:textId="77777777" w:rsidR="00D72204" w:rsidRDefault="00000000">
      <w:pPr>
        <w:pStyle w:val="FirstParagraph"/>
      </w:pPr>
      <w:r>
        <w:t>QCEW is treated as a lagged observation of total employment change:</w:t>
      </w:r>
    </w:p>
    <w:p w14:paraId="0DE8FD50" w14:textId="77777777" w:rsidR="00D7220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r>
                <m:rPr>
                  <m:scr m:val="script"/>
                  <m:sty m:val="p"/>
                </m:rPr>
                <w:rPr>
                  <w:rFonts w:ascii="Cambria Math" w:hAnsi="Cambria Math"/>
                </w:rPr>
                <m:t>-l</m:t>
              </m:r>
            </m:sub>
            <m:sup>
              <m:r>
                <m:rPr>
                  <m:nor/>
                </m:rPr>
                <m:t>QCEW</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cr m:val="script"/>
                  <m:sty m:val="p"/>
                </m:rPr>
                <w:rPr>
                  <w:rFonts w:ascii="Cambria Math" w:hAnsi="Cambria Math"/>
                </w:rPr>
                <m:t>-l</m:t>
              </m:r>
            </m:sub>
            <m:sup>
              <m:r>
                <m:rPr>
                  <m:nor/>
                </m:rPr>
                <m:t>true</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r>
                <m:rPr>
                  <m:scr m:val="script"/>
                  <m:sty m:val="p"/>
                </m:rPr>
                <w:rPr>
                  <w:rFonts w:ascii="Cambria Math" w:hAnsi="Cambria Math"/>
                </w:rPr>
                <m:t>-l</m:t>
              </m:r>
            </m:sub>
            <m:sup>
              <m:r>
                <m:rPr>
                  <m:nor/>
                </m:rPr>
                <m:t>QCEW</m:t>
              </m:r>
            </m:sup>
          </m:sSubSup>
        </m:oMath>
      </m:oMathPara>
    </w:p>
    <w:p w14:paraId="3E4AA261" w14:textId="77777777" w:rsidR="00D72204" w:rsidRDefault="00000000">
      <w:pPr>
        <w:pStyle w:val="FirstParagraph"/>
      </w:pPr>
      <w:r>
        <w:t>With small measurement error. These observations anchor bias, signal loadings, and birth/death parameters and propagate forward to inform real-time nowcasts.</w:t>
      </w:r>
    </w:p>
    <w:p w14:paraId="5044458B" w14:textId="77777777" w:rsidR="00D72204" w:rsidRDefault="00000000">
      <w:pPr>
        <w:pStyle w:val="Heading3"/>
      </w:pPr>
      <w:bookmarkStart w:id="24" w:name="hierarchical-partial-pooling"/>
      <w:bookmarkEnd w:id="23"/>
      <w:r>
        <w:lastRenderedPageBreak/>
        <w:t>6.5 Hierarchical Partial Pooling</w:t>
      </w:r>
    </w:p>
    <w:p w14:paraId="662CCB52" w14:textId="77777777" w:rsidR="00D72204" w:rsidRDefault="00000000">
      <w:pPr>
        <w:pStyle w:val="FirstParagraph"/>
      </w:pPr>
      <w:r>
        <w:t>Cell-level parameters (bias, signal loading, birth/death intensity) follow structured hierarchies:</w:t>
      </w:r>
    </w:p>
    <w:p w14:paraId="5F810338" w14:textId="77777777" w:rsidR="00D72204" w:rsidRDefault="00000000">
      <w:pPr>
        <w:pStyle w:val="Compact"/>
        <w:numPr>
          <w:ilvl w:val="0"/>
          <w:numId w:val="13"/>
        </w:numPr>
      </w:pPr>
      <w:r>
        <w:t>Geography: region → division → state</w:t>
      </w:r>
    </w:p>
    <w:p w14:paraId="736573E7" w14:textId="77777777" w:rsidR="00D72204" w:rsidRDefault="00000000">
      <w:pPr>
        <w:pStyle w:val="Compact"/>
        <w:numPr>
          <w:ilvl w:val="0"/>
          <w:numId w:val="13"/>
        </w:numPr>
      </w:pPr>
      <w:r>
        <w:t xml:space="preserve">Industry: domain → </w:t>
      </w:r>
      <w:proofErr w:type="spellStart"/>
      <w:r>
        <w:t>supersector</w:t>
      </w:r>
      <w:proofErr w:type="spellEnd"/>
      <w:r>
        <w:t xml:space="preserve"> → sector → subsector</w:t>
      </w:r>
    </w:p>
    <w:p w14:paraId="161C48BA" w14:textId="77777777" w:rsidR="00D72204" w:rsidRDefault="00000000">
      <w:pPr>
        <w:pStyle w:val="Compact"/>
        <w:numPr>
          <w:ilvl w:val="0"/>
          <w:numId w:val="13"/>
        </w:numPr>
      </w:pPr>
      <w:r>
        <w:t>Size class: explicit additive effects</w:t>
      </w:r>
    </w:p>
    <w:p w14:paraId="561EB8F2" w14:textId="77777777" w:rsidR="00D72204" w:rsidRDefault="00000000">
      <w:pPr>
        <w:pStyle w:val="FirstParagraph"/>
      </w:pPr>
      <w:r>
        <w:t>This stabilizes sparse cells while preserving economically meaningful heterogeneity.</w:t>
      </w:r>
    </w:p>
    <w:p w14:paraId="73AA10A6" w14:textId="77777777" w:rsidR="00D72204" w:rsidRDefault="00000000">
      <w:pPr>
        <w:pStyle w:val="Heading3"/>
      </w:pPr>
      <w:bookmarkStart w:id="25" w:name="iterative-deployment"/>
      <w:bookmarkEnd w:id="24"/>
      <w:r>
        <w:t>6.6 Iterative Deployment</w:t>
      </w:r>
    </w:p>
    <w:p w14:paraId="5E4DB05B" w14:textId="77777777" w:rsidR="00D72204" w:rsidRDefault="00000000">
      <w:pPr>
        <w:pStyle w:val="FirstParagraph"/>
      </w:pPr>
      <w:r>
        <w:t>Given the complexity of the proposed estimation methodology, we will repeatedly iterate from simpler models to the model presented above.</w:t>
      </w:r>
    </w:p>
    <w:p w14:paraId="0E4CCEFC" w14:textId="77777777" w:rsidR="00392355" w:rsidRDefault="00392355">
      <w:pPr>
        <w:pStyle w:val="Heading2"/>
      </w:pPr>
      <w:bookmarkStart w:id="26" w:name="seasonality-and-pay-frequency-artifacts"/>
      <w:bookmarkEnd w:id="19"/>
      <w:bookmarkEnd w:id="25"/>
    </w:p>
    <w:p w14:paraId="65737D3B" w14:textId="388981FE" w:rsidR="00D72204" w:rsidRDefault="00000000">
      <w:pPr>
        <w:pStyle w:val="Heading2"/>
      </w:pPr>
      <w:r>
        <w:t>7. Seasonality and Pay-Frequency Artifacts</w:t>
      </w:r>
    </w:p>
    <w:p w14:paraId="1A982909" w14:textId="77777777" w:rsidR="00D72204" w:rsidRDefault="00000000">
      <w:pPr>
        <w:pStyle w:val="FirstParagraph"/>
      </w:pPr>
      <w:r>
        <w:t>Payroll series exhibit strong seasonal patterns driven by industry cycles, fiscal calendars, and payroll system behavior. Pay-frequency artifacts can induce mechanical fluctuations.</w:t>
      </w:r>
    </w:p>
    <w:p w14:paraId="5A6B079F" w14:textId="77777777" w:rsidR="00D72204" w:rsidRDefault="00000000">
      <w:pPr>
        <w:pStyle w:val="BodyText"/>
      </w:pPr>
      <w:r>
        <w:t>Seasonality is modeled explicitly in the latent state using additive seasonal components:</w:t>
      </w:r>
    </w:p>
    <w:p w14:paraId="5710584B" w14:textId="77777777" w:rsidR="00D72204"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291826EA" w14:textId="77777777" w:rsidR="00D72204"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oMath>
      <w:r>
        <w:t xml:space="preserve"> follows a hierarchical seasonal structure by industry and geography, allowing seasonal amplitudes and patterns to evolve over time and differ systematically across sectors and regions.</w:t>
      </w:r>
    </w:p>
    <w:p w14:paraId="19A1BA2A" w14:textId="77777777" w:rsidR="00392355" w:rsidRDefault="00392355">
      <w:pPr>
        <w:pStyle w:val="Heading2"/>
      </w:pPr>
      <w:bookmarkStart w:id="27" w:name="quality-governance-and-concept-drift"/>
      <w:bookmarkEnd w:id="26"/>
    </w:p>
    <w:p w14:paraId="1E99A78A" w14:textId="33AD47A1" w:rsidR="00D72204" w:rsidRDefault="00000000">
      <w:pPr>
        <w:pStyle w:val="Heading2"/>
      </w:pPr>
      <w:r>
        <w:t>8. Quality, Governance, and Concept Drift</w:t>
      </w:r>
    </w:p>
    <w:p w14:paraId="07BD2C62" w14:textId="77777777" w:rsidR="00D72204" w:rsidRDefault="00000000">
      <w:pPr>
        <w:pStyle w:val="FirstParagraph"/>
      </w:pPr>
      <w:r>
        <w:t>Because payroll data are generated by business processes, concept drift is an inherent risk. Changes in provider operations, coding practices, or client mix can alter the effective measurement concept.</w:t>
      </w:r>
    </w:p>
    <w:p w14:paraId="7F5C5782" w14:textId="77777777" w:rsidR="00D72204" w:rsidRDefault="00000000">
      <w:pPr>
        <w:pStyle w:val="BodyText"/>
      </w:pPr>
      <w:r>
        <w:t>We adopt a statistical-agency-style quality framework emphasizing:</w:t>
      </w:r>
    </w:p>
    <w:p w14:paraId="14960101" w14:textId="77777777" w:rsidR="00D72204" w:rsidRDefault="00000000">
      <w:pPr>
        <w:pStyle w:val="Compact"/>
        <w:numPr>
          <w:ilvl w:val="0"/>
          <w:numId w:val="14"/>
        </w:numPr>
      </w:pPr>
      <w:r>
        <w:t>Accuracy vs timeliness tradeoffs</w:t>
      </w:r>
    </w:p>
    <w:p w14:paraId="59B130B2" w14:textId="77777777" w:rsidR="00D72204" w:rsidRDefault="00000000">
      <w:pPr>
        <w:pStyle w:val="Compact"/>
        <w:numPr>
          <w:ilvl w:val="0"/>
          <w:numId w:val="14"/>
        </w:numPr>
      </w:pPr>
      <w:r>
        <w:t>Revision analysis (real-time vs retrospective)</w:t>
      </w:r>
    </w:p>
    <w:p w14:paraId="7DA5F261" w14:textId="77777777" w:rsidR="00D72204" w:rsidRDefault="00000000">
      <w:pPr>
        <w:pStyle w:val="Compact"/>
        <w:numPr>
          <w:ilvl w:val="0"/>
          <w:numId w:val="14"/>
        </w:numPr>
      </w:pPr>
      <w:r>
        <w:t>Coherence across geography and industry</w:t>
      </w:r>
    </w:p>
    <w:p w14:paraId="62506BA5" w14:textId="77777777" w:rsidR="00D72204" w:rsidRDefault="00000000">
      <w:pPr>
        <w:pStyle w:val="Compact"/>
        <w:numPr>
          <w:ilvl w:val="0"/>
          <w:numId w:val="14"/>
        </w:numPr>
      </w:pPr>
      <w:r>
        <w:t>Interpretability and transparency</w:t>
      </w:r>
    </w:p>
    <w:p w14:paraId="423E953F" w14:textId="77777777" w:rsidR="00D72204" w:rsidRDefault="00000000">
      <w:pPr>
        <w:pStyle w:val="FirstParagraph"/>
      </w:pPr>
      <w:r>
        <w:lastRenderedPageBreak/>
        <w:t>Operational guardrails include monitoring of hours, pay types, and payment timing, drift-aware models, and rolling recalibration to QCEW. These practices help distinguish economic dynamics from business-process artifacts.</w:t>
      </w:r>
    </w:p>
    <w:p w14:paraId="1337DE1F" w14:textId="77777777" w:rsidR="00392355" w:rsidRDefault="00392355">
      <w:pPr>
        <w:pStyle w:val="Heading2"/>
      </w:pPr>
      <w:bookmarkStart w:id="28" w:name="conclusion"/>
      <w:bookmarkEnd w:id="27"/>
    </w:p>
    <w:p w14:paraId="75F078D6" w14:textId="6C6FAC74" w:rsidR="00D72204" w:rsidRDefault="00000000">
      <w:pPr>
        <w:pStyle w:val="Heading2"/>
      </w:pPr>
      <w:r>
        <w:t>9. Conclusion</w:t>
      </w:r>
    </w:p>
    <w:p w14:paraId="2558999D" w14:textId="77777777" w:rsidR="00D72204" w:rsidRDefault="00000000">
      <w:pPr>
        <w:pStyle w:val="FirstParagraph"/>
      </w:pPr>
      <w:r>
        <w:t>Payroll provider microdata can materially improve the timeliness and granularity of employment measurement. However, credible official-style estimates require explicit treatment of statistical units, onboarding and administrative churn, size-class distortions, and representativeness. By embedding payroll microdata in a hierarchical Bayesian state-space framework anchored to QCEW, and by explicitly modeling continuing-units measurement, birth/death dynamics, and business-process artifacts, payroll data can serve as a disciplined, high-frequency measurement system that complements official statistics.</w:t>
      </w:r>
    </w:p>
    <w:p w14:paraId="5309D6DA" w14:textId="77777777" w:rsidR="00D72204" w:rsidRDefault="00000000">
      <w:pPr>
        <w:pStyle w:val="BodyText"/>
      </w:pPr>
      <w:r>
        <w:t xml:space="preserve">This framework extends the model-based data fusion approach of </w:t>
      </w:r>
      <w:proofErr w:type="spellStart"/>
      <w:r>
        <w:t>Cajner</w:t>
      </w:r>
      <w:proofErr w:type="spellEnd"/>
      <w:r>
        <w:t xml:space="preserve"> et al. by incorporating payroll-specific features related to statistical units, size-class structure, and onboarding dynamics, providing a principled foundation for real-time employment nowcasting from payroll microdata.</w:t>
      </w:r>
    </w:p>
    <w:p w14:paraId="7CADDA4B" w14:textId="77777777" w:rsidR="00392355" w:rsidRDefault="00392355">
      <w:pPr>
        <w:pStyle w:val="Heading2"/>
      </w:pPr>
      <w:bookmarkStart w:id="29" w:name="references"/>
      <w:bookmarkEnd w:id="28"/>
    </w:p>
    <w:p w14:paraId="6E83B682" w14:textId="77777777" w:rsidR="00392355" w:rsidRDefault="00392355">
      <w:pPr>
        <w:rPr>
          <w:rFonts w:asciiTheme="majorHAnsi" w:eastAsiaTheme="majorEastAsia" w:hAnsiTheme="majorHAnsi" w:cstheme="majorBidi"/>
          <w:color w:val="0F4761" w:themeColor="accent1" w:themeShade="BF"/>
          <w:sz w:val="32"/>
          <w:szCs w:val="32"/>
        </w:rPr>
      </w:pPr>
      <w:r>
        <w:br w:type="page"/>
      </w:r>
    </w:p>
    <w:p w14:paraId="3B845997" w14:textId="113FDC10" w:rsidR="00D72204" w:rsidRDefault="00000000">
      <w:pPr>
        <w:pStyle w:val="Heading2"/>
      </w:pPr>
      <w:r>
        <w:lastRenderedPageBreak/>
        <w:t>References</w:t>
      </w:r>
    </w:p>
    <w:p w14:paraId="5F6DBB03" w14:textId="77777777" w:rsidR="00D72204" w:rsidRDefault="00000000">
      <w:pPr>
        <w:pStyle w:val="FirstParagraph"/>
      </w:pPr>
      <w:proofErr w:type="spellStart"/>
      <w:r>
        <w:t>Cajner</w:t>
      </w:r>
      <w:proofErr w:type="spellEnd"/>
      <w:r>
        <w:t xml:space="preserve">, T., et al. (2022). </w:t>
      </w:r>
      <w:r>
        <w:rPr>
          <w:i/>
          <w:iCs/>
        </w:rPr>
        <w:t>Improving the accuracy of economic measurement with multiple data sources: The case of payroll employment data.</w:t>
      </w:r>
      <w:r>
        <w:t xml:space="preserve"> In Abraham, Jarmin, Moyer, &amp; Shapiro (Eds.), </w:t>
      </w:r>
      <w:r>
        <w:rPr>
          <w:i/>
          <w:iCs/>
        </w:rPr>
        <w:t>Big Data for Twenty-First-Century Economic Statistics,</w:t>
      </w:r>
      <w:r>
        <w:t xml:space="preserve"> NBER.</w:t>
      </w:r>
      <w:bookmarkEnd w:id="0"/>
      <w:bookmarkEnd w:id="29"/>
    </w:p>
    <w:sectPr w:rsidR="00D7220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C322" w14:textId="77777777" w:rsidR="00B40A67" w:rsidRDefault="00B40A67">
      <w:pPr>
        <w:spacing w:after="0"/>
      </w:pPr>
      <w:r>
        <w:separator/>
      </w:r>
    </w:p>
  </w:endnote>
  <w:endnote w:type="continuationSeparator" w:id="0">
    <w:p w14:paraId="0A32A584" w14:textId="77777777" w:rsidR="00B40A67" w:rsidRDefault="00B40A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3EDC" w14:textId="77777777" w:rsidR="00B40A67" w:rsidRDefault="00B40A67">
      <w:pPr>
        <w:spacing w:after="0"/>
      </w:pPr>
      <w:r>
        <w:separator/>
      </w:r>
    </w:p>
  </w:footnote>
  <w:footnote w:type="continuationSeparator" w:id="0">
    <w:p w14:paraId="4E1A3FF3" w14:textId="77777777" w:rsidR="00B40A67" w:rsidRDefault="00B40A67">
      <w:pPr>
        <w:spacing w:after="0"/>
      </w:pPr>
      <w:r>
        <w:continuationSeparator/>
      </w:r>
    </w:p>
  </w:footnote>
  <w:footnote w:id="1">
    <w:p w14:paraId="45C102AA" w14:textId="77777777" w:rsidR="00D72204" w:rsidRDefault="00000000">
      <w:pPr>
        <w:pStyle w:val="FootnoteText"/>
      </w:pPr>
      <w:r>
        <w:rPr>
          <w:rStyle w:val="FootnoteReference"/>
        </w:rPr>
        <w:footnoteRef/>
      </w:r>
      <w:r>
        <w:t xml:space="preserve"> Qualified pay includes payments made to employee in any of the following: regular pay; overtime; paid sick leave; holiday pay; vacation pay; tips reported on the employee’s W-4 statement; and bonuses, commissions, and severance pay that are made in regular amounts and at regular intervals.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2E8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C4C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1328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311196">
    <w:abstractNumId w:val="0"/>
  </w:num>
  <w:num w:numId="2" w16cid:durableId="1962295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859614">
    <w:abstractNumId w:val="1"/>
  </w:num>
  <w:num w:numId="4" w16cid:durableId="457644717">
    <w:abstractNumId w:val="1"/>
  </w:num>
  <w:num w:numId="5" w16cid:durableId="1938251597">
    <w:abstractNumId w:val="1"/>
  </w:num>
  <w:num w:numId="6" w16cid:durableId="2145543614">
    <w:abstractNumId w:val="1"/>
  </w:num>
  <w:num w:numId="7" w16cid:durableId="2030184120">
    <w:abstractNumId w:val="1"/>
  </w:num>
  <w:num w:numId="8" w16cid:durableId="1546915807">
    <w:abstractNumId w:val="1"/>
  </w:num>
  <w:num w:numId="9" w16cid:durableId="1761099617">
    <w:abstractNumId w:val="1"/>
  </w:num>
  <w:num w:numId="10" w16cid:durableId="1823039099">
    <w:abstractNumId w:val="1"/>
  </w:num>
  <w:num w:numId="11" w16cid:durableId="1566181621">
    <w:abstractNumId w:val="1"/>
  </w:num>
  <w:num w:numId="12" w16cid:durableId="1753353026">
    <w:abstractNumId w:val="1"/>
  </w:num>
  <w:num w:numId="13" w16cid:durableId="1142500748">
    <w:abstractNumId w:val="1"/>
  </w:num>
  <w:num w:numId="14" w16cid:durableId="170419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04"/>
    <w:rsid w:val="00230D43"/>
    <w:rsid w:val="002A250B"/>
    <w:rsid w:val="002F27A6"/>
    <w:rsid w:val="00345B5B"/>
    <w:rsid w:val="00392355"/>
    <w:rsid w:val="003D0424"/>
    <w:rsid w:val="005635D4"/>
    <w:rsid w:val="007A6202"/>
    <w:rsid w:val="00A1183E"/>
    <w:rsid w:val="00B40A67"/>
    <w:rsid w:val="00D72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82FA96"/>
  <w15:docId w15:val="{8C7D89FD-B67C-614E-8B73-4DEC6DDD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3540</Words>
  <Characters>24112</Characters>
  <Application>Microsoft Office Word</Application>
  <DocSecurity>0</DocSecurity>
  <Lines>634</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4</cp:revision>
  <dcterms:created xsi:type="dcterms:W3CDTF">2026-02-22T15:06:00Z</dcterms:created>
  <dcterms:modified xsi:type="dcterms:W3CDTF">2026-02-25T14:43:00Z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