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0D254" w14:textId="77777777" w:rsidR="00D66F1E" w:rsidRDefault="00000000">
      <w:pPr>
        <w:pStyle w:val="Heading1"/>
      </w:pPr>
      <w:bookmarkStart w:id="0" w:name="Xf2c8703f0baa13dacc8379a29723b3cbea6eb0e"/>
      <w:r>
        <w:t>Methods for Evaluating Payroll Provider Data</w:t>
      </w:r>
    </w:p>
    <w:p w14:paraId="09D1A1EF" w14:textId="77777777" w:rsidR="00D66F1E" w:rsidRDefault="00000000">
      <w:pPr>
        <w:pStyle w:val="Heading2"/>
      </w:pPr>
      <w:bookmarkStart w:id="1" w:name="motivation"/>
      <w:r>
        <w:t>Motivation</w:t>
      </w:r>
    </w:p>
    <w:p w14:paraId="4A3DF0E4" w14:textId="77777777" w:rsidR="00D66F1E" w:rsidRDefault="00000000">
      <w:pPr>
        <w:pStyle w:val="FirstParagraph"/>
      </w:pPr>
      <w:r>
        <w:t>Payroll providers generate employment microdata as a byproduct of processing payroll for their clients. These data are timely, granular, and frequent. They are also convenience samples: the client base is determined by market forces, not by statistical design.</w:t>
      </w:r>
    </w:p>
    <w:p w14:paraId="454F34F8" w14:textId="77777777" w:rsidR="00D66F1E" w:rsidRDefault="00000000">
      <w:pPr>
        <w:pStyle w:val="BodyText"/>
      </w:pPr>
      <w:r>
        <w:t>The question is not whether the data are biased but whether the biases can be well-characterized, stabilized, and corrected.</w:t>
      </w:r>
    </w:p>
    <w:p w14:paraId="0AAFD547" w14:textId="77777777" w:rsidR="00D66F1E" w:rsidRDefault="00000000">
      <w:pPr>
        <w:pStyle w:val="BodyText"/>
      </w:pPr>
      <w:r>
        <w:t>This document describes a methodology for evaluating what a payroll provider’s data can and cannot tell us about the labor market. The methods are organized into five tiers:</w:t>
      </w:r>
    </w:p>
    <w:p w14:paraId="1695CDB3" w14:textId="77777777" w:rsidR="00D66F1E" w:rsidRDefault="00000000">
      <w:pPr>
        <w:pStyle w:val="Compact"/>
        <w:numPr>
          <w:ilvl w:val="0"/>
          <w:numId w:val="2"/>
        </w:numPr>
      </w:pPr>
      <w:r>
        <w:t>static representativeness (does the sample look like the economy?),</w:t>
      </w:r>
    </w:p>
    <w:p w14:paraId="0C011BC1" w14:textId="77777777" w:rsidR="00D66F1E" w:rsidRDefault="00000000">
      <w:pPr>
        <w:pStyle w:val="Compact"/>
        <w:numPr>
          <w:ilvl w:val="0"/>
          <w:numId w:val="2"/>
        </w:numPr>
      </w:pPr>
      <w:r>
        <w:t>dynamic tracking (does the sample move with the economy?),</w:t>
      </w:r>
    </w:p>
    <w:p w14:paraId="219278C8" w14:textId="77777777" w:rsidR="00D66F1E" w:rsidRDefault="00000000">
      <w:pPr>
        <w:pStyle w:val="Compact"/>
        <w:numPr>
          <w:ilvl w:val="0"/>
          <w:numId w:val="2"/>
        </w:numPr>
      </w:pPr>
      <w:r>
        <w:t>worker-level flows (what do hires and separations reveal?),</w:t>
      </w:r>
    </w:p>
    <w:p w14:paraId="0B3056F1" w14:textId="77777777" w:rsidR="00D66F1E" w:rsidRDefault="00000000">
      <w:pPr>
        <w:pStyle w:val="Compact"/>
        <w:numPr>
          <w:ilvl w:val="0"/>
          <w:numId w:val="2"/>
        </w:numPr>
      </w:pPr>
      <w:r>
        <w:t>client tenure and churn (how stable is the sample itself?),</w:t>
      </w:r>
    </w:p>
    <w:p w14:paraId="58841D90" w14:textId="77777777" w:rsidR="00D66F1E" w:rsidRDefault="00000000">
      <w:pPr>
        <w:pStyle w:val="Compact"/>
        <w:numPr>
          <w:ilvl w:val="0"/>
          <w:numId w:val="2"/>
        </w:numPr>
      </w:pPr>
      <w:r>
        <w:t>and establishment births (can the sample detect new business formation?).</w:t>
      </w:r>
    </w:p>
    <w:p w14:paraId="5F6EF820" w14:textId="77777777" w:rsidR="00D66F1E" w:rsidRDefault="00000000">
      <w:pPr>
        <w:pStyle w:val="FirstParagraph"/>
      </w:pPr>
      <w:r>
        <w:t>A final section addresses communication of findings.</w:t>
      </w:r>
    </w:p>
    <w:p w14:paraId="3F31C329" w14:textId="77777777" w:rsidR="00D66F1E" w:rsidRDefault="00000000">
      <w:pPr>
        <w:pStyle w:val="Heading2"/>
      </w:pPr>
      <w:bookmarkStart w:id="2" w:name="framing-the-problem"/>
      <w:bookmarkEnd w:id="1"/>
      <w:r>
        <w:t>1. Framing the Problem</w:t>
      </w:r>
    </w:p>
    <w:p w14:paraId="7318C612" w14:textId="77777777" w:rsidR="00D66F1E" w:rsidRDefault="00000000">
      <w:pPr>
        <w:pStyle w:val="Heading3"/>
      </w:pPr>
      <w:bookmarkStart w:id="3" w:name="what-is-the-universe"/>
      <w:r>
        <w:t>What is the universe?</w:t>
      </w:r>
    </w:p>
    <w:p w14:paraId="18739A00" w14:textId="77777777" w:rsidR="00D66F1E" w:rsidRDefault="00000000">
      <w:pPr>
        <w:pStyle w:val="FirstParagraph"/>
      </w:pPr>
      <w:r>
        <w:t>The relevant universe is the set of all establishments in the United States. The authoritative near-census of this universe is the Quarterly Census of Employment and Wages (QCEW), which derives from state unemployment insurance tax filings and covers approximately 97% of nonfarm wage and salary employment. QCEW serves as the benchmark for static comparisons.</w:t>
      </w:r>
    </w:p>
    <w:p w14:paraId="25E7B669" w14:textId="77777777" w:rsidR="00D66F1E" w:rsidRDefault="00000000">
      <w:pPr>
        <w:pStyle w:val="BodyText"/>
      </w:pPr>
      <w:r>
        <w:t>For dynamic comparisons, the Current Employment Statistics (CES) survey provides monthly employment estimates. CES is a probability sample that is annually benchmarked to QCEW, making it the standard reference for employment growth at the national, state, and supersector levels.</w:t>
      </w:r>
    </w:p>
    <w:p w14:paraId="454DADC4" w14:textId="77777777" w:rsidR="00D66F1E" w:rsidRDefault="00000000">
      <w:pPr>
        <w:pStyle w:val="BodyText"/>
      </w:pPr>
      <w:r>
        <w:t>For establishment birth and death dynamics, the Business Employment Dynamics (BED) program — derived from QCEW microdata — provides quarterly counts of establishment births, deaths, expansions, and contractions.</w:t>
      </w:r>
    </w:p>
    <w:p w14:paraId="501006F4" w14:textId="77777777" w:rsidR="00D66F1E" w:rsidRDefault="00000000">
      <w:pPr>
        <w:pStyle w:val="Heading3"/>
      </w:pPr>
      <w:bookmarkStart w:id="4" w:name="what-is-the-sample"/>
      <w:bookmarkEnd w:id="3"/>
      <w:r>
        <w:t>What is the sample?</w:t>
      </w:r>
    </w:p>
    <w:p w14:paraId="11E794D0" w14:textId="77777777" w:rsidR="00D66F1E" w:rsidRDefault="00000000">
      <w:pPr>
        <w:pStyle w:val="FirstParagraph"/>
      </w:pPr>
      <w:r>
        <w:t xml:space="preserve">The payroll provider’s client base. Each client is an employer that contracts with the provider for payroll services. For small employers (under 50 employees), clients and </w:t>
      </w:r>
      <w:r>
        <w:lastRenderedPageBreak/>
        <w:t>establishments are nearly interchangeable, since the vast majority of small firms operate from a single location. For larger firms this correspondence weakens. The client may have multiple establishments and use the provider to pay all of the establishment’s together. Alternatively, each establishment may have its own account.</w:t>
      </w:r>
    </w:p>
    <w:p w14:paraId="7C449EB0" w14:textId="77777777" w:rsidR="00D66F1E" w:rsidRDefault="00000000">
      <w:pPr>
        <w:pStyle w:val="Heading3"/>
      </w:pPr>
      <w:bookmarkStart w:id="5" w:name="what-are-the-observable-attributes"/>
      <w:bookmarkEnd w:id="4"/>
      <w:r>
        <w:t>What are the observable attributes?</w:t>
      </w:r>
    </w:p>
    <w:p w14:paraId="6F88CFCE" w14:textId="77777777" w:rsidR="00D66F1E" w:rsidRDefault="00000000">
      <w:pPr>
        <w:pStyle w:val="FirstParagraph"/>
      </w:pPr>
      <w:r>
        <w:t>The analysis assumes the following attributes are available for each client-month observation:</w:t>
      </w:r>
    </w:p>
    <w:p w14:paraId="6E98F410" w14:textId="77777777" w:rsidR="00D66F1E" w:rsidRDefault="00000000">
      <w:pPr>
        <w:pStyle w:val="Compact"/>
        <w:numPr>
          <w:ilvl w:val="0"/>
          <w:numId w:val="3"/>
        </w:numPr>
      </w:pPr>
      <w:r>
        <w:t>Employment as of a consistent reference date (ideally the 12th of the month, matching the CES pay-period concept)</w:t>
      </w:r>
    </w:p>
    <w:p w14:paraId="7CD80F1B" w14:textId="77777777" w:rsidR="00D66F1E" w:rsidRDefault="00000000">
      <w:pPr>
        <w:pStyle w:val="Compact"/>
        <w:numPr>
          <w:ilvl w:val="0"/>
          <w:numId w:val="3"/>
        </w:numPr>
      </w:pPr>
      <w:r>
        <w:t>Wages (for CES qualified payments, ideally with the payments available individually in addition to aggregate to gross pay)</w:t>
      </w:r>
    </w:p>
    <w:p w14:paraId="07C88469" w14:textId="77777777" w:rsidR="00D66F1E" w:rsidRDefault="00000000">
      <w:pPr>
        <w:pStyle w:val="Compact"/>
        <w:numPr>
          <w:ilvl w:val="0"/>
          <w:numId w:val="3"/>
        </w:numPr>
      </w:pPr>
      <w:r>
        <w:t>Industry classification (ideally 6-digit NAICS)</w:t>
      </w:r>
    </w:p>
    <w:p w14:paraId="328C5E87" w14:textId="77777777" w:rsidR="00D66F1E" w:rsidRDefault="00000000">
      <w:pPr>
        <w:pStyle w:val="Compact"/>
        <w:numPr>
          <w:ilvl w:val="0"/>
          <w:numId w:val="3"/>
        </w:numPr>
      </w:pPr>
      <w:r>
        <w:t>Geographic classification (ideally geocodes for both the client and its employees)</w:t>
      </w:r>
    </w:p>
    <w:p w14:paraId="4E13253A" w14:textId="77777777" w:rsidR="00D66F1E" w:rsidRDefault="00000000">
      <w:pPr>
        <w:pStyle w:val="Compact"/>
        <w:numPr>
          <w:ilvl w:val="0"/>
          <w:numId w:val="3"/>
        </w:numPr>
      </w:pPr>
      <w:r>
        <w:t>Entry and exit dates:</w:t>
      </w:r>
    </w:p>
    <w:p w14:paraId="4F880726" w14:textId="77777777" w:rsidR="00D66F1E" w:rsidRDefault="00000000">
      <w:pPr>
        <w:pStyle w:val="Compact"/>
        <w:numPr>
          <w:ilvl w:val="1"/>
          <w:numId w:val="4"/>
        </w:numPr>
      </w:pPr>
      <w:r>
        <w:t>At the client level (when the client entered/exited the provider’s platform)</w:t>
      </w:r>
    </w:p>
    <w:p w14:paraId="308717EB" w14:textId="77777777" w:rsidR="00D66F1E" w:rsidRDefault="00000000">
      <w:pPr>
        <w:pStyle w:val="Compact"/>
        <w:numPr>
          <w:ilvl w:val="1"/>
          <w:numId w:val="4"/>
        </w:numPr>
      </w:pPr>
      <w:r>
        <w:t>Client-employee level (employee hire and separation dates)</w:t>
      </w:r>
    </w:p>
    <w:p w14:paraId="49AD676A" w14:textId="77777777" w:rsidR="00D66F1E" w:rsidRDefault="00000000">
      <w:pPr>
        <w:pStyle w:val="FirstParagraph"/>
      </w:pPr>
      <w:r>
        <w:t>These attributes permit comparisons along the dimensions that official statistics report: industry, geography, and establishment size (derived from employment counts).</w:t>
      </w:r>
    </w:p>
    <w:p w14:paraId="1C652D92" w14:textId="77777777" w:rsidR="00D66F1E" w:rsidRDefault="00000000">
      <w:pPr>
        <w:pStyle w:val="Heading3"/>
      </w:pPr>
      <w:bookmarkStart w:id="6" w:name="what-are-the-reference-periods"/>
      <w:bookmarkEnd w:id="5"/>
      <w:r>
        <w:t>What are the reference periods?</w:t>
      </w:r>
    </w:p>
    <w:p w14:paraId="7091E844" w14:textId="77777777" w:rsidR="00D66F1E" w:rsidRDefault="00000000">
      <w:pPr>
        <w:pStyle w:val="FirstParagraph"/>
      </w:pPr>
      <w:r>
        <w:t>Temporal alignment is critical. QCEW reports employment with a reference period of the 12th of each month for months 1, 2, and 3 within each quarter, corresponding to the three calendar months. If the payroll data uses a consistent monthly reference date, each payroll month maps to one of these three QCEW within-quarter months. CES reports monthly with a reference period centered on the pay period including the 12th. If the payroll reference date is the 12th, alignment with QCEW and CES is exact.</w:t>
      </w:r>
    </w:p>
    <w:p w14:paraId="28887BAE" w14:textId="77777777" w:rsidR="00D66F1E" w:rsidRDefault="00000000">
      <w:pPr>
        <w:pStyle w:val="BodyText"/>
      </w:pPr>
      <w:r>
        <w:t>All comparisons should be performed on reference-period-aligned data.</w:t>
      </w:r>
    </w:p>
    <w:p w14:paraId="16FD892C" w14:textId="77777777" w:rsidR="00D66F1E" w:rsidRDefault="00000000">
      <w:pPr>
        <w:pStyle w:val="Heading2"/>
      </w:pPr>
      <w:bookmarkStart w:id="7" w:name="static-representativeness"/>
      <w:bookmarkEnd w:id="2"/>
      <w:bookmarkEnd w:id="6"/>
      <w:r>
        <w:t>2. Static Representativeness</w:t>
      </w:r>
    </w:p>
    <w:p w14:paraId="178410FD" w14:textId="77777777" w:rsidR="00D66F1E" w:rsidRDefault="00000000">
      <w:pPr>
        <w:pStyle w:val="FirstParagraph"/>
      </w:pPr>
      <w:r>
        <w:t>The first tier asks: does the payroll provider’s client base look like the economy in levels and composition? The benchmark is QCEW.</w:t>
      </w:r>
    </w:p>
    <w:p w14:paraId="408C6FA2" w14:textId="77777777" w:rsidR="00D66F1E" w:rsidRDefault="00000000">
      <w:pPr>
        <w:pStyle w:val="Heading3"/>
      </w:pPr>
      <w:bookmarkStart w:id="8" w:name="coverage-ratios"/>
      <w:r>
        <w:t>2.1 Coverage Ratios</w:t>
      </w:r>
    </w:p>
    <w:p w14:paraId="66A37CC1" w14:textId="77777777" w:rsidR="00D66F1E" w:rsidRDefault="00000000">
      <w:pPr>
        <w:pStyle w:val="FirstParagraph"/>
      </w:pPr>
      <w:r>
        <w:t>For each analytical cell — defined by the intersection of time period, industry, geography, and size class — compute coverage ratios for both establishments and employment.</w:t>
      </w:r>
    </w:p>
    <w:p w14:paraId="28F5EF53" w14:textId="77777777" w:rsidR="00D66F1E" w:rsidRDefault="00000000">
      <w:pPr>
        <w:pStyle w:val="BodyText"/>
      </w:pPr>
      <w:r>
        <w:t>These ratios quantify how much of the economy the provider observes. They should be computed at multiple levels of aggregation: national total, by supersector, by state, by size class, and at key cross-tabulations (supersector × state, supersector × size class).</w:t>
      </w:r>
    </w:p>
    <w:p w14:paraId="7DEB1C9D" w14:textId="77777777" w:rsidR="00D66F1E" w:rsidRDefault="00000000">
      <w:pPr>
        <w:pStyle w:val="BodyText"/>
      </w:pPr>
      <w:r>
        <w:lastRenderedPageBreak/>
        <w:t>The cross-tabulations are where the interesting findings typically emerge. A provider may have nationally representative industry composition but achieve it through geographic concentration within industries — for instance, overrepresenting professional services in coastal states and underrepresenting it elsewhere.</w:t>
      </w:r>
    </w:p>
    <w:p w14:paraId="3FB5AE98" w14:textId="77777777" w:rsidR="00D66F1E" w:rsidRDefault="00000000">
      <w:pPr>
        <w:pStyle w:val="BodyText"/>
      </w:pPr>
      <w:r>
        <w:t>Size-class comparisons require care. QCEW publishes establishment-size-class data only for Q1 of each year, so these comparisons are annual. Size classes are assigned based on the employment count at the time of observation, which means the same establishment can move between size classes over time. This is true in both the payroll data and QCEW and does not introduce a comparability problem.</w:t>
      </w:r>
    </w:p>
    <w:p w14:paraId="37F7C4ED" w14:textId="77777777" w:rsidR="00D66F1E" w:rsidRDefault="00000000">
      <w:pPr>
        <w:pStyle w:val="Heading3"/>
      </w:pPr>
      <w:bookmarkStart w:id="9" w:name="distributional-comparisons"/>
      <w:bookmarkEnd w:id="8"/>
      <w:r>
        <w:t>2.2 Distributional Comparisons</w:t>
      </w:r>
    </w:p>
    <w:p w14:paraId="374A8B6B" w14:textId="77777777" w:rsidR="00D66F1E" w:rsidRDefault="00000000">
      <w:pPr>
        <w:pStyle w:val="FirstParagraph"/>
      </w:pPr>
      <w:r>
        <w:t>Beyond coverage levels, compare the shape of the payroll provider’s distribution to the economy’s distribution along each dimension.</w:t>
      </w:r>
    </w:p>
    <w:p w14:paraId="41D3611C" w14:textId="77777777" w:rsidR="00D66F1E" w:rsidRDefault="00000000">
      <w:pPr>
        <w:pStyle w:val="BodyText"/>
      </w:pPr>
      <w:r>
        <w:t>For a given dimension (e.g., supersector), compute the payroll provider’s share of total employment in each category and the corresponding QCEW share. The misallocation index is:</w:t>
      </w:r>
    </w:p>
    <w:p w14:paraId="654155D2" w14:textId="77777777" w:rsidR="00D66F1E" w:rsidRDefault="00000000">
      <w:pPr>
        <w:pStyle w:val="BodyText"/>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nary>
        </m:oMath>
      </m:oMathPara>
    </w:p>
    <w:p w14:paraId="168653A6" w14:textId="77777777" w:rsidR="00D66F1E" w:rsidRDefault="00000000">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denote the shares in category </w:t>
      </w:r>
      <m:oMath>
        <m:r>
          <w:rPr>
            <w:rFonts w:ascii="Cambria Math" w:hAnsi="Cambria Math"/>
          </w:rPr>
          <m:t>i</m:t>
        </m:r>
      </m:oMath>
      <w:r>
        <w:t>. This index has an intuitive interpretation: it is the fraction of the payroll provider’s employment that would need to be “moved” between categories to exactly match QCEW’s distribution. A value of 0 means perfect distributional match; a value approaching 1 means almost no overlap.</w:t>
      </w:r>
    </w:p>
    <w:p w14:paraId="3A43D289" w14:textId="77777777" w:rsidR="00D66F1E" w:rsidRDefault="00000000">
      <w:pPr>
        <w:pStyle w:val="BodyText"/>
      </w:pPr>
      <w:r>
        <w:t xml:space="preserve">Compute </w:t>
      </w:r>
      <m:oMath>
        <m:r>
          <w:rPr>
            <w:rFonts w:ascii="Cambria Math" w:hAnsi="Cambria Math"/>
          </w:rPr>
          <m:t>D</m:t>
        </m:r>
      </m:oMath>
      <w:r>
        <w:t xml:space="preserve"> separately for industry, state, and size class distributions. Track </w:t>
      </w:r>
      <m:oMath>
        <m:r>
          <w:rPr>
            <w:rFonts w:ascii="Cambria Math" w:hAnsi="Cambria Math"/>
          </w:rPr>
          <m:t>D</m:t>
        </m:r>
      </m:oMath>
      <w:r>
        <w:t xml:space="preserve"> over time to assess whether representativeness is improving, stable, or deteriorating.</w:t>
      </w:r>
    </w:p>
    <w:p w14:paraId="56F09355" w14:textId="77777777" w:rsidR="00D66F1E" w:rsidRDefault="00000000">
      <w:pPr>
        <w:pStyle w:val="BodyText"/>
      </w:pPr>
      <w:r>
        <w:t>This index is preferred over alternatives (chi-squared, KL divergence) because it is bounded, symmetric, and directly interpretable in terms of employment shares.</w:t>
      </w:r>
    </w:p>
    <w:p w14:paraId="6650FB3E" w14:textId="77777777" w:rsidR="00D66F1E" w:rsidRDefault="00000000">
      <w:pPr>
        <w:pStyle w:val="Heading3"/>
      </w:pPr>
      <w:bookmarkStart w:id="10" w:name="composition-shift-index"/>
      <w:bookmarkEnd w:id="9"/>
      <w:r>
        <w:t>2.3 Composition Shift Index</w:t>
      </w:r>
    </w:p>
    <w:p w14:paraId="4BC371C8" w14:textId="77777777" w:rsidR="00D66F1E" w:rsidRDefault="00000000">
      <w:pPr>
        <w:pStyle w:val="FirstParagraph"/>
      </w:pPr>
      <w:r>
        <w:t>While the misallocation index measures cross-sectional distributional distance from a benchmark, the Composition Shift Index (CSI) tracks how rapidly the sample’s own composition is changing over time:</w:t>
      </w:r>
    </w:p>
    <w:p w14:paraId="23F0F3F4" w14:textId="77777777" w:rsidR="00D66F1E" w:rsidRDefault="00000000">
      <w:pPr>
        <w:pStyle w:val="BodyText"/>
      </w:pPr>
      <m:oMathPara>
        <m:oMathParaPr>
          <m:jc m:val="center"/>
        </m:oMathParaPr>
        <m:oMath>
          <m:sSub>
            <m:sSubPr>
              <m:ctrlPr>
                <w:rPr>
                  <w:rFonts w:ascii="Cambria Math" w:hAnsi="Cambria Math"/>
                </w:rPr>
              </m:ctrlPr>
            </m:sSubPr>
            <m:e>
              <m:r>
                <m:rPr>
                  <m:nor/>
                </m:rPr>
                <m:t>CSI</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e>
          </m:nary>
        </m:oMath>
      </m:oMathPara>
    </w:p>
    <w:p w14:paraId="6DCB9980" w14:textId="77777777" w:rsidR="00D66F1E" w:rsidRDefault="00000000">
      <w:pPr>
        <w:pStyle w:val="FirstParagrap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t</m:t>
            </m:r>
          </m:sub>
        </m:sSub>
      </m:oMath>
      <w:r>
        <w:t xml:space="preserve"> is the employment share of category </w:t>
      </w:r>
      <m:oMath>
        <m:r>
          <w:rPr>
            <w:rFonts w:ascii="Cambria Math" w:hAnsi="Cambria Math"/>
          </w:rPr>
          <m:t>i</m:t>
        </m:r>
      </m:oMath>
      <w:r>
        <w:t xml:space="preserve"> at time </w:t>
      </w:r>
      <m:oMath>
        <m:r>
          <w:rPr>
            <w:rFonts w:ascii="Cambria Math" w:hAnsi="Cambria Math"/>
          </w:rPr>
          <m:t>t</m:t>
        </m:r>
      </m:oMath>
      <w:r>
        <w:t>. The CSI is bounded on [0, 2] and should be computed separately for industry, geographic, and size class distributions.</w:t>
      </w:r>
    </w:p>
    <w:p w14:paraId="36CCB6BE" w14:textId="77777777" w:rsidR="00D66F1E" w:rsidRDefault="00000000">
      <w:pPr>
        <w:pStyle w:val="BodyText"/>
      </w:pPr>
      <w:r>
        <w:t xml:space="preserve">A CSI near zero indicates stable composition, meaning aggregate changes reflect true economic dynamics. Elevated CSI values (above roughly 0.05) indicate that aggregate </w:t>
      </w:r>
      <w:r>
        <w:lastRenderedPageBreak/>
        <w:t>trends conflate true dynamics with mix effects, warranting caution and suggesting the need for fixed-composition indices or reweighting.</w:t>
      </w:r>
    </w:p>
    <w:p w14:paraId="668B586F" w14:textId="77777777" w:rsidR="00D66F1E" w:rsidRDefault="00000000">
      <w:pPr>
        <w:pStyle w:val="Heading3"/>
      </w:pPr>
      <w:bookmarkStart w:id="11" w:name="temporal-stability"/>
      <w:bookmarkEnd w:id="10"/>
      <w:r>
        <w:t>2.4 Temporal Stability</w:t>
      </w:r>
    </w:p>
    <w:p w14:paraId="0ACC8A1F" w14:textId="77777777" w:rsidR="00D66F1E" w:rsidRDefault="00000000">
      <w:pPr>
        <w:pStyle w:val="FirstParagraph"/>
      </w:pPr>
      <w:r>
        <w:t>The most useful convenience sample is one whose biases are stable. If coverage ratios and distributional divergence metrics change slowly and predictably, downstream users can calibrate their expectations. If they shift abruptly — say, because the provider acquires a large client in a new industry — the sample’s value for time-series analysis is diminished.</w:t>
      </w:r>
    </w:p>
    <w:p w14:paraId="63DB7B09" w14:textId="77777777" w:rsidR="00D66F1E" w:rsidRDefault="00000000">
      <w:pPr>
        <w:pStyle w:val="BodyText"/>
      </w:pPr>
      <w:r>
        <w:t>Plot coverage ratios and the misallocation index over the full available time span. Pay particular attention to:</w:t>
      </w:r>
    </w:p>
    <w:p w14:paraId="760BF5D0" w14:textId="77777777" w:rsidR="00D66F1E" w:rsidRDefault="00000000">
      <w:pPr>
        <w:pStyle w:val="Compact"/>
        <w:numPr>
          <w:ilvl w:val="0"/>
          <w:numId w:val="5"/>
        </w:numPr>
      </w:pPr>
      <w:r>
        <w:t>COVID-era dynamics (2020Q2–2021Q2): Did the provider’s client base experience different patterns of employment decline and recovery than the economy at large? If the provider disproportionately serves industries or regions that were more or less affected by shutdowns, this will show up as a shift in coverage and composition.</w:t>
      </w:r>
    </w:p>
    <w:p w14:paraId="43E21BD5" w14:textId="77777777" w:rsidR="00D66F1E" w:rsidRDefault="00000000">
      <w:pPr>
        <w:pStyle w:val="Compact"/>
        <w:numPr>
          <w:ilvl w:val="0"/>
          <w:numId w:val="5"/>
        </w:numPr>
      </w:pPr>
      <w:r>
        <w:t>Structural breaks: Large, sudden changes in coverage within a cell may indicate a big client onboarding or loss. These events should be identified and documented, as they can distort time-series properties.</w:t>
      </w:r>
    </w:p>
    <w:p w14:paraId="54528A2D" w14:textId="77777777" w:rsidR="00D66F1E" w:rsidRDefault="00000000">
      <w:pPr>
        <w:pStyle w:val="Compact"/>
        <w:numPr>
          <w:ilvl w:val="0"/>
          <w:numId w:val="5"/>
        </w:numPr>
      </w:pPr>
      <w:r>
        <w:t>Secular trends: Is the provider gaining market share in some industries and losing it in others? This is not a problem per se but needs to be known.</w:t>
      </w:r>
    </w:p>
    <w:p w14:paraId="7D8BCB58" w14:textId="77777777" w:rsidR="00D66F1E" w:rsidRDefault="00000000">
      <w:pPr>
        <w:pStyle w:val="Heading3"/>
      </w:pPr>
      <w:bookmarkStart w:id="12" w:name="cell-level-reliability-assessment"/>
      <w:bookmarkEnd w:id="11"/>
      <w:r>
        <w:t>2.5 Cell-Level Reliability Assessment</w:t>
      </w:r>
    </w:p>
    <w:p w14:paraId="7704D77E" w14:textId="77777777" w:rsidR="00D66F1E" w:rsidRDefault="00000000">
      <w:pPr>
        <w:pStyle w:val="FirstParagraph"/>
      </w:pPr>
      <w:r>
        <w:t>Not all cells are equally usable. A cell with 10 clients covering 0.1% of QCEW employment should not be relied upon for standalone analysis.</w:t>
      </w:r>
    </w:p>
    <w:p w14:paraId="0FCBE59A" w14:textId="77777777" w:rsidR="00D66F1E" w:rsidRDefault="00000000">
      <w:pPr>
        <w:pStyle w:val="BodyText"/>
      </w:pPr>
      <w:r>
        <w:t>For each cell, classify reliability as:</w:t>
      </w:r>
    </w:p>
    <w:p w14:paraId="1C33FCEB" w14:textId="77777777" w:rsidR="00D66F1E" w:rsidRDefault="00000000">
      <w:pPr>
        <w:pStyle w:val="Compact"/>
        <w:numPr>
          <w:ilvl w:val="0"/>
          <w:numId w:val="6"/>
        </w:numPr>
      </w:pPr>
      <w:r>
        <w:t>Reliable: Sufficient client count (e.g., ≥30) and meaningful coverage (e.g., ≥0.5% of QCEW employment)</w:t>
      </w:r>
    </w:p>
    <w:p w14:paraId="117A9126" w14:textId="77777777" w:rsidR="00D66F1E" w:rsidRDefault="00000000">
      <w:pPr>
        <w:pStyle w:val="Compact"/>
        <w:numPr>
          <w:ilvl w:val="0"/>
          <w:numId w:val="6"/>
        </w:numPr>
      </w:pPr>
      <w:r>
        <w:t>Marginal: Meets one threshold but not both</w:t>
      </w:r>
    </w:p>
    <w:p w14:paraId="261F271D" w14:textId="77777777" w:rsidR="00D66F1E" w:rsidRDefault="00000000">
      <w:pPr>
        <w:pStyle w:val="Compact"/>
        <w:numPr>
          <w:ilvl w:val="0"/>
          <w:numId w:val="6"/>
        </w:numPr>
      </w:pPr>
      <w:r>
        <w:t>Insufficient: Meets neither</w:t>
      </w:r>
    </w:p>
    <w:p w14:paraId="142C41E1" w14:textId="77777777" w:rsidR="00D66F1E" w:rsidRDefault="00000000">
      <w:pPr>
        <w:pStyle w:val="FirstParagraph"/>
      </w:pPr>
      <w:r>
        <w:t>The thresholds are judgments, not statistical cutoffs, and should be calibrated to the intended use case. The output is a usability map — typically a matrix of state × supersector cells, color-coded by reliability — that tells downstream users where they can trust the data.</w:t>
      </w:r>
    </w:p>
    <w:p w14:paraId="00E80D03" w14:textId="77777777" w:rsidR="00D66F1E" w:rsidRDefault="00000000">
      <w:pPr>
        <w:pStyle w:val="BodyText"/>
      </w:pPr>
      <w:r>
        <w:t>This is the single most important output of the analysis. It transforms a vague “is the data good?” into a precise “the data is good for these uses and not for those.”</w:t>
      </w:r>
    </w:p>
    <w:p w14:paraId="6147EF60" w14:textId="77777777" w:rsidR="00D66F1E" w:rsidRDefault="00000000">
      <w:pPr>
        <w:pStyle w:val="Heading2"/>
      </w:pPr>
      <w:bookmarkStart w:id="13" w:name="dynamic-tracking"/>
      <w:bookmarkEnd w:id="7"/>
      <w:bookmarkEnd w:id="12"/>
      <w:r>
        <w:t>3. Dynamic Tracking</w:t>
      </w:r>
    </w:p>
    <w:p w14:paraId="1FB71410" w14:textId="77777777" w:rsidR="00D66F1E" w:rsidRDefault="00000000">
      <w:pPr>
        <w:pStyle w:val="FirstParagraph"/>
      </w:pPr>
      <w:r>
        <w:t xml:space="preserve">Static representativeness does not guarantee that the data tracks changes well. A provider could cover 5% of employment with a compositionally similar client base but </w:t>
      </w:r>
      <w:r>
        <w:lastRenderedPageBreak/>
        <w:t>systematically miss turning points because its client base churns for reasons unrelated to business cycles.</w:t>
      </w:r>
    </w:p>
    <w:p w14:paraId="4D89751D" w14:textId="77777777" w:rsidR="00D66F1E" w:rsidRDefault="00000000">
      <w:pPr>
        <w:pStyle w:val="BodyText"/>
      </w:pPr>
      <w:r>
        <w:t>The second tier compares employment growth in the payroll data to official growth estimates. The primary benchmark is CES (monthly, timely, subject to revision); QCEW (quarterly, near-universe, lagged) serves as a secondary check.</w:t>
      </w:r>
    </w:p>
    <w:p w14:paraId="2D5EC86E" w14:textId="77777777" w:rsidR="00D66F1E" w:rsidRDefault="00000000">
      <w:pPr>
        <w:pStyle w:val="Heading3"/>
      </w:pPr>
      <w:bookmarkStart w:id="14" w:name="growth-rate-comparisons"/>
      <w:r>
        <w:t>3.1 Growth Rate Comparisons</w:t>
      </w:r>
    </w:p>
    <w:p w14:paraId="283BF735" w14:textId="77777777" w:rsidR="00D66F1E" w:rsidRDefault="00000000">
      <w:pPr>
        <w:pStyle w:val="FirstParagraph"/>
      </w:pPr>
      <w:r>
        <w:t>Compute month-over-month and year-over-year employment growth in the payroll data and in CES, at the national and supersector levels. Year-over-year comparisons are more informative than month-over-month because they remove seasonal effects without requiring seasonal adjustment (which the payroll data likely lacks).</w:t>
      </w:r>
    </w:p>
    <w:p w14:paraId="1F877E87" w14:textId="77777777" w:rsidR="00D66F1E" w:rsidRDefault="00000000">
      <w:pPr>
        <w:pStyle w:val="BodyText"/>
      </w:pPr>
      <w:r>
        <w:t>For each comparison level, compute:</w:t>
      </w:r>
    </w:p>
    <w:p w14:paraId="2C0DC574" w14:textId="77777777" w:rsidR="00D66F1E" w:rsidRDefault="00000000">
      <w:pPr>
        <w:pStyle w:val="Compact"/>
        <w:numPr>
          <w:ilvl w:val="0"/>
          <w:numId w:val="7"/>
        </w:numPr>
      </w:pPr>
      <w:r>
        <w:t>Correlation over the full period</w:t>
      </w:r>
    </w:p>
    <w:p w14:paraId="275CC6C3" w14:textId="77777777" w:rsidR="00D66F1E" w:rsidRDefault="00000000">
      <w:pPr>
        <w:pStyle w:val="Compact"/>
        <w:numPr>
          <w:ilvl w:val="0"/>
          <w:numId w:val="7"/>
        </w:numPr>
      </w:pPr>
      <w:r>
        <w:t>Mean signed difference (bias): Does the payroll data systematically overstate or understate growth?</w:t>
      </w:r>
    </w:p>
    <w:p w14:paraId="2D41F597" w14:textId="77777777" w:rsidR="00D66F1E" w:rsidRDefault="00000000">
      <w:pPr>
        <w:pStyle w:val="Compact"/>
        <w:numPr>
          <w:ilvl w:val="0"/>
          <w:numId w:val="7"/>
        </w:numPr>
      </w:pPr>
      <w:r>
        <w:t>Mean absolute error (MAE): How far off is the payroll data, on average?</w:t>
      </w:r>
    </w:p>
    <w:p w14:paraId="56777806" w14:textId="77777777" w:rsidR="00D66F1E" w:rsidRDefault="00000000">
      <w:pPr>
        <w:pStyle w:val="Compact"/>
        <w:numPr>
          <w:ilvl w:val="0"/>
          <w:numId w:val="7"/>
        </w:numPr>
      </w:pPr>
      <w:r>
        <w:t>Rolling correlation (12-month window): Is tracking improving or degrading over time?</w:t>
      </w:r>
    </w:p>
    <w:p w14:paraId="404453AC" w14:textId="77777777" w:rsidR="00D66F1E" w:rsidRDefault="00000000">
      <w:pPr>
        <w:pStyle w:val="Heading3"/>
      </w:pPr>
      <w:bookmarkStart w:id="15" w:name="decomposing-growth-divergence"/>
      <w:bookmarkEnd w:id="14"/>
      <w:r>
        <w:t>3.2 Decomposing Growth Divergence</w:t>
      </w:r>
    </w:p>
    <w:p w14:paraId="184AD0FE" w14:textId="77777777" w:rsidR="00D66F1E" w:rsidRDefault="00000000">
      <w:pPr>
        <w:pStyle w:val="FirstParagraph"/>
      </w:pPr>
      <w:r>
        <w:t>When payroll growth diverges from official growth, the divergence may be compositional or fundamental.</w:t>
      </w:r>
    </w:p>
    <w:p w14:paraId="09405C25" w14:textId="77777777" w:rsidR="00D66F1E" w:rsidRDefault="00000000">
      <w:pPr>
        <w:pStyle w:val="BodyText"/>
      </w:pPr>
      <w:r>
        <w:t>Compositional divergence arises when the payroll provider overweights industries or states that happen to be growing faster (or slower) than the overall economy. This type of divergence is correctable through reweighting.</w:t>
      </w:r>
    </w:p>
    <w:p w14:paraId="051BAFF1" w14:textId="77777777" w:rsidR="00D66F1E" w:rsidRDefault="00000000">
      <w:pPr>
        <w:pStyle w:val="BodyText"/>
      </w:pPr>
      <w:r>
        <w:t>Within-cell divergence arises when, even within the same industry × state, the payroll provider’s clients grow at different rates than the broader population. This is harder to correct and may indicate selection effects (e.g., the provider’s clients are younger firms, or growing firms, or firms in a particular stage of outsourcing payroll).</w:t>
      </w:r>
    </w:p>
    <w:p w14:paraId="12396262" w14:textId="77777777" w:rsidR="00D66F1E" w:rsidRDefault="00000000">
      <w:pPr>
        <w:pStyle w:val="BodyText"/>
      </w:pPr>
      <w:r>
        <w:t>A shift-share decomposition separates these effects. The difference between payroll and official aggregate growth can be decomposed into a composition effect and a within-cell effect. If the composition effect dominates, reweighting will substantially improve tracking. If the within-cell effect dominates, the divergence reflects a deeper selection issue.</w:t>
      </w:r>
    </w:p>
    <w:p w14:paraId="3E7FF50F" w14:textId="77777777" w:rsidR="00D66F1E" w:rsidRDefault="00000000">
      <w:pPr>
        <w:pStyle w:val="Heading3"/>
      </w:pPr>
      <w:bookmarkStart w:id="16" w:name="employment-change-decomposition"/>
      <w:bookmarkEnd w:id="15"/>
      <w:r>
        <w:t>3.3 Employment Change Decomposition</w:t>
      </w:r>
    </w:p>
    <w:p w14:paraId="4DE927C6" w14:textId="77777777" w:rsidR="00D66F1E" w:rsidRDefault="00000000">
      <w:pPr>
        <w:pStyle w:val="FirstParagraph"/>
      </w:pPr>
      <w:r>
        <w:t>A complementary decomposition breaks monthly employment change into three components:</w:t>
      </w:r>
    </w:p>
    <w:p w14:paraId="04A7C348" w14:textId="77777777" w:rsidR="00D66F1E" w:rsidRDefault="00000000">
      <w:pPr>
        <w:pStyle w:val="Compact"/>
        <w:numPr>
          <w:ilvl w:val="0"/>
          <w:numId w:val="8"/>
        </w:numPr>
      </w:pPr>
      <w:r>
        <w:rPr>
          <w:b/>
          <w:bCs/>
        </w:rPr>
        <w:lastRenderedPageBreak/>
        <w:t>Within-client change</w:t>
      </w:r>
      <w:r>
        <w:t>: Employment growth or decline at continuing clients (the intensive margin)</w:t>
      </w:r>
    </w:p>
    <w:p w14:paraId="32FB474C" w14:textId="77777777" w:rsidR="00D66F1E" w:rsidRDefault="00000000">
      <w:pPr>
        <w:pStyle w:val="Compact"/>
        <w:numPr>
          <w:ilvl w:val="0"/>
          <w:numId w:val="8"/>
        </w:numPr>
      </w:pPr>
      <w:r>
        <w:rPr>
          <w:b/>
          <w:bCs/>
        </w:rPr>
        <w:t>Entry contribution</w:t>
      </w:r>
      <w:r>
        <w:t>: Employment from newly entering clients (the extensive margin)</w:t>
      </w:r>
    </w:p>
    <w:p w14:paraId="6CEAF38A" w14:textId="77777777" w:rsidR="00D66F1E" w:rsidRDefault="00000000">
      <w:pPr>
        <w:pStyle w:val="Compact"/>
        <w:numPr>
          <w:ilvl w:val="0"/>
          <w:numId w:val="8"/>
        </w:numPr>
      </w:pPr>
      <w:r>
        <w:rPr>
          <w:b/>
          <w:bCs/>
        </w:rPr>
        <w:t>Exit contribution</w:t>
      </w:r>
      <w:r>
        <w:t>: Employment lost from exiting clients (the extensive margin)</w:t>
      </w:r>
    </w:p>
    <w:p w14:paraId="0C8DF989" w14:textId="77777777" w:rsidR="00D66F1E" w:rsidRDefault="00000000">
      <w:pPr>
        <w:pStyle w:val="FirstParagraph"/>
      </w:pPr>
      <w:r>
        <w:t>This decomposition is the key to understanding what drives aggregate employment changes. If within-client change dominates, the aggregate reflects true economic dynamics. If entry or exit contributions dominate, sample growth or shrinkage is contaminating the trend. For benchmarking against official statistics, within-client growth is the more reliable signal because it removes sample composition effects.</w:t>
      </w:r>
    </w:p>
    <w:p w14:paraId="3DAAAEBF" w14:textId="77777777" w:rsidR="00D66F1E" w:rsidRDefault="00000000">
      <w:pPr>
        <w:pStyle w:val="Heading3"/>
      </w:pPr>
      <w:bookmarkStart w:id="17" w:name="reweighted-estimates"/>
      <w:bookmarkEnd w:id="16"/>
      <w:r>
        <w:t>3.4 Reweighted Estimates</w:t>
      </w:r>
    </w:p>
    <w:p w14:paraId="57FEB525" w14:textId="77777777" w:rsidR="00D66F1E" w:rsidRDefault="00000000">
      <w:pPr>
        <w:pStyle w:val="FirstParagraph"/>
      </w:pPr>
      <w:r>
        <w:t>Construct reweighted employment estimates by raking the payroll data to match QCEW’s marginal distributions along industry, state, and size class. Raking (iterative proportional fitting) adjusts client-level weights so that the weighted payroll totals match QCEW totals along each margin, iterating until convergence.</w:t>
      </w:r>
    </w:p>
    <w:p w14:paraId="61782B86" w14:textId="77777777" w:rsidR="00D66F1E" w:rsidRDefault="00000000">
      <w:pPr>
        <w:pStyle w:val="BodyText"/>
      </w:pPr>
      <w:r>
        <w:t>Compare growth rates computed from the reweighted data to both the raw payroll growth rates and official CES growth. If reweighting substantially improves the correlation and reduces MAE, that confirms the divergence was compositional — and the reweighted estimates are a defensible product. If reweighting helps only modestly, the within-cell selection effect is the binding constraint.</w:t>
      </w:r>
    </w:p>
    <w:p w14:paraId="5A2AA0C6" w14:textId="77777777" w:rsidR="00D66F1E" w:rsidRDefault="00000000">
      <w:pPr>
        <w:pStyle w:val="Heading3"/>
      </w:pPr>
      <w:bookmarkStart w:id="18" w:name="turning-point-analysis"/>
      <w:bookmarkEnd w:id="17"/>
      <w:r>
        <w:t>3.5 Turning Point Analysis</w:t>
      </w:r>
    </w:p>
    <w:p w14:paraId="3066B7C1" w14:textId="77777777" w:rsidR="00D66F1E" w:rsidRDefault="00000000">
      <w:pPr>
        <w:pStyle w:val="FirstParagraph"/>
      </w:pPr>
      <w:r>
        <w:t>The most valuable property a timely data source can have is the ability to detect economic turning points before official statistics do.</w:t>
      </w:r>
    </w:p>
    <w:p w14:paraId="6FA42933" w14:textId="77777777" w:rsidR="00D66F1E" w:rsidRDefault="00000000">
      <w:pPr>
        <w:pStyle w:val="BodyText"/>
      </w:pPr>
      <w:r>
        <w:t>Identify months where employment growth changes sign (from positive to negative or vice versa) in either the payroll data or CES. For each turning point, measure the lead or lag in months between the payroll signal and the official signal. Summarize the distribution of leads and lags.</w:t>
      </w:r>
    </w:p>
    <w:p w14:paraId="07CD6B50" w14:textId="77777777" w:rsidR="00D66F1E" w:rsidRDefault="00000000">
      <w:pPr>
        <w:pStyle w:val="BodyText"/>
      </w:pPr>
      <w:r>
        <w:t>The payroll data should, at minimum, coincide with CES. Any systematic lead — even one month — is a significant value proposition, since it means the payroll data is detecting directional changes before the official estimate is published. The COVID recession and recovery are the most dramatic test case in the available sample period.</w:t>
      </w:r>
    </w:p>
    <w:p w14:paraId="6E9A912F" w14:textId="77777777" w:rsidR="00D66F1E" w:rsidRDefault="00000000">
      <w:pPr>
        <w:pStyle w:val="Heading2"/>
      </w:pPr>
      <w:bookmarkStart w:id="19" w:name="worker-level-flows"/>
      <w:bookmarkEnd w:id="13"/>
      <w:bookmarkEnd w:id="18"/>
      <w:r>
        <w:t>4. Worker-Level Flows</w:t>
      </w:r>
    </w:p>
    <w:p w14:paraId="3AC0AFF6" w14:textId="77777777" w:rsidR="00D66F1E" w:rsidRDefault="00000000">
      <w:pPr>
        <w:pStyle w:val="FirstParagraph"/>
      </w:pPr>
      <w:r>
        <w:t>Where employee-level records are available, the payroll data supports direct measurement of labor market flows — hires, separations, and turnover — that are invisible in net employment changes alone.</w:t>
      </w:r>
    </w:p>
    <w:p w14:paraId="0D2B3BD3" w14:textId="77777777" w:rsidR="00D66F1E" w:rsidRDefault="00000000">
      <w:pPr>
        <w:pStyle w:val="Heading3"/>
      </w:pPr>
      <w:bookmarkStart w:id="20" w:name="gross-job-flows"/>
      <w:r>
        <w:lastRenderedPageBreak/>
        <w:t>4.1 Gross Job Flows</w:t>
      </w:r>
    </w:p>
    <w:p w14:paraId="4EA2BDC1" w14:textId="77777777" w:rsidR="00D66F1E" w:rsidRDefault="00000000">
      <w:pPr>
        <w:pStyle w:val="FirstParagraph"/>
      </w:pPr>
      <w:r>
        <w:t>For each client-month, compute:</w:t>
      </w:r>
    </w:p>
    <w:p w14:paraId="5456867B" w14:textId="77777777" w:rsidR="00D66F1E" w:rsidRDefault="00000000">
      <w:pPr>
        <w:pStyle w:val="Compact"/>
        <w:numPr>
          <w:ilvl w:val="0"/>
          <w:numId w:val="9"/>
        </w:numPr>
      </w:pPr>
      <w:r>
        <w:rPr>
          <w:b/>
          <w:bCs/>
        </w:rPr>
        <w:t>Hires</w:t>
      </w:r>
      <w:r>
        <w:t>: Employees appearing in the current month but not the prior month (at the same client)</w:t>
      </w:r>
    </w:p>
    <w:p w14:paraId="1671EFB5" w14:textId="77777777" w:rsidR="00D66F1E" w:rsidRDefault="00000000">
      <w:pPr>
        <w:pStyle w:val="Compact"/>
        <w:numPr>
          <w:ilvl w:val="0"/>
          <w:numId w:val="9"/>
        </w:numPr>
      </w:pPr>
      <w:r>
        <w:rPr>
          <w:b/>
          <w:bCs/>
        </w:rPr>
        <w:t>Separations</w:t>
      </w:r>
      <w:r>
        <w:t>: Employees present in the current month but not the next month (at the same client)</w:t>
      </w:r>
    </w:p>
    <w:p w14:paraId="2C05B01F" w14:textId="77777777" w:rsidR="00D66F1E" w:rsidRDefault="00000000">
      <w:pPr>
        <w:pStyle w:val="Compact"/>
        <w:numPr>
          <w:ilvl w:val="0"/>
          <w:numId w:val="9"/>
        </w:numPr>
      </w:pPr>
      <w:r>
        <w:rPr>
          <w:b/>
          <w:bCs/>
        </w:rPr>
        <w:t>Continuing employment</w:t>
      </w:r>
      <w:r>
        <w:t>: Employees present in both the current and prior month</w:t>
      </w:r>
    </w:p>
    <w:p w14:paraId="71426608" w14:textId="77777777" w:rsidR="00D66F1E" w:rsidRDefault="00000000">
      <w:pPr>
        <w:pStyle w:val="FirstParagraph"/>
      </w:pPr>
      <w:r>
        <w:t>From these, derive rates as a share of employment: hire rate, separation rate, net growth rate, and churn rate (hires plus separations divided by employment).</w:t>
      </w:r>
    </w:p>
    <w:p w14:paraId="1B5139C5" w14:textId="77777777" w:rsidR="00D66F1E" w:rsidRDefault="00000000">
      <w:pPr>
        <w:pStyle w:val="BodyText"/>
      </w:pPr>
      <w:r>
        <w:t>Gross flows reveal dynamics invisible in net changes. A firm with stable employment could have zero percent turnover or fifty percent turnover with offsetting hires and separations — these represent fundamentally different labor market conditions. The hire rate serves as a leading indicator of expansion, while the separation rate signals contraction or restructuring.</w:t>
      </w:r>
    </w:p>
    <w:p w14:paraId="1621ED98" w14:textId="77777777" w:rsidR="00D66F1E" w:rsidRDefault="00000000">
      <w:pPr>
        <w:pStyle w:val="Heading3"/>
      </w:pPr>
      <w:bookmarkStart w:id="21" w:name="stratified-flow-analysis"/>
      <w:bookmarkEnd w:id="20"/>
      <w:r>
        <w:t>4.2 Stratified Flow Analysis</w:t>
      </w:r>
    </w:p>
    <w:p w14:paraId="2EA4AE72" w14:textId="77777777" w:rsidR="00D66F1E" w:rsidRDefault="00000000">
      <w:pPr>
        <w:pStyle w:val="FirstParagraph"/>
      </w:pPr>
      <w:r>
        <w:t>Compute gross job flows separately by geography (state, Census region, Census division), by industry (supersector, 2-digit NAICS sector, goods-producing vs. service-providing), and by establishment size class.</w:t>
      </w:r>
    </w:p>
    <w:p w14:paraId="7EC5172A" w14:textId="77777777" w:rsidR="00D66F1E" w:rsidRDefault="00000000">
      <w:pPr>
        <w:pStyle w:val="BodyText"/>
      </w:pPr>
      <w:r>
        <w:t>Stratification matters because industries have dramatically different turnover norms. Leisure and hospitality may exhibit roughly six percent monthly churn as a baseline, while professional services may run closer to two percent and manufacturing lower still. Comparing a provider’s flow rates within these strata to JOLTS data provides a validation pathway complementary to the CES growth-rate benchmarking in Section 3.</w:t>
      </w:r>
    </w:p>
    <w:p w14:paraId="6A169899" w14:textId="77777777" w:rsidR="00D66F1E" w:rsidRDefault="00000000">
      <w:pPr>
        <w:pStyle w:val="BodyText"/>
      </w:pPr>
      <w:r>
        <w:t>Geographic stratification also reveals sample coverage patterns: anomalous churn in particular states may reflect provider market penetration rather than genuine economic conditions.</w:t>
      </w:r>
    </w:p>
    <w:p w14:paraId="7FE90676" w14:textId="77777777" w:rsidR="00D66F1E" w:rsidRDefault="00000000">
      <w:pPr>
        <w:pStyle w:val="Heading3"/>
      </w:pPr>
      <w:bookmarkStart w:id="22" w:name="earnings-analysis"/>
      <w:bookmarkEnd w:id="21"/>
      <w:r>
        <w:t>4.3 Earnings Analysis</w:t>
      </w:r>
    </w:p>
    <w:p w14:paraId="29A9D7C0" w14:textId="77777777" w:rsidR="00D66F1E" w:rsidRDefault="00000000">
      <w:pPr>
        <w:pStyle w:val="FirstParagraph"/>
      </w:pPr>
      <w:r>
        <w:t>Payroll records contain actual payment data, which is more accurate than survey-based wage measures (actual payments rather than recalled estimates) and higher frequency than QCEW (monthly rather than quarterly).</w:t>
      </w:r>
    </w:p>
    <w:p w14:paraId="73C6B664" w14:textId="77777777" w:rsidR="00D66F1E" w:rsidRDefault="00000000">
      <w:pPr>
        <w:pStyle w:val="BodyText"/>
      </w:pPr>
      <w:r>
        <w:t>For each analytical cell, compute the distribution of monthly gross pay: mean, median, and percentiles (P10, P25, P75, P90), along with the standard deviation and coefficient of variation. Track year-over-year growth in mean and median earnings.</w:t>
      </w:r>
    </w:p>
    <w:p w14:paraId="29500BC5" w14:textId="77777777" w:rsidR="00D66F1E" w:rsidRDefault="00000000">
      <w:pPr>
        <w:pStyle w:val="BodyText"/>
      </w:pPr>
      <w:r>
        <w:t xml:space="preserve">Earnings analysis enables wage growth measurement relevant to inflation and monetary policy analysis, inequality tracking (the P90/P10 ratio and CV trends), and validation </w:t>
      </w:r>
      <w:r>
        <w:lastRenderedPageBreak/>
        <w:t>against QCEW average weekly wages. Note that gross pay includes overtime and bonuses and is therefore more volatile than base wages. Composition effects — changes in industry mix, part-time/full-time mix — can drive aggregate earnings movements independent of underlying wage growth.</w:t>
      </w:r>
    </w:p>
    <w:p w14:paraId="7EE05E8D" w14:textId="77777777" w:rsidR="00D66F1E" w:rsidRDefault="00000000">
      <w:pPr>
        <w:pStyle w:val="Heading2"/>
      </w:pPr>
      <w:bookmarkStart w:id="23" w:name="client-tenure-and-churn"/>
      <w:bookmarkEnd w:id="19"/>
      <w:bookmarkEnd w:id="22"/>
      <w:r>
        <w:t>5. Client Tenure and Churn</w:t>
      </w:r>
    </w:p>
    <w:p w14:paraId="00984D33" w14:textId="77777777" w:rsidR="00D66F1E" w:rsidRDefault="00000000">
      <w:pPr>
        <w:pStyle w:val="FirstParagraph"/>
      </w:pPr>
      <w:r>
        <w:t>Client-level analysis is essential for convenience samples because observed employment changes reflect both true economic dynamics and sample composition changes. Understanding client tenure helps distinguish these effects.</w:t>
      </w:r>
    </w:p>
    <w:p w14:paraId="6DD6484F" w14:textId="77777777" w:rsidR="00D66F1E" w:rsidRDefault="00000000">
      <w:pPr>
        <w:pStyle w:val="Heading3"/>
      </w:pPr>
      <w:bookmarkStart w:id="24" w:name="client-tenure-metrics"/>
      <w:r>
        <w:t>5.1 Client Tenure Metrics</w:t>
      </w:r>
    </w:p>
    <w:p w14:paraId="50A0F40A" w14:textId="77777777" w:rsidR="00D66F1E" w:rsidRDefault="00000000">
      <w:pPr>
        <w:pStyle w:val="FirstParagraph"/>
      </w:pPr>
      <w:r>
        <w:t>For each unique client, compute the date range in the sample (first and last observed), total tenure in months, count of actual observations (which may differ from tenure if gaps exist), the employment trajectory (initial, final, and average employment), and whether the client is a likely birth (filing date aligns with first observation within 90 days).</w:t>
      </w:r>
    </w:p>
    <w:p w14:paraId="49BEF3E1" w14:textId="77777777" w:rsidR="00D66F1E" w:rsidRDefault="00000000">
      <w:pPr>
        <w:pStyle w:val="BodyText"/>
      </w:pPr>
      <w:r>
        <w:t>Client tenure is foundational for stable panel construction (restricting to clients with 12+ or 24+ months of tenure removes entry and exit effects), birth identification, attrition analysis, and understanding vintage effects where newer clients may systematically differ from established ones.</w:t>
      </w:r>
    </w:p>
    <w:p w14:paraId="3D9EED2F" w14:textId="77777777" w:rsidR="00D66F1E" w:rsidRDefault="00000000">
      <w:pPr>
        <w:pStyle w:val="Heading3"/>
      </w:pPr>
      <w:bookmarkStart w:id="25" w:name="client-entry-and-exit"/>
      <w:bookmarkEnd w:id="24"/>
      <w:r>
        <w:t>5.2 Client Entry and Exit</w:t>
      </w:r>
    </w:p>
    <w:p w14:paraId="14FDF3E0" w14:textId="77777777" w:rsidR="00D66F1E" w:rsidRDefault="00000000">
      <w:pPr>
        <w:pStyle w:val="FirstParagraph"/>
      </w:pPr>
      <w:r>
        <w:t>Compute monthly counts and rates of client entries (first appearances), exits (last appearances), the churn rate (entries plus exits divided by active clients), and net client change.</w:t>
      </w:r>
    </w:p>
    <w:p w14:paraId="6D819D02" w14:textId="77777777" w:rsidR="00D66F1E" w:rsidRDefault="00000000">
      <w:pPr>
        <w:pStyle w:val="BodyText"/>
      </w:pPr>
      <w:r>
        <w:t>Client churn directly affects sample interpretation. High entry rates during periods of provider growth mean that aggregate employment growth is contaminated by composition effects. High exit rates may indicate either sample shrinkage or genuine economic downturn. Understanding client churn is essential for constructing “continuing client” panels that isolate true employment dynamics from sample evolution.</w:t>
      </w:r>
    </w:p>
    <w:p w14:paraId="20713E41" w14:textId="77777777" w:rsidR="00D66F1E" w:rsidRDefault="00000000">
      <w:pPr>
        <w:pStyle w:val="Heading3"/>
      </w:pPr>
      <w:bookmarkStart w:id="26" w:name="stratified-client-churn"/>
      <w:bookmarkEnd w:id="25"/>
      <w:r>
        <w:t>5.3 Stratified Client Churn</w:t>
      </w:r>
    </w:p>
    <w:p w14:paraId="336E0613" w14:textId="77777777" w:rsidR="00D66F1E" w:rsidRDefault="00000000">
      <w:pPr>
        <w:pStyle w:val="FirstParagraph"/>
      </w:pPr>
      <w:r>
        <w:t>Compute entry and exit rates stratified by geography, industry, and size class. Churn varies systematically across these dimensions: provider market penetration varies by region; some industries have inherently higher business turnover (restaurants versus utilities); and small establishments churn more — both economically and in switching providers.</w:t>
      </w:r>
    </w:p>
    <w:p w14:paraId="1EEBE52A" w14:textId="77777777" w:rsidR="00D66F1E" w:rsidRDefault="00000000">
      <w:pPr>
        <w:pStyle w:val="BodyText"/>
      </w:pPr>
      <w:r>
        <w:t>Stratified churn analysis helps distinguish sample dynamics (the provider gaining or losing market share), economic dynamics (actual business births and deaths), and data quality issues (anomalous patterns in specific cells).</w:t>
      </w:r>
    </w:p>
    <w:p w14:paraId="5AC34310" w14:textId="77777777" w:rsidR="00D66F1E" w:rsidRDefault="00000000">
      <w:pPr>
        <w:pStyle w:val="Heading3"/>
      </w:pPr>
      <w:bookmarkStart w:id="27" w:name="vintage-analysis"/>
      <w:bookmarkEnd w:id="26"/>
      <w:r>
        <w:lastRenderedPageBreak/>
        <w:t>5.4 Vintage Analysis</w:t>
      </w:r>
    </w:p>
    <w:p w14:paraId="0FF0AF9B" w14:textId="77777777" w:rsidR="00D66F1E" w:rsidRDefault="00000000">
      <w:pPr>
        <w:pStyle w:val="FirstParagraph"/>
      </w:pPr>
      <w:r>
        <w:t>Stratify employment and payroll aggregates by client “vintage” — the year (or quarter) the client first appeared in the sample.</w:t>
      </w:r>
    </w:p>
    <w:p w14:paraId="1F8D8B47" w14:textId="77777777" w:rsidR="00D66F1E" w:rsidRDefault="00000000">
      <w:pPr>
        <w:pStyle w:val="BodyText"/>
      </w:pPr>
      <w:r>
        <w:t>Fast-growing payroll providers face a fundamental challenge: newer clients may systematically differ from established ones. If thirty percent of current-period employment comes from clients who joined within the last twelve months, aggregate trends are heavily influenced by selection effects. Vintage analysis reveals composition contamination, systematic differences between newer and older clients in size, industry, or geography, and the extent to which trends based on continuing vintages diverge from trends including recent entrants.</w:t>
      </w:r>
    </w:p>
    <w:p w14:paraId="1424DE97" w14:textId="77777777" w:rsidR="00D66F1E" w:rsidRDefault="00000000">
      <w:pPr>
        <w:pStyle w:val="BodyText"/>
      </w:pPr>
      <w:r>
        <w:t>This analysis is essential for constructing uncontaminated trend estimates.</w:t>
      </w:r>
    </w:p>
    <w:p w14:paraId="657BF862" w14:textId="77777777" w:rsidR="00D66F1E" w:rsidRDefault="00000000">
      <w:pPr>
        <w:pStyle w:val="Heading3"/>
      </w:pPr>
      <w:bookmarkStart w:id="28" w:name="survival-analysis"/>
      <w:bookmarkEnd w:id="27"/>
      <w:r>
        <w:t>5.5 Survival Analysis</w:t>
      </w:r>
    </w:p>
    <w:p w14:paraId="5FF4A3E9" w14:textId="77777777" w:rsidR="00D66F1E" w:rsidRDefault="00000000">
      <w:pPr>
        <w:pStyle w:val="FirstParagraph"/>
      </w:pPr>
      <w:r>
        <w:t>Compute Kaplan-Meier-style survival curves showing the probability that a client remains in the sample at each tenure milestone (4, 8, 12, 16, 20 quarters), stratified by entry cohort year.</w:t>
      </w:r>
    </w:p>
    <w:p w14:paraId="47411974" w14:textId="77777777" w:rsidR="00D66F1E" w:rsidRDefault="00000000">
      <w:pPr>
        <w:pStyle w:val="BodyText"/>
      </w:pPr>
      <w:r>
        <w:t>Survival analysis reveals sample stability, cohort effects (do 2020 entrants behave differently than 2019 entrants?), and attrition patterns (steep early drop-off suggests data quality issues; gradual decline suggests natural attrition). Comparing survival rates across cohorts can identify changes in provider onboarding quality, economic shocks affecting business survival, and selection effects in client acquisition.</w:t>
      </w:r>
    </w:p>
    <w:p w14:paraId="277A61FD" w14:textId="77777777" w:rsidR="00D66F1E" w:rsidRDefault="00000000">
      <w:pPr>
        <w:pStyle w:val="Heading2"/>
      </w:pPr>
      <w:bookmarkStart w:id="29" w:name="establishment-birth-analysis"/>
      <w:bookmarkEnd w:id="23"/>
      <w:bookmarkEnd w:id="28"/>
      <w:r>
        <w:t>6. Establishment Birth Analysis</w:t>
      </w:r>
    </w:p>
    <w:p w14:paraId="1D0E0180" w14:textId="77777777" w:rsidR="00D66F1E" w:rsidRDefault="00000000">
      <w:pPr>
        <w:pStyle w:val="FirstParagraph"/>
      </w:pPr>
      <w:r>
        <w:t>Measuring business formation is where payroll provider data has both the most potential and the most risk of misinterpretation. A new client entering the provider’s platform is a mixture of genuine business births (new firms that did not previously exist), existing businesses switching from another payroll provider, and existing businesses newly outsourcing payroll for the first time. Only the first category corresponds to what BED measures as a birth. The other two inflate the apparent birth rate in raw client entry data.</w:t>
      </w:r>
    </w:p>
    <w:p w14:paraId="3D5C5621" w14:textId="77777777" w:rsidR="00D66F1E" w:rsidRDefault="00000000">
      <w:pPr>
        <w:pStyle w:val="Heading3"/>
      </w:pPr>
      <w:bookmarkStart w:id="30" w:name="if-a-birth-indicator-is-available"/>
      <w:r>
        <w:t>6.1 If a Birth Indicator Is Available</w:t>
      </w:r>
    </w:p>
    <w:p w14:paraId="1A610688" w14:textId="77777777" w:rsidR="00D66F1E" w:rsidRDefault="00000000">
      <w:pPr>
        <w:pStyle w:val="FirstParagraph"/>
      </w:pPr>
      <w:r>
        <w:t>Some payroll providers can match the date a client registered for an Employer Identification Number (EIN) to the date the client entered the provider’s platform. If these dates are within a close window (e.g., ±3 months), the client is very likely a genuine birth — a firm that was just created and immediately began processing payroll. If the EIN date is much earlier, the client is an existing business that switched providers.</w:t>
      </w:r>
    </w:p>
    <w:p w14:paraId="17446161" w14:textId="77777777" w:rsidR="00D66F1E" w:rsidRDefault="00000000">
      <w:pPr>
        <w:pStyle w:val="BodyText"/>
      </w:pPr>
      <w:r>
        <w:t>This indicator is typically sparse (available only for a subset of clients where EIN filing dates are accessible) but reliable when present (the EIN-to-onboarding proximity is a strong signal of true birth status).</w:t>
      </w:r>
    </w:p>
    <w:p w14:paraId="35589524" w14:textId="77777777" w:rsidR="00D66F1E" w:rsidRDefault="00000000">
      <w:pPr>
        <w:pStyle w:val="BodyText"/>
      </w:pPr>
      <w:r>
        <w:lastRenderedPageBreak/>
        <w:t>The key insight is that for the subset of clients where birth status is determinable, you have a complete classification: every client in that subset is either a birth or not a birth. This permits direct comparison of birth rates to BED, not just cyclical patterns but absolute levels.</w:t>
      </w:r>
    </w:p>
    <w:p w14:paraId="225E43D2" w14:textId="77777777" w:rsidR="00D66F1E" w:rsidRDefault="00000000">
      <w:pPr>
        <w:pStyle w:val="Heading4"/>
      </w:pPr>
      <w:bookmarkStart w:id="31" w:name="birth-rate-level-comparisons"/>
      <w:r>
        <w:t>Birth Rate Level Comparisons</w:t>
      </w:r>
    </w:p>
    <w:p w14:paraId="155C9C8B" w14:textId="77777777" w:rsidR="00D66F1E" w:rsidRDefault="00000000">
      <w:pPr>
        <w:pStyle w:val="FirstParagraph"/>
      </w:pPr>
      <w:r>
        <w:t>For the determinable subset, compute the birth rate as the number of identified births divided by total clients in the subset. Compare this to BED’s establishment birth rate at the same level of aggregation (quarter × industry, quarter × state, etc.).</w:t>
      </w:r>
    </w:p>
    <w:p w14:paraId="1CEE3E64" w14:textId="77777777" w:rsidR="00D66F1E" w:rsidRDefault="00000000">
      <w:pPr>
        <w:pStyle w:val="BodyText"/>
      </w:pPr>
      <w:r>
        <w:t>Systematic differences are themselves informative. A payroll birth rate consistently lower than BED suggests the provider disproportionately attracts established businesses. A rate consistently higher suggests the provider serves as an early-stage payroll solution. A gap that varies by industry or state reveals where the provider’s market position vis-à-vis startups differs from the economy.</w:t>
      </w:r>
    </w:p>
    <w:p w14:paraId="7ADC3726" w14:textId="77777777" w:rsidR="00D66F1E" w:rsidRDefault="00000000">
      <w:pPr>
        <w:pStyle w:val="Heading4"/>
      </w:pPr>
      <w:bookmarkStart w:id="32" w:name="Xe57f4b02a86b41eb0a3d4861f3528d8ffe9ee2b"/>
      <w:bookmarkEnd w:id="31"/>
      <w:r>
        <w:t>Compositional Validity of the Determinable Subset</w:t>
      </w:r>
    </w:p>
    <w:p w14:paraId="6D3CAF2D" w14:textId="77777777" w:rsidR="00D66F1E" w:rsidRDefault="00000000">
      <w:pPr>
        <w:pStyle w:val="FirstParagraph"/>
      </w:pPr>
      <w:r>
        <w:t>Before generalizing birth rate findings, check whether the subset of clients with determinable birth status is compositionally similar to the full client base. Compute the misallocation index (Section 2.2) comparing the determinable subset’s industry, state, and size distributions to those of the full client base. If the compositions are similar, the birth rates from the determinable subset are likely representative of the full client base. If they differ — for instance, if the determinable subset skews toward industries where EIN filing data is more accessible — the level comparison remains valid within the subset but should be extrapolated with caution.</w:t>
      </w:r>
    </w:p>
    <w:p w14:paraId="4C1953A6" w14:textId="77777777" w:rsidR="00D66F1E" w:rsidRDefault="00000000">
      <w:pPr>
        <w:pStyle w:val="Heading4"/>
      </w:pPr>
      <w:bookmarkStart w:id="33" w:name="predictive-lead-analysis"/>
      <w:bookmarkEnd w:id="32"/>
      <w:r>
        <w:t>Predictive Lead Analysis</w:t>
      </w:r>
    </w:p>
    <w:p w14:paraId="02AADC5A" w14:textId="77777777" w:rsidR="00D66F1E" w:rsidRDefault="00000000">
      <w:pPr>
        <w:pStyle w:val="FirstParagraph"/>
      </w:pPr>
      <w:r>
        <w:t xml:space="preserve">BED has a publication lag of approximately 7–8 months. If the payroll birth rate at quarter </w:t>
      </w:r>
      <m:oMath>
        <m:r>
          <w:rPr>
            <w:rFonts w:ascii="Cambria Math" w:hAnsi="Cambria Math"/>
          </w:rPr>
          <m:t>t</m:t>
        </m:r>
      </m:oMath>
      <w:r>
        <w:t xml:space="preserve"> predicts what BED will eventually publish for </w:t>
      </w:r>
      <m:oMath>
        <m:r>
          <w:rPr>
            <w:rFonts w:ascii="Cambria Math" w:hAnsi="Cambria Math"/>
          </w:rPr>
          <m:t>t</m:t>
        </m:r>
      </m:oMath>
      <w:r>
        <w:t xml:space="preserve"> (or </w:t>
      </w:r>
      <m:oMath>
        <m:r>
          <w:rPr>
            <w:rFonts w:ascii="Cambria Math" w:hAnsi="Cambria Math"/>
          </w:rPr>
          <m:t>t</m:t>
        </m:r>
        <m:r>
          <m:rPr>
            <m:sty m:val="p"/>
          </m:rPr>
          <w:rPr>
            <w:rFonts w:ascii="Cambria Math" w:hAnsi="Cambria Math"/>
          </w:rPr>
          <m:t>+</m:t>
        </m:r>
        <m:r>
          <w:rPr>
            <w:rFonts w:ascii="Cambria Math" w:hAnsi="Cambria Math"/>
          </w:rPr>
          <m:t>1</m:t>
        </m:r>
      </m:oMath>
      <w:r>
        <w:t>), the payroll data provides a real-time signal about business formation that is otherwise unavailable.</w:t>
      </w:r>
    </w:p>
    <w:p w14:paraId="6FD42263" w14:textId="77777777" w:rsidR="00D66F1E" w:rsidRDefault="00000000">
      <w:pPr>
        <w:pStyle w:val="BodyText"/>
      </w:pPr>
      <w:r>
        <w:t>Test this with progressively stronger models:</w:t>
      </w:r>
    </w:p>
    <w:p w14:paraId="38382AED" w14:textId="77777777" w:rsidR="00D66F1E" w:rsidRDefault="00000000">
      <w:pPr>
        <w:pStyle w:val="BodyText"/>
      </w:pPr>
      <w:r>
        <w:rPr>
          <w:b/>
          <w:bCs/>
        </w:rPr>
        <w:t>Cross-correlation.</w:t>
      </w:r>
      <w:r>
        <w:t xml:space="preserve"> Align the payroll and BED birth rate series by reference quarter and compute cross-correlations at lags 0 to ±4 quarters. If the peak correlation occurs when payroll leads BED (positive lag), there is a timing advantage.</w:t>
      </w:r>
    </w:p>
    <w:p w14:paraId="5DD39359" w14:textId="77777777" w:rsidR="00D66F1E" w:rsidRDefault="00000000">
      <w:pPr>
        <w:pStyle w:val="BodyText"/>
      </w:pPr>
      <w:r>
        <w:rPr>
          <w:b/>
          <w:bCs/>
        </w:rPr>
        <w:t>Concurrent prediction.</w:t>
      </w:r>
      <w:r>
        <w:t xml:space="preserve"> Regress BED birth rate on the payroll birth rate at the same quarter. If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high, the payroll data contemporaneously explains BED variation.</w:t>
      </w:r>
    </w:p>
    <w:p w14:paraId="18C8A197" w14:textId="77777777" w:rsidR="00D66F1E" w:rsidRDefault="00000000">
      <w:pPr>
        <w:pStyle w:val="BodyText"/>
      </w:pPr>
      <w:r>
        <w:rPr>
          <w:b/>
          <w:bCs/>
        </w:rPr>
        <w:t>Leading prediction.</w:t>
      </w:r>
      <w:r>
        <w:t xml:space="preserve"> Regress BED birth rate on the lagged payroll birth rate. If the coefficient is significant, lagged payroll data predicts current BED — meaning births show up in the payroll data before they appear in BED.</w:t>
      </w:r>
    </w:p>
    <w:p w14:paraId="63EBD2AE" w14:textId="77777777" w:rsidR="00D66F1E" w:rsidRDefault="00000000">
      <w:pPr>
        <w:pStyle w:val="BodyText"/>
      </w:pPr>
      <w:r>
        <w:rPr>
          <w:b/>
          <w:bCs/>
        </w:rPr>
        <w:lastRenderedPageBreak/>
        <w:t>Incremental information.</w:t>
      </w:r>
      <w:r>
        <w:t xml:space="preserve"> Regress BED birth rate on its own lag and the lagged payroll birth rate. If the payroll coefficient is significant, the payroll data contains information that BED’s own trend does not capture. This is the Granger causality test and the strongest evidence of predictive value.</w:t>
      </w:r>
    </w:p>
    <w:p w14:paraId="68FE3939" w14:textId="77777777" w:rsidR="00D66F1E" w:rsidRDefault="00000000">
      <w:pPr>
        <w:pStyle w:val="BodyText"/>
      </w:pPr>
      <w:r>
        <w:t>The ±3 month window in the birth definition introduces ±1 quarter of fuzziness, which attenuates any measured lead. A statistically significant lead despite this attenuation implies the true lead is at least as large as estimated.</w:t>
      </w:r>
    </w:p>
    <w:p w14:paraId="7BE61BA4" w14:textId="77777777" w:rsidR="00D66F1E" w:rsidRDefault="00000000">
      <w:pPr>
        <w:pStyle w:val="BodyText"/>
      </w:pPr>
      <w:r>
        <w:t>Perform these tests at the national level and, where cell sizes permit, by supersector. The leading relationship may be stronger in industries where the provider has deep market penetration.</w:t>
      </w:r>
    </w:p>
    <w:p w14:paraId="45BF5DE9" w14:textId="77777777" w:rsidR="00D66F1E" w:rsidRDefault="00000000">
      <w:pPr>
        <w:pStyle w:val="Heading4"/>
      </w:pPr>
      <w:bookmarkStart w:id="34" w:name="survival-analysis-1"/>
      <w:bookmarkEnd w:id="33"/>
      <w:r>
        <w:t>Survival Analysis</w:t>
      </w:r>
    </w:p>
    <w:p w14:paraId="59828CBC" w14:textId="77777777" w:rsidR="00D66F1E" w:rsidRDefault="00000000">
      <w:pPr>
        <w:pStyle w:val="FirstParagraph"/>
      </w:pPr>
      <w:r>
        <w:t>For clients identified as births, compute Kaplan-Meier-style survival curves: what fraction are still active at 4, 8, 12, 16, and 20 quarters after entry? Compare to BED establishment survival rates.</w:t>
      </w:r>
    </w:p>
    <w:p w14:paraId="005DE104" w14:textId="77777777" w:rsidR="00D66F1E" w:rsidRDefault="00000000">
      <w:pPr>
        <w:pStyle w:val="BodyText"/>
      </w:pPr>
      <w:r>
        <w:t>If payroll-identified births survive at rates similar to BED births, that validates the birth indicator. If they survive at notably higher or lower rates, it signals a selection effect in which types of new businesses the provider captures.</w:t>
      </w:r>
    </w:p>
    <w:p w14:paraId="2C8E0C54" w14:textId="77777777" w:rsidR="00D66F1E" w:rsidRDefault="00000000">
      <w:pPr>
        <w:pStyle w:val="Heading3"/>
      </w:pPr>
      <w:bookmarkStart w:id="35" w:name="if-a-birth-indicator-is-not-available"/>
      <w:bookmarkEnd w:id="30"/>
      <w:bookmarkEnd w:id="34"/>
      <w:r>
        <w:t>6.2 If a Birth Indicator Is Not Available</w:t>
      </w:r>
    </w:p>
    <w:p w14:paraId="607BBCFF" w14:textId="77777777" w:rsidR="00D66F1E" w:rsidRDefault="00000000">
      <w:pPr>
        <w:pStyle w:val="FirstParagraph"/>
      </w:pPr>
      <w:r>
        <w:t>Without EIN filing dates, genuine births cannot be reliably separated from provider-switches. Raw client entry rates will overstate the true birth rate by an unknown and potentially time-varying amount.</w:t>
      </w:r>
    </w:p>
    <w:p w14:paraId="060E59A2" w14:textId="77777777" w:rsidR="00D66F1E" w:rsidRDefault="00000000">
      <w:pPr>
        <w:pStyle w:val="BodyText"/>
      </w:pPr>
      <w:r>
        <w:t>In this case, birth analysis is limited to:</w:t>
      </w:r>
    </w:p>
    <w:p w14:paraId="6F914AE7" w14:textId="77777777" w:rsidR="00D66F1E" w:rsidRDefault="00000000">
      <w:pPr>
        <w:pStyle w:val="BodyText"/>
      </w:pPr>
      <w:r>
        <w:rPr>
          <w:b/>
          <w:bCs/>
        </w:rPr>
        <w:t>Cyclical tracking</w:t>
      </w:r>
      <w:r>
        <w:t>: Even if the level is wrong, the direction of change in client entries may track the direction of change in BED births. Compute correlations between the quarterly change in client entries and BED birth counts. If the correlation is strong, the entry rate contains signal about the cycle of business formation even if it conflates births with switching.</w:t>
      </w:r>
    </w:p>
    <w:p w14:paraId="33F382D2" w14:textId="77777777" w:rsidR="00D66F1E" w:rsidRDefault="00000000">
      <w:pPr>
        <w:pStyle w:val="BodyText"/>
      </w:pPr>
      <w:r>
        <w:rPr>
          <w:b/>
          <w:bCs/>
        </w:rPr>
        <w:t>Indirect inference from client characteristics</w:t>
      </w:r>
      <w:r>
        <w:t>: Clients entering with very low employment (e.g., 1–5 employees) are more likely to be genuine births than large-employment entrants (which are almost certainly existing firms switching providers). Restricting the entry analysis to small-employment entrants may produce a series that more closely tracks BED, though this should be treated as suggestive rather than definitive.</w:t>
      </w:r>
    </w:p>
    <w:p w14:paraId="1FEE725B" w14:textId="77777777" w:rsidR="00D66F1E" w:rsidRDefault="00000000">
      <w:pPr>
        <w:pStyle w:val="BodyText"/>
      </w:pPr>
      <w:r>
        <w:rPr>
          <w:b/>
          <w:bCs/>
        </w:rPr>
        <w:t>Size-at-entry distributions</w:t>
      </w:r>
      <w:r>
        <w:t>: Compare the employment distribution of new client entries to the employment distribution of BED births. If new clients at the provider look like new establishments in BED (predominantly very small), that is indirect evidence that a meaningful share of entries are genuine births.</w:t>
      </w:r>
    </w:p>
    <w:p w14:paraId="19A5CC27" w14:textId="77777777" w:rsidR="00D66F1E" w:rsidRDefault="00000000">
      <w:pPr>
        <w:pStyle w:val="BodyText"/>
      </w:pPr>
      <w:r>
        <w:lastRenderedPageBreak/>
        <w:t>These indirect methods cannot support birth rate level comparisons and should be clearly documented as weaker forms of evidence.</w:t>
      </w:r>
    </w:p>
    <w:p w14:paraId="0895A566" w14:textId="77777777" w:rsidR="00D66F1E" w:rsidRDefault="00000000">
      <w:pPr>
        <w:pStyle w:val="Heading2"/>
      </w:pPr>
      <w:bookmarkStart w:id="36" w:name="data-quality"/>
      <w:bookmarkEnd w:id="29"/>
      <w:bookmarkEnd w:id="35"/>
      <w:r>
        <w:t>7. Data Quality</w:t>
      </w:r>
    </w:p>
    <w:p w14:paraId="6FF6FA7E" w14:textId="77777777" w:rsidR="00D66F1E" w:rsidRDefault="00000000">
      <w:pPr>
        <w:pStyle w:val="FirstParagraph"/>
      </w:pPr>
      <w:r>
        <w:t>Before conducting any substantive analysis, assess data quality to understand limitations and establish appropriate exclusion criteria.</w:t>
      </w:r>
    </w:p>
    <w:p w14:paraId="70F495B4" w14:textId="77777777" w:rsidR="00D66F1E" w:rsidRDefault="00000000">
      <w:pPr>
        <w:pStyle w:val="Heading3"/>
      </w:pPr>
      <w:bookmarkStart w:id="37" w:name="quality-flags"/>
      <w:r>
        <w:t>7.1 Quality Flags</w:t>
      </w:r>
    </w:p>
    <w:p w14:paraId="722003D0" w14:textId="77777777" w:rsidR="00D66F1E" w:rsidRDefault="00000000">
      <w:pPr>
        <w:pStyle w:val="FirstParagraph"/>
      </w:pPr>
      <w:r>
        <w:t>Identify and flag the following issues at the client-month level:</w:t>
      </w:r>
    </w:p>
    <w:p w14:paraId="513F3248" w14:textId="77777777" w:rsidR="00D66F1E" w:rsidRDefault="00000000">
      <w:pPr>
        <w:pStyle w:val="Compact"/>
        <w:numPr>
          <w:ilvl w:val="0"/>
          <w:numId w:val="10"/>
        </w:numPr>
      </w:pPr>
      <w:r>
        <w:rPr>
          <w:b/>
          <w:bCs/>
        </w:rPr>
        <w:t>Extreme employment changes</w:t>
      </w:r>
      <w:r>
        <w:t>: Greater than 50% month-over-month change at a single client (possible data error versus genuine event)</w:t>
      </w:r>
    </w:p>
    <w:p w14:paraId="0078C768" w14:textId="77777777" w:rsidR="00D66F1E" w:rsidRDefault="00000000">
      <w:pPr>
        <w:pStyle w:val="Compact"/>
        <w:numPr>
          <w:ilvl w:val="0"/>
          <w:numId w:val="10"/>
        </w:numPr>
      </w:pPr>
      <w:r>
        <w:rPr>
          <w:b/>
          <w:bCs/>
        </w:rPr>
        <w:t>Zero employment months</w:t>
      </w:r>
      <w:r>
        <w:t>: A client appears in the data but reports zero employment (possible processing issue)</w:t>
      </w:r>
    </w:p>
    <w:p w14:paraId="34868CB1" w14:textId="77777777" w:rsidR="00D66F1E" w:rsidRDefault="00000000">
      <w:pPr>
        <w:pStyle w:val="Compact"/>
        <w:numPr>
          <w:ilvl w:val="0"/>
          <w:numId w:val="10"/>
        </w:numPr>
      </w:pPr>
      <w:r>
        <w:rPr>
          <w:b/>
          <w:bCs/>
        </w:rPr>
        <w:t>Multi-client employees</w:t>
      </w:r>
      <w:r>
        <w:t>: The same employee identifier appears at multiple clients in the same month (possible ID collision or genuine multi-job holding)</w:t>
      </w:r>
    </w:p>
    <w:p w14:paraId="28D026B7" w14:textId="77777777" w:rsidR="00D66F1E" w:rsidRDefault="00000000">
      <w:pPr>
        <w:pStyle w:val="Compact"/>
        <w:numPr>
          <w:ilvl w:val="0"/>
          <w:numId w:val="10"/>
        </w:numPr>
      </w:pPr>
      <w:r>
        <w:rPr>
          <w:b/>
          <w:bCs/>
        </w:rPr>
        <w:t>Filing date anomalies</w:t>
      </w:r>
      <w:r>
        <w:t>: Filing date falls after the first observation date (data inconsistency undermining birth identification)</w:t>
      </w:r>
    </w:p>
    <w:p w14:paraId="5469F33D" w14:textId="77777777" w:rsidR="00D66F1E" w:rsidRDefault="00000000">
      <w:pPr>
        <w:pStyle w:val="FirstParagraph"/>
      </w:pPr>
      <w:r>
        <w:t>These issues can severely distort analysis. Extreme changes inflate measured volatility and churn. Zero-employment months affect tenure calculations. Multi-client employees may double-count employment. Filing anomalies undermine birth identification.</w:t>
      </w:r>
    </w:p>
    <w:p w14:paraId="7FA5488E" w14:textId="77777777" w:rsidR="00D66F1E" w:rsidRDefault="00000000">
      <w:pPr>
        <w:pStyle w:val="BodyText"/>
      </w:pPr>
      <w:r>
        <w:t>Flagging enables exclusion or winsorization for sensitive analyses, investigation of root causes, and transparent communication of data limitations to stakeholders.</w:t>
      </w:r>
    </w:p>
    <w:p w14:paraId="02DD6C92" w14:textId="77777777" w:rsidR="00D66F1E" w:rsidRDefault="00000000">
      <w:pPr>
        <w:pStyle w:val="Heading2"/>
      </w:pPr>
      <w:bookmarkStart w:id="38" w:name="communicating-results"/>
      <w:bookmarkEnd w:id="36"/>
      <w:bookmarkEnd w:id="37"/>
      <w:r>
        <w:t>8. Communicating Results</w:t>
      </w:r>
    </w:p>
    <w:p w14:paraId="039ACF9F" w14:textId="77777777" w:rsidR="00D66F1E" w:rsidRDefault="00000000">
      <w:pPr>
        <w:pStyle w:val="Heading3"/>
      </w:pPr>
      <w:bookmarkStart w:id="39" w:name="principles"/>
      <w:r>
        <w:t>Principles</w:t>
      </w:r>
    </w:p>
    <w:p w14:paraId="651BAB2D" w14:textId="77777777" w:rsidR="00D66F1E" w:rsidRDefault="00000000">
      <w:pPr>
        <w:pStyle w:val="FirstParagraph"/>
      </w:pPr>
      <w:r>
        <w:t>The goal of the deliverable is to answer the question “where can I trust this data?” — not “is this data good?” in the abstract. Every finding should be framed in terms of fitness for purpose: for a specific analytical cell, the data is sufficient, marginal, or insufficient.</w:t>
      </w:r>
    </w:p>
    <w:p w14:paraId="7182D8D2" w14:textId="77777777" w:rsidR="00D66F1E" w:rsidRDefault="00000000">
      <w:pPr>
        <w:pStyle w:val="BodyText"/>
      </w:pPr>
      <w:r>
        <w:t>Avoid two failure modes:</w:t>
      </w:r>
    </w:p>
    <w:p w14:paraId="43C4F609" w14:textId="77777777" w:rsidR="00D66F1E" w:rsidRDefault="00000000">
      <w:pPr>
        <w:pStyle w:val="Compact"/>
        <w:numPr>
          <w:ilvl w:val="0"/>
          <w:numId w:val="11"/>
        </w:numPr>
      </w:pPr>
      <w:r>
        <w:t>Over-selling: Presenting high national coverage without disclosing thin cells, or showing strong growth tracking without noting it is driven by composition rather than within-cell accuracy.</w:t>
      </w:r>
    </w:p>
    <w:p w14:paraId="761F99F2" w14:textId="77777777" w:rsidR="00D66F1E" w:rsidRDefault="00000000">
      <w:pPr>
        <w:pStyle w:val="Compact"/>
        <w:numPr>
          <w:ilvl w:val="0"/>
          <w:numId w:val="11"/>
        </w:numPr>
      </w:pPr>
      <w:r>
        <w:t>Over-caveating: Burying actionable findings under so many qualifications that the reader cannot determine what the data is actually useful for.</w:t>
      </w:r>
    </w:p>
    <w:p w14:paraId="3561E196" w14:textId="77777777" w:rsidR="00D66F1E" w:rsidRDefault="00000000">
      <w:pPr>
        <w:pStyle w:val="Heading3"/>
      </w:pPr>
      <w:bookmarkStart w:id="40" w:name="layered-presentation"/>
      <w:bookmarkEnd w:id="39"/>
      <w:r>
        <w:t>Layered Presentation</w:t>
      </w:r>
    </w:p>
    <w:p w14:paraId="0717F6F6" w14:textId="77777777" w:rsidR="00D66F1E" w:rsidRDefault="00000000">
      <w:pPr>
        <w:pStyle w:val="FirstParagraph"/>
      </w:pPr>
      <w:r>
        <w:t>Structure the deliverable in three layers, each self-contained for its audience:</w:t>
      </w:r>
    </w:p>
    <w:p w14:paraId="3D69E913" w14:textId="77777777" w:rsidR="00D66F1E" w:rsidRDefault="00000000">
      <w:pPr>
        <w:pStyle w:val="BodyText"/>
      </w:pPr>
      <w:r>
        <w:rPr>
          <w:b/>
          <w:bCs/>
        </w:rPr>
        <w:lastRenderedPageBreak/>
        <w:t>Layer 1: Executive summary (one page).</w:t>
      </w:r>
      <w:r>
        <w:t xml:space="preserve"> Total coverage (X% of national employment, Y thousand clients). A heatmap showing where the data is strong and where it is thin. One chart showing payroll vs. official employment growth over the full period. Three bullets: biggest strength, biggest weakness, key recommendation.</w:t>
      </w:r>
    </w:p>
    <w:p w14:paraId="231F501A" w14:textId="77777777" w:rsidR="00D66F1E" w:rsidRDefault="00000000">
      <w:pPr>
        <w:pStyle w:val="BodyText"/>
      </w:pPr>
      <w:r>
        <w:rPr>
          <w:b/>
          <w:bCs/>
        </w:rPr>
        <w:t>Layer 2: Visual dashboard (5–10 pages).</w:t>
      </w:r>
      <w:r>
        <w:t xml:space="preserve"> The core exhibits, each with a brief caption:</w:t>
      </w:r>
    </w:p>
    <w:p w14:paraId="0350B2E4" w14:textId="77777777" w:rsidR="00D66F1E" w:rsidRDefault="00000000">
      <w:pPr>
        <w:pStyle w:val="Compact"/>
        <w:numPr>
          <w:ilvl w:val="0"/>
          <w:numId w:val="12"/>
        </w:numPr>
      </w:pPr>
      <w:r>
        <w:t>Coverage by state (choropleth or heatmap)</w:t>
      </w:r>
    </w:p>
    <w:p w14:paraId="49EB8635" w14:textId="77777777" w:rsidR="00D66F1E" w:rsidRDefault="00000000">
      <w:pPr>
        <w:pStyle w:val="Compact"/>
        <w:numPr>
          <w:ilvl w:val="0"/>
          <w:numId w:val="12"/>
        </w:numPr>
      </w:pPr>
      <w:r>
        <w:t>Industry composition comparison (payroll vs. QCEW shares)</w:t>
      </w:r>
    </w:p>
    <w:p w14:paraId="6B886DA1" w14:textId="77777777" w:rsidR="00D66F1E" w:rsidRDefault="00000000">
      <w:pPr>
        <w:pStyle w:val="Compact"/>
        <w:numPr>
          <w:ilvl w:val="0"/>
          <w:numId w:val="12"/>
        </w:numPr>
      </w:pPr>
      <w:r>
        <w:t>Size class distribution comparison</w:t>
      </w:r>
    </w:p>
    <w:p w14:paraId="6BE2AA2E" w14:textId="77777777" w:rsidR="00D66F1E" w:rsidRDefault="00000000">
      <w:pPr>
        <w:pStyle w:val="Compact"/>
        <w:numPr>
          <w:ilvl w:val="0"/>
          <w:numId w:val="12"/>
        </w:numPr>
      </w:pPr>
      <w:r>
        <w:t>Coverage over time</w:t>
      </w:r>
    </w:p>
    <w:p w14:paraId="71A787BE" w14:textId="77777777" w:rsidR="00D66F1E" w:rsidRDefault="00000000">
      <w:pPr>
        <w:pStyle w:val="Compact"/>
        <w:numPr>
          <w:ilvl w:val="0"/>
          <w:numId w:val="12"/>
        </w:numPr>
      </w:pPr>
      <w:r>
        <w:t>Growth tracking (payroll vs. CES, national and key supersectors)</w:t>
      </w:r>
    </w:p>
    <w:p w14:paraId="430F668E" w14:textId="77777777" w:rsidR="00D66F1E" w:rsidRDefault="00000000">
      <w:pPr>
        <w:pStyle w:val="Compact"/>
        <w:numPr>
          <w:ilvl w:val="0"/>
          <w:numId w:val="12"/>
        </w:numPr>
      </w:pPr>
      <w:r>
        <w:t>Growth decomposition (composition vs. within-cell)</w:t>
      </w:r>
    </w:p>
    <w:p w14:paraId="40DE2A08" w14:textId="77777777" w:rsidR="00D66F1E" w:rsidRDefault="00000000">
      <w:pPr>
        <w:pStyle w:val="Compact"/>
        <w:numPr>
          <w:ilvl w:val="0"/>
          <w:numId w:val="12"/>
        </w:numPr>
      </w:pPr>
      <w:r>
        <w:t>Usability map (state × supersector, color-coded by reliability)</w:t>
      </w:r>
    </w:p>
    <w:p w14:paraId="25FF4395" w14:textId="77777777" w:rsidR="00D66F1E" w:rsidRDefault="00000000">
      <w:pPr>
        <w:pStyle w:val="Compact"/>
        <w:numPr>
          <w:ilvl w:val="0"/>
          <w:numId w:val="12"/>
        </w:numPr>
      </w:pPr>
      <w:r>
        <w:t>If birth indicator is available: birth rate comparison, cross-correlations, and regression results</w:t>
      </w:r>
    </w:p>
    <w:p w14:paraId="4CD07A54" w14:textId="77777777" w:rsidR="00D66F1E" w:rsidRDefault="00000000">
      <w:pPr>
        <w:pStyle w:val="FirstParagraph"/>
      </w:pPr>
      <w:r>
        <w:rPr>
          <w:b/>
          <w:bCs/>
        </w:rPr>
        <w:t>Layer 3: Technical appendix.</w:t>
      </w:r>
      <w:r>
        <w:t xml:space="preserve"> Full cell-level tables, methodology documentation, sensitivity analyses. This is the reference document for researchers who want to reproduce or extend the analysis.</w:t>
      </w:r>
    </w:p>
    <w:p w14:paraId="74F1C221" w14:textId="77777777" w:rsidR="00D66F1E" w:rsidRDefault="00000000">
      <w:pPr>
        <w:pStyle w:val="Heading3"/>
      </w:pPr>
      <w:bookmarkStart w:id="41" w:name="the-usability-map"/>
      <w:bookmarkEnd w:id="40"/>
      <w:r>
        <w:t>The Usability Map</w:t>
      </w:r>
    </w:p>
    <w:p w14:paraId="79B14F1D" w14:textId="77777777" w:rsidR="00D66F1E" w:rsidRDefault="00000000">
      <w:pPr>
        <w:pStyle w:val="FirstParagraph"/>
      </w:pPr>
      <w:r>
        <w:t>The single most important exhibit is the usability map. It is a matrix — typically state (rows) × supersector (columns) — with each cell colored green, yellow, or red based on the reliability classification from Section 2.5. This exhibit tells every downstream user exactly where the data can support their analysis and where it cannot.</w:t>
      </w:r>
    </w:p>
    <w:p w14:paraId="223517BA" w14:textId="77777777" w:rsidR="00D66F1E" w:rsidRDefault="00000000">
      <w:pPr>
        <w:pStyle w:val="BodyText"/>
      </w:pPr>
      <w:r>
        <w:t>The usability map should be the first thing a new user of the data consults, and the deliverable should emphasize it accordingly.</w:t>
      </w:r>
    </w:p>
    <w:p w14:paraId="69DC0EB6" w14:textId="77777777" w:rsidR="00D66F1E" w:rsidRDefault="00000000">
      <w:pPr>
        <w:pStyle w:val="Heading3"/>
      </w:pPr>
      <w:bookmarkStart w:id="42" w:name="quantifying-value"/>
      <w:bookmarkEnd w:id="41"/>
      <w:r>
        <w:t>Quantifying Value</w:t>
      </w:r>
    </w:p>
    <w:p w14:paraId="3A2D5BA5" w14:textId="77777777" w:rsidR="00D66F1E" w:rsidRDefault="00000000">
      <w:pPr>
        <w:pStyle w:val="FirstParagraph"/>
      </w:pPr>
      <w:r>
        <w:t>Where possible, express findings as concrete, testable claims:</w:t>
      </w:r>
    </w:p>
    <w:p w14:paraId="7921A89F" w14:textId="77777777" w:rsidR="00D66F1E" w:rsidRDefault="00000000">
      <w:pPr>
        <w:pStyle w:val="Compact"/>
        <w:numPr>
          <w:ilvl w:val="0"/>
          <w:numId w:val="13"/>
        </w:numPr>
      </w:pPr>
      <w:r>
        <w:t>“The payroll data covers X% of national employment, with coverage above Y% in Z of 51 states.”</w:t>
      </w:r>
    </w:p>
    <w:p w14:paraId="1B4EDA3E" w14:textId="77777777" w:rsidR="00D66F1E" w:rsidRDefault="00000000">
      <w:pPr>
        <w:pStyle w:val="Compact"/>
        <w:numPr>
          <w:ilvl w:val="0"/>
          <w:numId w:val="13"/>
        </w:numPr>
      </w:pPr>
      <w:r>
        <w:t>“Year-over-year employment growth in the payroll data correlates at 0.95 with CES nationally, and at 0.85+ in 8 of 13 supersectors.”</w:t>
      </w:r>
    </w:p>
    <w:p w14:paraId="3B174761" w14:textId="77777777" w:rsidR="00D66F1E" w:rsidRDefault="00000000">
      <w:pPr>
        <w:pStyle w:val="Compact"/>
        <w:numPr>
          <w:ilvl w:val="0"/>
          <w:numId w:val="13"/>
        </w:numPr>
      </w:pPr>
      <w:r>
        <w:t>“Reweighting to match QCEW industry × state margins reduces MAE against CES by 30%.”</w:t>
      </w:r>
    </w:p>
    <w:p w14:paraId="071A1953" w14:textId="77777777" w:rsidR="00D66F1E" w:rsidRDefault="00000000">
      <w:pPr>
        <w:pStyle w:val="Compact"/>
        <w:numPr>
          <w:ilvl w:val="0"/>
          <w:numId w:val="13"/>
        </w:numPr>
      </w:pPr>
      <w:r>
        <w:t>“Among clients with determinable birth status, the payroll birth rate is within 0.5 percentage points of BED in 7 of 10 supersectors.”</w:t>
      </w:r>
    </w:p>
    <w:p w14:paraId="0F4A4AC4" w14:textId="77777777" w:rsidR="00D66F1E" w:rsidRDefault="00000000">
      <w:pPr>
        <w:pStyle w:val="Compact"/>
        <w:numPr>
          <w:ilvl w:val="0"/>
          <w:numId w:val="13"/>
        </w:numPr>
      </w:pPr>
      <w:r>
        <w:t>“The payroll birth rate leads BED by 1–2 quarters with a correlation of 0.82.” (if applicable)</w:t>
      </w:r>
    </w:p>
    <w:p w14:paraId="3022EADD" w14:textId="77777777" w:rsidR="00D66F1E" w:rsidRDefault="00000000">
      <w:pPr>
        <w:pStyle w:val="FirstParagraph"/>
      </w:pPr>
      <w:r>
        <w:lastRenderedPageBreak/>
        <w:t>These statements are falsifiable, specific, and immediately useful for decision-making.</w:t>
      </w:r>
    </w:p>
    <w:p w14:paraId="4698F9D3" w14:textId="77777777" w:rsidR="00D66F1E" w:rsidRDefault="00000000">
      <w:pPr>
        <w:pStyle w:val="Heading2"/>
      </w:pPr>
      <w:bookmarkStart w:id="43" w:name="appendix-recommended-workflow"/>
      <w:bookmarkEnd w:id="38"/>
      <w:bookmarkEnd w:id="42"/>
      <w:r>
        <w:t>Appendix: Recommended Workflow</w:t>
      </w:r>
    </w:p>
    <w:p w14:paraId="75B4EFD0" w14:textId="77777777" w:rsidR="00D66F1E" w:rsidRDefault="00000000">
      <w:pPr>
        <w:pStyle w:val="Compact"/>
        <w:numPr>
          <w:ilvl w:val="0"/>
          <w:numId w:val="14"/>
        </w:numPr>
      </w:pPr>
      <w:r>
        <w:rPr>
          <w:b/>
          <w:bCs/>
        </w:rPr>
        <w:t>Data quality</w:t>
      </w:r>
      <w:r>
        <w:t>: Run quality flag assessment first to understand data limitations and establish exclusion criteria.</w:t>
      </w:r>
    </w:p>
    <w:p w14:paraId="3960E870" w14:textId="77777777" w:rsidR="00D66F1E" w:rsidRDefault="00000000">
      <w:pPr>
        <w:pStyle w:val="Compact"/>
        <w:numPr>
          <w:ilvl w:val="0"/>
          <w:numId w:val="14"/>
        </w:numPr>
      </w:pPr>
      <w:r>
        <w:rPr>
          <w:b/>
          <w:bCs/>
        </w:rPr>
        <w:t>Sample characterization</w:t>
      </w:r>
      <w:r>
        <w:t>: Compute client tenure, churn, and composition metrics (Sections 2 and 5).</w:t>
      </w:r>
    </w:p>
    <w:p w14:paraId="55C1DD7D" w14:textId="77777777" w:rsidR="00D66F1E" w:rsidRDefault="00000000">
      <w:pPr>
        <w:pStyle w:val="Compact"/>
        <w:numPr>
          <w:ilvl w:val="0"/>
          <w:numId w:val="14"/>
        </w:numPr>
      </w:pPr>
      <w:r>
        <w:rPr>
          <w:b/>
          <w:bCs/>
        </w:rPr>
        <w:t>Vintage assessment</w:t>
      </w:r>
      <w:r>
        <w:t>: Determine the degree of composition contamination from recent entrants (Section 5.4).</w:t>
      </w:r>
    </w:p>
    <w:p w14:paraId="095AE539" w14:textId="77777777" w:rsidR="00D66F1E" w:rsidRDefault="00000000">
      <w:pPr>
        <w:pStyle w:val="Compact"/>
        <w:numPr>
          <w:ilvl w:val="0"/>
          <w:numId w:val="14"/>
        </w:numPr>
      </w:pPr>
      <w:r>
        <w:rPr>
          <w:b/>
          <w:bCs/>
        </w:rPr>
        <w:t>Stable panel construction</w:t>
      </w:r>
      <w:r>
        <w:t>: Filter to clients with 12–24+ months of tenure to remove entry and exit effects.</w:t>
      </w:r>
    </w:p>
    <w:p w14:paraId="7F1862E4" w14:textId="77777777" w:rsidR="00D66F1E" w:rsidRDefault="00000000">
      <w:pPr>
        <w:pStyle w:val="Compact"/>
        <w:numPr>
          <w:ilvl w:val="0"/>
          <w:numId w:val="14"/>
        </w:numPr>
      </w:pPr>
      <w:r>
        <w:rPr>
          <w:b/>
          <w:bCs/>
        </w:rPr>
        <w:t>Static benchmarking</w:t>
      </w:r>
      <w:r>
        <w:t>: Compute coverage ratios, distributional comparisons, and the usability map against QCEW (Section 2).</w:t>
      </w:r>
    </w:p>
    <w:p w14:paraId="6596C4F4" w14:textId="77777777" w:rsidR="00D66F1E" w:rsidRDefault="00000000">
      <w:pPr>
        <w:pStyle w:val="Compact"/>
        <w:numPr>
          <w:ilvl w:val="0"/>
          <w:numId w:val="14"/>
        </w:numPr>
      </w:pPr>
      <w:r>
        <w:rPr>
          <w:b/>
          <w:bCs/>
        </w:rPr>
        <w:t>Dynamic tracking</w:t>
      </w:r>
      <w:r>
        <w:t>: Compare employment growth to CES; decompose divergence and construct reweighted estimates (Section 3).</w:t>
      </w:r>
    </w:p>
    <w:p w14:paraId="640EB5B5" w14:textId="77777777" w:rsidR="00D66F1E" w:rsidRDefault="00000000">
      <w:pPr>
        <w:pStyle w:val="Compact"/>
        <w:numPr>
          <w:ilvl w:val="0"/>
          <w:numId w:val="14"/>
        </w:numPr>
      </w:pPr>
      <w:r>
        <w:rPr>
          <w:b/>
          <w:bCs/>
        </w:rPr>
        <w:t>Worker-level flows</w:t>
      </w:r>
      <w:r>
        <w:t>: Compute gross job flows and earnings distributions; validate against JOLTS (Section 4).</w:t>
      </w:r>
    </w:p>
    <w:p w14:paraId="235DBE44" w14:textId="77777777" w:rsidR="00D66F1E" w:rsidRDefault="00000000">
      <w:pPr>
        <w:pStyle w:val="Compact"/>
        <w:numPr>
          <w:ilvl w:val="0"/>
          <w:numId w:val="14"/>
        </w:numPr>
      </w:pPr>
      <w:r>
        <w:rPr>
          <w:b/>
          <w:bCs/>
        </w:rPr>
        <w:t>Establishment births</w:t>
      </w:r>
      <w:r>
        <w:t>: Apply birth analysis appropriate to indicator availability (Section 6).</w:t>
      </w:r>
    </w:p>
    <w:p w14:paraId="5E59048D" w14:textId="77777777" w:rsidR="00D66F1E" w:rsidRDefault="00000000">
      <w:pPr>
        <w:pStyle w:val="Compact"/>
        <w:numPr>
          <w:ilvl w:val="0"/>
          <w:numId w:val="14"/>
        </w:numPr>
      </w:pPr>
      <w:r>
        <w:rPr>
          <w:b/>
          <w:bCs/>
        </w:rPr>
        <w:t>Stratified drill-down</w:t>
      </w:r>
      <w:r>
        <w:t>: Repeat key analyses by geography, industry, and size class as cell reliability permits.</w:t>
      </w:r>
    </w:p>
    <w:p w14:paraId="18108ADD" w14:textId="77777777" w:rsidR="00D66F1E" w:rsidRDefault="00000000">
      <w:pPr>
        <w:pStyle w:val="FirstParagraph"/>
      </w:pPr>
      <w:r>
        <w:t>This workflow ensures that economic conclusions are based on the most reliable subset of the data, with appropriate caveats about sample properties.</w:t>
      </w:r>
      <w:bookmarkEnd w:id="0"/>
      <w:bookmarkEnd w:id="43"/>
    </w:p>
    <w:sectPr w:rsidR="00D66F1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CE56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3434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0E65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02242311">
    <w:abstractNumId w:val="0"/>
  </w:num>
  <w:num w:numId="2" w16cid:durableId="1865048881">
    <w:abstractNumId w:val="1"/>
  </w:num>
  <w:num w:numId="3" w16cid:durableId="1697735490">
    <w:abstractNumId w:val="1"/>
  </w:num>
  <w:num w:numId="4" w16cid:durableId="235627384">
    <w:abstractNumId w:val="1"/>
  </w:num>
  <w:num w:numId="5" w16cid:durableId="839858387">
    <w:abstractNumId w:val="1"/>
  </w:num>
  <w:num w:numId="6" w16cid:durableId="1485195728">
    <w:abstractNumId w:val="1"/>
  </w:num>
  <w:num w:numId="7" w16cid:durableId="692729740">
    <w:abstractNumId w:val="1"/>
  </w:num>
  <w:num w:numId="8" w16cid:durableId="1139032887">
    <w:abstractNumId w:val="1"/>
  </w:num>
  <w:num w:numId="9" w16cid:durableId="1517231307">
    <w:abstractNumId w:val="1"/>
  </w:num>
  <w:num w:numId="10" w16cid:durableId="2104261319">
    <w:abstractNumId w:val="1"/>
  </w:num>
  <w:num w:numId="11" w16cid:durableId="1785879047">
    <w:abstractNumId w:val="1"/>
  </w:num>
  <w:num w:numId="12" w16cid:durableId="967204404">
    <w:abstractNumId w:val="1"/>
  </w:num>
  <w:num w:numId="13" w16cid:durableId="1500268258">
    <w:abstractNumId w:val="1"/>
  </w:num>
  <w:num w:numId="14" w16cid:durableId="524177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F1E"/>
    <w:rsid w:val="002A250B"/>
    <w:rsid w:val="007B4E8F"/>
    <w:rsid w:val="00D66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8688A8"/>
  <w15:docId w15:val="{E98A9702-1BD8-F34D-AF79-B77575F76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4614</Words>
  <Characters>27274</Characters>
  <Application>Microsoft Office Word</Application>
  <DocSecurity>0</DocSecurity>
  <Lines>470</Lines>
  <Paragraphs>241</Paragraphs>
  <ScaleCrop>false</ScaleCrop>
  <Company/>
  <LinksUpToDate>false</LinksUpToDate>
  <CharactersWithSpaces>31647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Lowell Mason</dc:creator>
  <cp:keywords/>
  <cp:lastModifiedBy>Lowell Mason</cp:lastModifiedBy>
  <cp:revision>2</cp:revision>
  <dcterms:created xsi:type="dcterms:W3CDTF">2026-02-25T18:30:00Z</dcterms:created>
  <dcterms:modified xsi:type="dcterms:W3CDTF">2026-02-25T18:30:00Z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