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2932" w14:textId="77777777" w:rsidR="007D5AEF" w:rsidRDefault="00000000">
      <w:pPr>
        <w:pStyle w:val="Heading1"/>
      </w:pPr>
      <w:bookmarkStart w:id="0" w:name="payroll-microdata-analysis-framework"/>
      <w:r>
        <w:t>Payroll Microdata Analysis Framework</w:t>
      </w:r>
    </w:p>
    <w:p w14:paraId="31C762B1" w14:textId="77777777" w:rsidR="007D5AEF" w:rsidRDefault="00000000">
      <w:pPr>
        <w:pStyle w:val="Heading2"/>
      </w:pPr>
      <w:bookmarkStart w:id="1" w:name="overview"/>
      <w:r>
        <w:t>Overview</w:t>
      </w:r>
    </w:p>
    <w:p w14:paraId="4921FFFC" w14:textId="77777777" w:rsidR="007D5AEF" w:rsidRDefault="00000000">
      <w:pPr>
        <w:pStyle w:val="FirstParagraph"/>
      </w:pPr>
      <w:r>
        <w:t>This document describes the analytical framework for assessing payroll provider microdata covering January 2019 through December 2025. The analyses are organized into three categories:</w:t>
      </w:r>
    </w:p>
    <w:p w14:paraId="38663EAA" w14:textId="77777777" w:rsidR="007D5AE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Employment Dynamics</w:t>
      </w:r>
      <w:r>
        <w:t xml:space="preserve"> â€” Measures of labor market flows and trends</w:t>
      </w:r>
    </w:p>
    <w:p w14:paraId="457ECA9C" w14:textId="77777777" w:rsidR="007D5AE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Client Tenure and Churn</w:t>
      </w:r>
      <w:r>
        <w:t xml:space="preserve"> â€” Sample stability and establishment lifecycle</w:t>
      </w:r>
    </w:p>
    <w:p w14:paraId="2C2FAE1F" w14:textId="77777777" w:rsidR="007D5AE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Additional Measures</w:t>
      </w:r>
      <w:r>
        <w:t xml:space="preserve"> â€” Earnings, composition, vintage effects, and data quality</w:t>
      </w:r>
    </w:p>
    <w:p w14:paraId="3C37A0DF" w14:textId="77777777" w:rsidR="007D5AEF" w:rsidRDefault="00000000">
      <w:pPr>
        <w:pStyle w:val="FirstParagraph"/>
      </w:pPr>
      <w:r>
        <w:t>Each analysis serves a specific purpose in understanding either the underlying economic dynamics or the properties of the convenience sample itself.</w:t>
      </w:r>
    </w:p>
    <w:p w14:paraId="3D235B09" w14:textId="77777777" w:rsidR="007D5AEF" w:rsidRDefault="00512B85">
      <w:r>
        <w:rPr>
          <w:noProof/>
        </w:rPr>
        <w:pict w14:anchorId="182711AF">
          <v:rect id="_x0000_i1042" alt="" style="width:468pt;height:.05pt;mso-width-percent:0;mso-height-percent:0;mso-width-percent:0;mso-height-percent:0" o:hralign="center" o:hrstd="t" o:hr="t"/>
        </w:pict>
      </w:r>
    </w:p>
    <w:p w14:paraId="106841D0" w14:textId="77777777" w:rsidR="007D5AEF" w:rsidRDefault="00000000">
      <w:pPr>
        <w:pStyle w:val="Heading2"/>
      </w:pPr>
      <w:bookmarkStart w:id="2" w:name="employment-dynamics"/>
      <w:bookmarkEnd w:id="1"/>
      <w:r>
        <w:t>1. Employment Dynamics</w:t>
      </w:r>
    </w:p>
    <w:p w14:paraId="0AB17E5D" w14:textId="77777777" w:rsidR="007D5AEF" w:rsidRDefault="00000000">
      <w:pPr>
        <w:pStyle w:val="FirstParagraph"/>
      </w:pPr>
      <w:r>
        <w:t>Employment dynamics measure the flows of workers into and out of jobs. These are fundamental indicators of labor market health and business activity.</w:t>
      </w:r>
    </w:p>
    <w:p w14:paraId="5649794B" w14:textId="77777777" w:rsidR="007D5AEF" w:rsidRDefault="00000000">
      <w:pPr>
        <w:pStyle w:val="Heading3"/>
      </w:pPr>
      <w:bookmarkStart w:id="3" w:name="gross-job-flows"/>
      <w:r>
        <w:t>1.1 Gross Job Flows</w:t>
      </w:r>
    </w:p>
    <w:p w14:paraId="5BBF2556" w14:textId="77777777" w:rsidR="007D5AEF" w:rsidRDefault="00000000">
      <w:pPr>
        <w:pStyle w:val="FirstParagraph"/>
      </w:pPr>
      <w:r>
        <w:rPr>
          <w:b/>
          <w:bCs/>
        </w:rPr>
        <w:t>Function:</w:t>
      </w:r>
      <w:r>
        <w:t xml:space="preserve"> </w:t>
      </w:r>
      <w:r>
        <w:rPr>
          <w:rStyle w:val="VerbatimChar"/>
        </w:rPr>
        <w:t>compute_job_flows()</w:t>
      </w:r>
    </w:p>
    <w:p w14:paraId="4F082E15" w14:textId="77777777" w:rsidR="007D5AEF" w:rsidRDefault="00000000">
      <w:pPr>
        <w:pStyle w:val="BodyText"/>
      </w:pPr>
      <w:r>
        <w:rPr>
          <w:b/>
          <w:bCs/>
        </w:rPr>
        <w:t>What it measures:</w:t>
      </w:r>
      <w:r>
        <w:t xml:space="preserve"> - </w:t>
      </w:r>
      <w:r>
        <w:rPr>
          <w:b/>
          <w:bCs/>
        </w:rPr>
        <w:t>Hires:</w:t>
      </w:r>
      <w:r>
        <w:t xml:space="preserve"> Employees appearing in current month but not prior month (at the same client) - </w:t>
      </w:r>
      <w:r>
        <w:rPr>
          <w:b/>
          <w:bCs/>
        </w:rPr>
        <w:t>Separations:</w:t>
      </w:r>
      <w:r>
        <w:t xml:space="preserve"> Employees in current month but not next month (at the same client) - </w:t>
      </w:r>
      <w:r>
        <w:rPr>
          <w:b/>
          <w:bCs/>
        </w:rPr>
        <w:t>Continuing employment:</w:t>
      </w:r>
      <w:r>
        <w:t xml:space="preserve"> Employees present in both current and prior month - </w:t>
      </w:r>
      <w:r>
        <w:rPr>
          <w:b/>
          <w:bCs/>
        </w:rPr>
        <w:t>Derived rates:</w:t>
      </w:r>
      <w:r>
        <w:t xml:space="preserve"> Hire rate, separation rate, net growth rate, churn rate (all as % of employment)</w:t>
      </w:r>
    </w:p>
    <w:p w14:paraId="07DCAD4E" w14:textId="77777777" w:rsidR="007D5AEF" w:rsidRDefault="00000000">
      <w:pPr>
        <w:pStyle w:val="BodyText"/>
      </w:pPr>
      <w:r>
        <w:rPr>
          <w:b/>
          <w:bCs/>
        </w:rPr>
        <w:t>Why it matters:</w:t>
      </w:r>
      <w:r>
        <w:t xml:space="preserve"> Gross flows reveal labor market dynamics invisible in net employment changes. A firm with stable employment could have 0% turnover or 50% turnover with offsetting hires and separationsâ€”these represent fundamentally different labor market conditions. High churn indicates either a flexible/contingent workforce or retention challenges. The hire rate serves as a leading indicator of economic expansion, while separation rates signal contraction or restructuring.</w:t>
      </w:r>
    </w:p>
    <w:p w14:paraId="37F13C5D" w14:textId="77777777" w:rsidR="007D5AEF" w:rsidRDefault="00000000">
      <w:pPr>
        <w:pStyle w:val="BodyText"/>
      </w:pPr>
      <w:r>
        <w:rPr>
          <w:b/>
          <w:bCs/>
        </w:rPr>
        <w:t>Interpretation notes:</w:t>
      </w:r>
      <w:r>
        <w:t xml:space="preserve"> - Hire rate &gt; separation rate â†’ net job creation - High churn rate â†’ either industry norm (hospitality, retail) or potential data quality issue - Sudden spikes may indicate seasonal patterns or data anomalies</w:t>
      </w:r>
    </w:p>
    <w:p w14:paraId="3CA58A03" w14:textId="77777777" w:rsidR="007D5AEF" w:rsidRDefault="00512B85">
      <w:r>
        <w:rPr>
          <w:noProof/>
        </w:rPr>
        <w:pict w14:anchorId="5CE7C74B">
          <v:rect id="_x0000_i1041" alt="" style="width:468pt;height:.05pt;mso-width-percent:0;mso-height-percent:0;mso-width-percent:0;mso-height-percent:0" o:hralign="center" o:hrstd="t" o:hr="t"/>
        </w:pict>
      </w:r>
    </w:p>
    <w:p w14:paraId="35AC60D8" w14:textId="77777777" w:rsidR="007D5AEF" w:rsidRDefault="00000000">
      <w:pPr>
        <w:pStyle w:val="Heading3"/>
      </w:pPr>
      <w:bookmarkStart w:id="4" w:name="employment-dynamics-by-geography"/>
      <w:bookmarkEnd w:id="3"/>
      <w:r>
        <w:lastRenderedPageBreak/>
        <w:t>1.2 Employment Dynamics by Geography</w:t>
      </w:r>
    </w:p>
    <w:p w14:paraId="310C0A73" w14:textId="77777777" w:rsidR="007D5AEF" w:rsidRDefault="00000000">
      <w:pPr>
        <w:pStyle w:val="FirstParagraph"/>
      </w:pPr>
      <w:r>
        <w:rPr>
          <w:b/>
          <w:bCs/>
        </w:rPr>
        <w:t>Functions:</w:t>
      </w:r>
      <w:r>
        <w:t xml:space="preserve"> </w:t>
      </w:r>
      <w:r>
        <w:rPr>
          <w:rStyle w:val="VerbatimChar"/>
        </w:rPr>
        <w:t>employment_dynamics_by_geography()</w:t>
      </w:r>
    </w:p>
    <w:p w14:paraId="35F9984C" w14:textId="77777777" w:rsidR="007D5AEF" w:rsidRDefault="00000000">
      <w:pPr>
        <w:pStyle w:val="BodyText"/>
      </w:pPr>
      <w:r>
        <w:rPr>
          <w:b/>
          <w:bCs/>
        </w:rPr>
        <w:t>Stratification levels:</w:t>
      </w:r>
      <w:r>
        <w:t xml:space="preserve"> - </w:t>
      </w:r>
      <w:r>
        <w:rPr>
          <w:rStyle w:val="VerbatimChar"/>
        </w:rPr>
        <w:t>state_abbr</w:t>
      </w:r>
      <w:r>
        <w:t xml:space="preserve"> â€” State-level analysis - </w:t>
      </w:r>
      <w:r>
        <w:rPr>
          <w:rStyle w:val="VerbatimChar"/>
        </w:rPr>
        <w:t>region_name</w:t>
      </w:r>
      <w:r>
        <w:t xml:space="preserve"> â€” Census region (Northeast, Midwest, South, West) - </w:t>
      </w:r>
      <w:r>
        <w:rPr>
          <w:rStyle w:val="VerbatimChar"/>
        </w:rPr>
        <w:t>division_name</w:t>
      </w:r>
      <w:r>
        <w:t xml:space="preserve"> â€” Census division (9 divisions)</w:t>
      </w:r>
    </w:p>
    <w:p w14:paraId="43547021" w14:textId="77777777" w:rsidR="007D5AEF" w:rsidRDefault="00000000">
      <w:pPr>
        <w:pStyle w:val="BodyText"/>
      </w:pPr>
      <w:r>
        <w:rPr>
          <w:b/>
          <w:bCs/>
        </w:rPr>
        <w:t>What it measures:</w:t>
      </w:r>
      <w:r>
        <w:t xml:space="preserve"> Job flows computed separately for each geographic unit, enabling comparison of labor market conditions across locations.</w:t>
      </w:r>
    </w:p>
    <w:p w14:paraId="195E77A2" w14:textId="77777777" w:rsidR="007D5AEF" w:rsidRDefault="00000000">
      <w:pPr>
        <w:pStyle w:val="BodyText"/>
      </w:pPr>
      <w:r>
        <w:rPr>
          <w:b/>
          <w:bCs/>
        </w:rPr>
        <w:t>Why it matters:</w:t>
      </w:r>
      <w:r>
        <w:t xml:space="preserve"> Labor markets are fundamentally local. National aggregates mask significant regional variation in: - Economic conditions and business cycles - Industry composition effects - Labor supply and demand imbalances - Policy environments (minimum wage, employment regulations)</w:t>
      </w:r>
    </w:p>
    <w:p w14:paraId="58204CEE" w14:textId="77777777" w:rsidR="007D5AEF" w:rsidRDefault="00000000">
      <w:pPr>
        <w:pStyle w:val="BodyText"/>
      </w:pPr>
      <w:r>
        <w:t>Geographic stratification also reveals sample coverage patternsâ€”if certain states show anomalous churn, it may reflect provider market penetration rather than economic reality.</w:t>
      </w:r>
    </w:p>
    <w:p w14:paraId="6A342073" w14:textId="77777777" w:rsidR="007D5AEF" w:rsidRDefault="00000000">
      <w:pPr>
        <w:pStyle w:val="BodyText"/>
      </w:pPr>
      <w:r>
        <w:rPr>
          <w:b/>
          <w:bCs/>
        </w:rPr>
        <w:t>Use cases:</w:t>
      </w:r>
      <w:r>
        <w:t xml:space="preserve"> - Identify regional labor market divergence - Assess sample representativeness vs. QCEW state-level benchmarks - Detect geographic-specific data quality issues</w:t>
      </w:r>
    </w:p>
    <w:p w14:paraId="6CCDBB62" w14:textId="77777777" w:rsidR="007D5AEF" w:rsidRDefault="00512B85">
      <w:r>
        <w:rPr>
          <w:noProof/>
        </w:rPr>
        <w:pict w14:anchorId="25D91657">
          <v:rect id="_x0000_i1040" alt="" style="width:468pt;height:.05pt;mso-width-percent:0;mso-height-percent:0;mso-width-percent:0;mso-height-percent:0" o:hralign="center" o:hrstd="t" o:hr="t"/>
        </w:pict>
      </w:r>
    </w:p>
    <w:p w14:paraId="2B9A961D" w14:textId="77777777" w:rsidR="007D5AEF" w:rsidRDefault="00000000">
      <w:pPr>
        <w:pStyle w:val="Heading3"/>
      </w:pPr>
      <w:bookmarkStart w:id="5" w:name="employment-dynamics-by-industry"/>
      <w:bookmarkEnd w:id="4"/>
      <w:r>
        <w:t>1.3 Employment Dynamics by Industry</w:t>
      </w:r>
    </w:p>
    <w:p w14:paraId="647DA595" w14:textId="77777777" w:rsidR="007D5AEF" w:rsidRDefault="00000000">
      <w:pPr>
        <w:pStyle w:val="FirstParagraph"/>
      </w:pPr>
      <w:r>
        <w:rPr>
          <w:b/>
          <w:bCs/>
        </w:rPr>
        <w:t>Functions:</w:t>
      </w:r>
      <w:r>
        <w:t xml:space="preserve"> </w:t>
      </w:r>
      <w:r>
        <w:rPr>
          <w:rStyle w:val="VerbatimChar"/>
        </w:rPr>
        <w:t>employment_dynamics_by_industry()</w:t>
      </w:r>
    </w:p>
    <w:p w14:paraId="4346372B" w14:textId="77777777" w:rsidR="007D5AEF" w:rsidRDefault="00000000">
      <w:pPr>
        <w:pStyle w:val="BodyText"/>
      </w:pPr>
      <w:r>
        <w:rPr>
          <w:b/>
          <w:bCs/>
        </w:rPr>
        <w:t>Stratification levels:</w:t>
      </w:r>
      <w:r>
        <w:t xml:space="preserve"> - </w:t>
      </w:r>
      <w:r>
        <w:rPr>
          <w:rStyle w:val="VerbatimChar"/>
        </w:rPr>
        <w:t>supersector_title</w:t>
      </w:r>
      <w:r>
        <w:t xml:space="preserve"> â€” BLS supersectors (e.g., Professional &amp; Business Services, Leisure &amp; Hospitality) - </w:t>
      </w:r>
      <w:r>
        <w:rPr>
          <w:rStyle w:val="VerbatimChar"/>
        </w:rPr>
        <w:t>sector_title</w:t>
      </w:r>
      <w:r>
        <w:t xml:space="preserve"> â€” 2-digit NAICS sectors - </w:t>
      </w:r>
      <w:r>
        <w:rPr>
          <w:rStyle w:val="VerbatimChar"/>
        </w:rPr>
        <w:t>domain_title</w:t>
      </w:r>
      <w:r>
        <w:t xml:space="preserve"> â€” Goods-producing vs. service-providing</w:t>
      </w:r>
    </w:p>
    <w:p w14:paraId="77BF57FE" w14:textId="77777777" w:rsidR="007D5AEF" w:rsidRDefault="00000000">
      <w:pPr>
        <w:pStyle w:val="BodyText"/>
      </w:pPr>
      <w:r>
        <w:rPr>
          <w:b/>
          <w:bCs/>
        </w:rPr>
        <w:t>What it measures:</w:t>
      </w:r>
      <w:r>
        <w:t xml:space="preserve"> Job flows by industry classification, revealing sector-specific labor market patterns.</w:t>
      </w:r>
    </w:p>
    <w:p w14:paraId="029F9048" w14:textId="77777777" w:rsidR="007D5AEF" w:rsidRDefault="00000000">
      <w:pPr>
        <w:pStyle w:val="BodyText"/>
      </w:pPr>
      <w:r>
        <w:rPr>
          <w:b/>
          <w:bCs/>
        </w:rPr>
        <w:t>Why it matters:</w:t>
      </w:r>
      <w:r>
        <w:t xml:space="preserve"> Industries have dramatically different turnover norms: - Leisure &amp; Hospitality: ~6% monthly churn is normal - Professional Services: ~2% monthly churn is typical - Manufacturing: Lower churn, more sensitive to business cycles</w:t>
      </w:r>
    </w:p>
    <w:p w14:paraId="3E6EC7F0" w14:textId="77777777" w:rsidR="007D5AEF" w:rsidRDefault="00000000">
      <w:pPr>
        <w:pStyle w:val="BodyText"/>
      </w:pPr>
      <w:r>
        <w:t>Industry stratification enables: - Apples-to-apples comparison with CES supersector data - Identification of sector-specific trends (tech layoffs, healthcare expansion) - Detection of sample composition bias (payroll providers often over-represent certain industries)</w:t>
      </w:r>
    </w:p>
    <w:p w14:paraId="3AF91B5B" w14:textId="77777777" w:rsidR="007D5AEF" w:rsidRDefault="00000000">
      <w:pPr>
        <w:pStyle w:val="BodyText"/>
      </w:pPr>
      <w:r>
        <w:rPr>
          <w:b/>
          <w:bCs/>
        </w:rPr>
        <w:t>Interpretation notes:</w:t>
      </w:r>
      <w:r>
        <w:t xml:space="preserve"> - Compare to BLS JOLTS data for validation - High-churn industries require larger samples for stable estimates - Supersector is most comparable to official statistics</w:t>
      </w:r>
    </w:p>
    <w:p w14:paraId="019B4263" w14:textId="77777777" w:rsidR="007D5AEF" w:rsidRDefault="00512B85">
      <w:r>
        <w:rPr>
          <w:noProof/>
        </w:rPr>
        <w:pict w14:anchorId="2F18D49E">
          <v:rect id="_x0000_i1039" alt="" style="width:468pt;height:.05pt;mso-width-percent:0;mso-height-percent:0;mso-width-percent:0;mso-height-percent:0" o:hralign="center" o:hrstd="t" o:hr="t"/>
        </w:pict>
      </w:r>
    </w:p>
    <w:p w14:paraId="3C4E78A7" w14:textId="77777777" w:rsidR="007D5AEF" w:rsidRDefault="00000000">
      <w:pPr>
        <w:pStyle w:val="Heading3"/>
      </w:pPr>
      <w:bookmarkStart w:id="6" w:name="employment-dynamics-by-size-class"/>
      <w:bookmarkEnd w:id="5"/>
      <w:r>
        <w:lastRenderedPageBreak/>
        <w:t>1.4 Employment Dynamics by Size Class</w:t>
      </w:r>
    </w:p>
    <w:p w14:paraId="29776A59" w14:textId="77777777" w:rsidR="007D5AEF" w:rsidRDefault="00000000">
      <w:pPr>
        <w:pStyle w:val="FirstParagraph"/>
      </w:pPr>
      <w:r>
        <w:rPr>
          <w:b/>
          <w:bCs/>
        </w:rPr>
        <w:t>Function:</w:t>
      </w:r>
      <w:r>
        <w:t xml:space="preserve"> </w:t>
      </w:r>
      <w:r>
        <w:rPr>
          <w:rStyle w:val="VerbatimChar"/>
        </w:rPr>
        <w:t>employment_dynamics_by_size()</w:t>
      </w:r>
    </w:p>
    <w:p w14:paraId="6537A8CE" w14:textId="77777777" w:rsidR="007D5AEF" w:rsidRDefault="00000000">
      <w:pPr>
        <w:pStyle w:val="BodyText"/>
      </w:pPr>
      <w:r>
        <w:rPr>
          <w:b/>
          <w:bCs/>
        </w:rPr>
        <w:t>What it measures:</w:t>
      </w:r>
      <w:r>
        <w:t xml:space="preserve"> Job flows stratified by establishment size class, using the client’s </w:t>
      </w:r>
      <w:r>
        <w:rPr>
          <w:rStyle w:val="VerbatimChar"/>
        </w:rPr>
        <w:t>size_class</w:t>
      </w:r>
      <w:r>
        <w:t xml:space="preserve"> variable.</w:t>
      </w:r>
    </w:p>
    <w:p w14:paraId="2353C3D3" w14:textId="77777777" w:rsidR="007D5AEF" w:rsidRDefault="00000000">
      <w:pPr>
        <w:pStyle w:val="BodyText"/>
      </w:pPr>
      <w:r>
        <w:rPr>
          <w:b/>
          <w:bCs/>
        </w:rPr>
        <w:t>Why it matters:</w:t>
      </w:r>
      <w:r>
        <w:t xml:space="preserve"> Small and large establishments behave differently: - Small firms (1-19 employees): Higher volatility, more sensitive to idiosyncratic shocks - Medium firms (20-99 employees): Core of employment growth - Large firms (100+ employees): More stable, drive aggregate trends</w:t>
      </w:r>
    </w:p>
    <w:p w14:paraId="5F8C3916" w14:textId="77777777" w:rsidR="007D5AEF" w:rsidRDefault="00000000">
      <w:pPr>
        <w:pStyle w:val="BodyText"/>
      </w:pPr>
      <w:r>
        <w:t>Payroll providers typically over-represent small establishments (who outsource payroll functions), making size stratification essential for: - Understanding sample bias - Constructing appropriate weights for benchmarking - Isolating true size-specific dynamics from composition effects</w:t>
      </w:r>
    </w:p>
    <w:p w14:paraId="2176ED1E" w14:textId="77777777" w:rsidR="007D5AEF" w:rsidRDefault="00000000">
      <w:pPr>
        <w:pStyle w:val="BodyText"/>
      </w:pPr>
      <w:r>
        <w:rPr>
          <w:b/>
          <w:bCs/>
        </w:rPr>
        <w:t>Interpretation notes:</w:t>
      </w:r>
      <w:r>
        <w:t xml:space="preserve"> - Small firm churn includes many “deaths” that are actually client switches - Size class should be based on establishment, not firm, for QCEW comparability</w:t>
      </w:r>
    </w:p>
    <w:p w14:paraId="6A734F7E" w14:textId="77777777" w:rsidR="007D5AEF" w:rsidRDefault="00512B85">
      <w:r>
        <w:rPr>
          <w:noProof/>
        </w:rPr>
        <w:pict w14:anchorId="17756DA1">
          <v:rect id="_x0000_i1038" alt="" style="width:468pt;height:.05pt;mso-width-percent:0;mso-height-percent:0;mso-width-percent:0;mso-height-percent:0" o:hralign="center" o:hrstd="t" o:hr="t"/>
        </w:pict>
      </w:r>
    </w:p>
    <w:p w14:paraId="64BD8C6F" w14:textId="77777777" w:rsidR="007D5AEF" w:rsidRDefault="00000000">
      <w:pPr>
        <w:pStyle w:val="Heading3"/>
      </w:pPr>
      <w:bookmarkStart w:id="7" w:name="employment-growth-rates"/>
      <w:bookmarkEnd w:id="6"/>
      <w:r>
        <w:t>1.5 Employment Growth Rates</w:t>
      </w:r>
    </w:p>
    <w:p w14:paraId="56C15B3C" w14:textId="77777777" w:rsidR="007D5AEF" w:rsidRDefault="00000000">
      <w:pPr>
        <w:pStyle w:val="FirstParagraph"/>
      </w:pPr>
      <w:r>
        <w:rPr>
          <w:b/>
          <w:bCs/>
        </w:rPr>
        <w:t>Function:</w:t>
      </w:r>
      <w:r>
        <w:t xml:space="preserve"> </w:t>
      </w:r>
      <w:r>
        <w:rPr>
          <w:rStyle w:val="VerbatimChar"/>
        </w:rPr>
        <w:t>compute_employment_growth()</w:t>
      </w:r>
    </w:p>
    <w:p w14:paraId="52D5EFA0" w14:textId="77777777" w:rsidR="007D5AEF" w:rsidRDefault="00000000">
      <w:pPr>
        <w:pStyle w:val="BodyText"/>
      </w:pPr>
      <w:r>
        <w:rPr>
          <w:b/>
          <w:bCs/>
        </w:rPr>
        <w:t>What it measures:</w:t>
      </w:r>
      <w:r>
        <w:t xml:space="preserve"> - </w:t>
      </w:r>
      <w:r>
        <w:rPr>
          <w:b/>
          <w:bCs/>
        </w:rPr>
        <w:t>Month-over-month (MoM) growth:</w:t>
      </w:r>
      <w:r>
        <w:t xml:space="preserve"> Percent change from prior month - </w:t>
      </w:r>
      <w:r>
        <w:rPr>
          <w:b/>
          <w:bCs/>
        </w:rPr>
        <w:t>Year-over-year (YoY) growth:</w:t>
      </w:r>
      <w:r>
        <w:t xml:space="preserve"> Percent change from same month prior year</w:t>
      </w:r>
    </w:p>
    <w:p w14:paraId="7456BD5D" w14:textId="77777777" w:rsidR="007D5AEF" w:rsidRDefault="00000000">
      <w:pPr>
        <w:pStyle w:val="BodyText"/>
      </w:pPr>
      <w:r>
        <w:rPr>
          <w:b/>
          <w:bCs/>
        </w:rPr>
        <w:t>Why it matters:</w:t>
      </w:r>
      <w:r>
        <w:t xml:space="preserve"> Growth rates normalize for level differences and enable: - Comparison across geographies, industries, and size classes - Benchmarking against CES employment growth - Trend identification independent of sample size changes</w:t>
      </w:r>
    </w:p>
    <w:p w14:paraId="3EAB9CBC" w14:textId="77777777" w:rsidR="007D5AEF" w:rsidRDefault="00000000">
      <w:pPr>
        <w:pStyle w:val="BodyText"/>
      </w:pPr>
      <w:r>
        <w:t>YoY growth removes seasonality, making it the preferred metric for trend analysis. MoM growth is useful for detecting turning points but requires seasonal adjustment for interpretation.</w:t>
      </w:r>
    </w:p>
    <w:p w14:paraId="58A8AD30" w14:textId="77777777" w:rsidR="007D5AEF" w:rsidRDefault="00512B85">
      <w:r>
        <w:rPr>
          <w:noProof/>
        </w:rPr>
        <w:pict w14:anchorId="1EC5EC13">
          <v:rect id="_x0000_i1037" alt="" style="width:468pt;height:.05pt;mso-width-percent:0;mso-height-percent:0;mso-width-percent:0;mso-height-percent:0" o:hralign="center" o:hrstd="t" o:hr="t"/>
        </w:pict>
      </w:r>
    </w:p>
    <w:p w14:paraId="5A0902EC" w14:textId="77777777" w:rsidR="007D5AEF" w:rsidRDefault="00000000">
      <w:pPr>
        <w:pStyle w:val="Heading2"/>
      </w:pPr>
      <w:bookmarkStart w:id="8" w:name="client-tenure-and-churn"/>
      <w:bookmarkEnd w:id="2"/>
      <w:bookmarkEnd w:id="7"/>
      <w:r>
        <w:t>2. Client Tenure and Churn</w:t>
      </w:r>
    </w:p>
    <w:p w14:paraId="26C1F493" w14:textId="77777777" w:rsidR="007D5AEF" w:rsidRDefault="00000000">
      <w:pPr>
        <w:pStyle w:val="FirstParagraph"/>
      </w:pPr>
      <w:r>
        <w:t>Client-level analysis is essential for convenience samples because observed employment changes reflect both true economic dynamics and sample composition changes. Understanding client tenure helps distinguish these effects.</w:t>
      </w:r>
    </w:p>
    <w:p w14:paraId="79D060E6" w14:textId="77777777" w:rsidR="007D5AEF" w:rsidRDefault="00000000">
      <w:pPr>
        <w:pStyle w:val="Heading3"/>
      </w:pPr>
      <w:bookmarkStart w:id="9" w:name="client-tenure-metrics"/>
      <w:r>
        <w:t>2.1 Client Tenure Metrics</w:t>
      </w:r>
    </w:p>
    <w:p w14:paraId="4A224BEB" w14:textId="77777777" w:rsidR="007D5AEF" w:rsidRDefault="00000000">
      <w:pPr>
        <w:pStyle w:val="FirstParagraph"/>
      </w:pPr>
      <w:r>
        <w:rPr>
          <w:b/>
          <w:bCs/>
        </w:rPr>
        <w:t>Function:</w:t>
      </w:r>
      <w:r>
        <w:t xml:space="preserve"> </w:t>
      </w:r>
      <w:r>
        <w:rPr>
          <w:rStyle w:val="VerbatimChar"/>
        </w:rPr>
        <w:t>compute_client_tenure()</w:t>
      </w:r>
    </w:p>
    <w:p w14:paraId="20C753A9" w14:textId="77777777" w:rsidR="007D5AEF" w:rsidRDefault="00000000">
      <w:pPr>
        <w:pStyle w:val="BodyText"/>
      </w:pPr>
      <w:r>
        <w:rPr>
          <w:b/>
          <w:bCs/>
        </w:rPr>
        <w:lastRenderedPageBreak/>
        <w:t>What it measures:</w:t>
      </w:r>
      <w:r>
        <w:t xml:space="preserve"> For each unique client: - </w:t>
      </w:r>
      <w:r>
        <w:rPr>
          <w:rStyle w:val="VerbatimChar"/>
        </w:rPr>
        <w:t>first_observed</w:t>
      </w:r>
      <w:r>
        <w:t xml:space="preserve">, </w:t>
      </w:r>
      <w:r>
        <w:rPr>
          <w:rStyle w:val="VerbatimChar"/>
        </w:rPr>
        <w:t>last_observed</w:t>
      </w:r>
      <w:r>
        <w:t xml:space="preserve"> â€” Date range in sample - </w:t>
      </w:r>
      <w:r>
        <w:rPr>
          <w:rStyle w:val="VerbatimChar"/>
        </w:rPr>
        <w:t>tenure_months</w:t>
      </w:r>
      <w:r>
        <w:t xml:space="preserve"> â€” Number of months observed - </w:t>
      </w:r>
      <w:r>
        <w:rPr>
          <w:rStyle w:val="VerbatimChar"/>
        </w:rPr>
        <w:t>months_observed</w:t>
      </w:r>
      <w:r>
        <w:t xml:space="preserve"> â€” Count of actual observations (may differ if gaps exist) - </w:t>
      </w:r>
      <w:r>
        <w:rPr>
          <w:rStyle w:val="VerbatimChar"/>
        </w:rPr>
        <w:t>initial_emp</w:t>
      </w:r>
      <w:r>
        <w:t xml:space="preserve">, </w:t>
      </w:r>
      <w:r>
        <w:rPr>
          <w:rStyle w:val="VerbatimChar"/>
        </w:rPr>
        <w:t>final_emp</w:t>
      </w:r>
      <w:r>
        <w:t xml:space="preserve">, </w:t>
      </w:r>
      <w:r>
        <w:rPr>
          <w:rStyle w:val="VerbatimChar"/>
        </w:rPr>
        <w:t>avg_emp</w:t>
      </w:r>
      <w:r>
        <w:t xml:space="preserve"> â€” Employment trajectory - </w:t>
      </w:r>
      <w:r>
        <w:rPr>
          <w:rStyle w:val="VerbatimChar"/>
        </w:rPr>
        <w:t>is_likely_birth</w:t>
      </w:r>
      <w:r>
        <w:t xml:space="preserve"> â€” Whether filing_date aligns with first observation (within 90 days)</w:t>
      </w:r>
    </w:p>
    <w:p w14:paraId="19E13358" w14:textId="77777777" w:rsidR="007D5AEF" w:rsidRDefault="00000000">
      <w:pPr>
        <w:pStyle w:val="BodyText"/>
      </w:pPr>
      <w:r>
        <w:rPr>
          <w:b/>
          <w:bCs/>
        </w:rPr>
        <w:t>Why it matters:</w:t>
      </w:r>
      <w:r>
        <w:t xml:space="preserve"> Client tenure is the foundation for: - </w:t>
      </w:r>
      <w:r>
        <w:rPr>
          <w:b/>
          <w:bCs/>
        </w:rPr>
        <w:t>Stable panel construction:</w:t>
      </w:r>
      <w:r>
        <w:t xml:space="preserve"> Restricting to clients with 12+ or 24+ months tenure removes entry/exit effects - </w:t>
      </w:r>
      <w:r>
        <w:rPr>
          <w:b/>
          <w:bCs/>
        </w:rPr>
        <w:t>Birth identification:</w:t>
      </w:r>
      <w:r>
        <w:t xml:space="preserve"> Establishments with aligned filing dates are genuine new businesses, not provider switches - </w:t>
      </w:r>
      <w:r>
        <w:rPr>
          <w:b/>
          <w:bCs/>
        </w:rPr>
        <w:t>Attrition analysis:</w:t>
      </w:r>
      <w:r>
        <w:t xml:space="preserve"> Understanding why clients leave (death vs. provider switch) - </w:t>
      </w:r>
      <w:r>
        <w:rPr>
          <w:b/>
          <w:bCs/>
        </w:rPr>
        <w:t>Vintage effects:</w:t>
      </w:r>
      <w:r>
        <w:t xml:space="preserve"> Newer clients may systematically differ from established ones</w:t>
      </w:r>
    </w:p>
    <w:p w14:paraId="6F7B6C3D" w14:textId="77777777" w:rsidR="007D5AEF" w:rsidRDefault="00000000">
      <w:pPr>
        <w:pStyle w:val="BodyText"/>
      </w:pPr>
      <w:r>
        <w:rPr>
          <w:b/>
          <w:bCs/>
        </w:rPr>
        <w:t>Interpretation notes:</w:t>
      </w:r>
      <w:r>
        <w:t xml:space="preserve"> - Short tenure doesn’t necessarily mean deathâ€”could be provider switch - Filing date is often missing, limiting birth identification - Tenure distribution reveals sample maturity</w:t>
      </w:r>
    </w:p>
    <w:p w14:paraId="6CF465FB" w14:textId="77777777" w:rsidR="007D5AEF" w:rsidRDefault="00512B85">
      <w:r>
        <w:rPr>
          <w:noProof/>
        </w:rPr>
        <w:pict w14:anchorId="127B4A37">
          <v:rect id="_x0000_i1036" alt="" style="width:468pt;height:.05pt;mso-width-percent:0;mso-height-percent:0;mso-width-percent:0;mso-height-percent:0" o:hralign="center" o:hrstd="t" o:hr="t"/>
        </w:pict>
      </w:r>
    </w:p>
    <w:p w14:paraId="76F937C1" w14:textId="77777777" w:rsidR="007D5AEF" w:rsidRDefault="00000000">
      <w:pPr>
        <w:pStyle w:val="Heading3"/>
      </w:pPr>
      <w:bookmarkStart w:id="10" w:name="client-entry-and-exit"/>
      <w:bookmarkEnd w:id="9"/>
      <w:r>
        <w:t>2.2 Client Entry and Exit</w:t>
      </w:r>
    </w:p>
    <w:p w14:paraId="51DCE4C4" w14:textId="77777777" w:rsidR="007D5AEF" w:rsidRDefault="00000000">
      <w:pPr>
        <w:pStyle w:val="FirstParagraph"/>
      </w:pPr>
      <w:r>
        <w:rPr>
          <w:b/>
          <w:bCs/>
        </w:rPr>
        <w:t>Function:</w:t>
      </w:r>
      <w:r>
        <w:t xml:space="preserve"> </w:t>
      </w:r>
      <w:r>
        <w:rPr>
          <w:rStyle w:val="VerbatimChar"/>
        </w:rPr>
        <w:t>compute_client_entry_exit()</w:t>
      </w:r>
    </w:p>
    <w:p w14:paraId="22412492" w14:textId="77777777" w:rsidR="007D5AEF" w:rsidRDefault="00000000">
      <w:pPr>
        <w:pStyle w:val="BodyText"/>
      </w:pPr>
      <w:r>
        <w:rPr>
          <w:b/>
          <w:bCs/>
        </w:rPr>
        <w:t>What it measures:</w:t>
      </w:r>
      <w:r>
        <w:t xml:space="preserve"> Monthly counts and rates of: - </w:t>
      </w:r>
      <w:r>
        <w:rPr>
          <w:b/>
          <w:bCs/>
        </w:rPr>
        <w:t>Entries:</w:t>
      </w:r>
      <w:r>
        <w:t xml:space="preserve"> Clients appearing for the first time - </w:t>
      </w:r>
      <w:r>
        <w:rPr>
          <w:b/>
          <w:bCs/>
        </w:rPr>
        <w:t>Exits:</w:t>
      </w:r>
      <w:r>
        <w:t xml:space="preserve"> Clients appearing for the last time - </w:t>
      </w:r>
      <w:r>
        <w:rPr>
          <w:b/>
          <w:bCs/>
        </w:rPr>
        <w:t>Churn rate:</w:t>
      </w:r>
      <w:r>
        <w:t xml:space="preserve"> (Entries + Exits) / Active Clients - </w:t>
      </w:r>
      <w:r>
        <w:rPr>
          <w:b/>
          <w:bCs/>
        </w:rPr>
        <w:t>Net client change:</w:t>
      </w:r>
      <w:r>
        <w:t xml:space="preserve"> Entries - Exits</w:t>
      </w:r>
    </w:p>
    <w:p w14:paraId="3824C80F" w14:textId="77777777" w:rsidR="007D5AEF" w:rsidRDefault="00000000">
      <w:pPr>
        <w:pStyle w:val="BodyText"/>
      </w:pPr>
      <w:r>
        <w:rPr>
          <w:b/>
          <w:bCs/>
        </w:rPr>
        <w:t>Why it matters:</w:t>
      </w:r>
      <w:r>
        <w:t xml:space="preserve"> Client churn directly affects sample interpretation: - High entry rates during provider growth â†’ aggregate employment growth is contaminated by composition effects - High exit rates â†’ sample may be shrinking, or economic downturn causing business closures - Asymmetric entry/exit â†’ sample is expanding or contracting</w:t>
      </w:r>
    </w:p>
    <w:p w14:paraId="761BCB2D" w14:textId="77777777" w:rsidR="007D5AEF" w:rsidRDefault="00000000">
      <w:pPr>
        <w:pStyle w:val="BodyText"/>
      </w:pPr>
      <w:r>
        <w:t>Understanding client churn is essential for constructing “continuing client” panels that isolate true employment dynamics from sample evolution.</w:t>
      </w:r>
    </w:p>
    <w:p w14:paraId="234E747C" w14:textId="77777777" w:rsidR="007D5AEF" w:rsidRDefault="00512B85">
      <w:r>
        <w:rPr>
          <w:noProof/>
        </w:rPr>
        <w:pict w14:anchorId="214939B5">
          <v:rect id="_x0000_i1035" alt="" style="width:468pt;height:.05pt;mso-width-percent:0;mso-height-percent:0;mso-width-percent:0;mso-height-percent:0" o:hralign="center" o:hrstd="t" o:hr="t"/>
        </w:pict>
      </w:r>
    </w:p>
    <w:p w14:paraId="13D78B8C" w14:textId="77777777" w:rsidR="007D5AEF" w:rsidRDefault="00000000">
      <w:pPr>
        <w:pStyle w:val="Heading3"/>
      </w:pPr>
      <w:bookmarkStart w:id="11" w:name="client-churn-by-geography-industry-size"/>
      <w:bookmarkEnd w:id="10"/>
      <w:r>
        <w:t>2.3 Client Churn by Geography, Industry, Size</w:t>
      </w:r>
    </w:p>
    <w:p w14:paraId="4F112CCF" w14:textId="77777777" w:rsidR="007D5AEF" w:rsidRDefault="00000000">
      <w:pPr>
        <w:pStyle w:val="FirstParagraph"/>
      </w:pPr>
      <w:r>
        <w:rPr>
          <w:b/>
          <w:bCs/>
        </w:rPr>
        <w:t>Functions:</w:t>
      </w:r>
      <w:r>
        <w:t xml:space="preserve"> </w:t>
      </w:r>
      <w:r>
        <w:rPr>
          <w:rStyle w:val="VerbatimChar"/>
        </w:rPr>
        <w:t>client_churn_by_geography()</w:t>
      </w:r>
      <w:r>
        <w:t xml:space="preserve">, </w:t>
      </w:r>
      <w:r>
        <w:rPr>
          <w:rStyle w:val="VerbatimChar"/>
        </w:rPr>
        <w:t>client_churn_by_industry()</w:t>
      </w:r>
      <w:r>
        <w:t xml:space="preserve">, </w:t>
      </w:r>
      <w:r>
        <w:rPr>
          <w:rStyle w:val="VerbatimChar"/>
        </w:rPr>
        <w:t>client_churn_by_size()</w:t>
      </w:r>
    </w:p>
    <w:p w14:paraId="60F0EED1" w14:textId="77777777" w:rsidR="007D5AEF" w:rsidRDefault="00000000">
      <w:pPr>
        <w:pStyle w:val="BodyText"/>
      </w:pPr>
      <w:r>
        <w:rPr>
          <w:b/>
          <w:bCs/>
        </w:rPr>
        <w:t>What it measures:</w:t>
      </w:r>
      <w:r>
        <w:t xml:space="preserve"> Entry/exit rates stratified by client characteristics.</w:t>
      </w:r>
    </w:p>
    <w:p w14:paraId="1606BE2A" w14:textId="77777777" w:rsidR="007D5AEF" w:rsidRDefault="00000000">
      <w:pPr>
        <w:pStyle w:val="BodyText"/>
      </w:pPr>
      <w:r>
        <w:rPr>
          <w:b/>
          <w:bCs/>
        </w:rPr>
        <w:t>Why it matters:</w:t>
      </w:r>
      <w:r>
        <w:t xml:space="preserve"> Churn varies systematically across dimensions: - </w:t>
      </w:r>
      <w:r>
        <w:rPr>
          <w:b/>
          <w:bCs/>
        </w:rPr>
        <w:t>Geography:</w:t>
      </w:r>
      <w:r>
        <w:t xml:space="preserve"> Provider market penetration varies by region; high churn in certain states may reflect sales activity - </w:t>
      </w:r>
      <w:r>
        <w:rPr>
          <w:b/>
          <w:bCs/>
        </w:rPr>
        <w:t>Industry:</w:t>
      </w:r>
      <w:r>
        <w:t xml:space="preserve"> Some industries have inherently higher business turnover (restaurants vs. utilities) - </w:t>
      </w:r>
      <w:r>
        <w:rPr>
          <w:b/>
          <w:bCs/>
        </w:rPr>
        <w:t>Size:</w:t>
      </w:r>
      <w:r>
        <w:t xml:space="preserve"> Small establishments churn moreâ€”both economically and in switching providers</w:t>
      </w:r>
    </w:p>
    <w:p w14:paraId="1BBA1CDD" w14:textId="77777777" w:rsidR="007D5AEF" w:rsidRDefault="00000000">
      <w:pPr>
        <w:pStyle w:val="BodyText"/>
      </w:pPr>
      <w:r>
        <w:lastRenderedPageBreak/>
        <w:t>Stratified churn analysis helps distinguish: - Sample dynamics (provider gaining/losing market share) - Economic dynamics (actual business births/deaths) - Data quality issues (anomalous patterns in specific cells)</w:t>
      </w:r>
    </w:p>
    <w:p w14:paraId="4DF20853" w14:textId="77777777" w:rsidR="007D5AEF" w:rsidRDefault="00512B85">
      <w:r>
        <w:rPr>
          <w:noProof/>
        </w:rPr>
        <w:pict w14:anchorId="429A3FC1">
          <v:rect id="_x0000_i1034" alt="" style="width:468pt;height:.05pt;mso-width-percent:0;mso-height-percent:0;mso-width-percent:0;mso-height-percent:0" o:hralign="center" o:hrstd="t" o:hr="t"/>
        </w:pict>
      </w:r>
    </w:p>
    <w:p w14:paraId="59364147" w14:textId="77777777" w:rsidR="007D5AEF" w:rsidRDefault="00000000">
      <w:pPr>
        <w:pStyle w:val="Heading3"/>
      </w:pPr>
      <w:bookmarkStart w:id="12" w:name="survival-analysis"/>
      <w:bookmarkEnd w:id="11"/>
      <w:r>
        <w:t>2.4 Survival Analysis</w:t>
      </w:r>
    </w:p>
    <w:p w14:paraId="11731491" w14:textId="77777777" w:rsidR="007D5AEF" w:rsidRDefault="00000000">
      <w:pPr>
        <w:pStyle w:val="FirstParagraph"/>
      </w:pPr>
      <w:r>
        <w:rPr>
          <w:b/>
          <w:bCs/>
        </w:rPr>
        <w:t>Function:</w:t>
      </w:r>
      <w:r>
        <w:t xml:space="preserve"> </w:t>
      </w:r>
      <w:r>
        <w:rPr>
          <w:rStyle w:val="VerbatimChar"/>
        </w:rPr>
        <w:t>compute_client_survival()</w:t>
      </w:r>
    </w:p>
    <w:p w14:paraId="06E8B501" w14:textId="77777777" w:rsidR="007D5AEF" w:rsidRDefault="00000000">
      <w:pPr>
        <w:pStyle w:val="BodyText"/>
      </w:pPr>
      <w:r>
        <w:rPr>
          <w:b/>
          <w:bCs/>
        </w:rPr>
        <w:t>What it measures:</w:t>
      </w:r>
      <w:r>
        <w:t xml:space="preserve"> Kaplan-Meier style survival curves showing the probability a client remains in sample at each tenure milestone, stratified by entry cohort (year).</w:t>
      </w:r>
    </w:p>
    <w:p w14:paraId="28748EED" w14:textId="77777777" w:rsidR="007D5AEF" w:rsidRDefault="00000000">
      <w:pPr>
        <w:pStyle w:val="BodyText"/>
      </w:pPr>
      <w:r>
        <w:rPr>
          <w:b/>
          <w:bCs/>
        </w:rPr>
        <w:t>Why it matters:</w:t>
      </w:r>
      <w:r>
        <w:t xml:space="preserve"> Survival analysis reveals: - </w:t>
      </w:r>
      <w:r>
        <w:rPr>
          <w:b/>
          <w:bCs/>
        </w:rPr>
        <w:t>Sample stability:</w:t>
      </w:r>
      <w:r>
        <w:t xml:space="preserve"> What fraction of clients persist 12, 24, 36 months? - </w:t>
      </w:r>
      <w:r>
        <w:rPr>
          <w:b/>
          <w:bCs/>
        </w:rPr>
        <w:t>Cohort effects:</w:t>
      </w:r>
      <w:r>
        <w:t xml:space="preserve"> Do 2020 entrants behave differently than 2019 entrants? - </w:t>
      </w:r>
      <w:r>
        <w:rPr>
          <w:b/>
          <w:bCs/>
        </w:rPr>
        <w:t>Attrition patterns:</w:t>
      </w:r>
      <w:r>
        <w:t xml:space="preserve"> Steep early drop-off suggests data quality issues; gradual decline suggests natural attrition</w:t>
      </w:r>
    </w:p>
    <w:p w14:paraId="1A9BF058" w14:textId="77777777" w:rsidR="007D5AEF" w:rsidRDefault="00000000">
      <w:pPr>
        <w:pStyle w:val="BodyText"/>
      </w:pPr>
      <w:r>
        <w:t>Comparing survival rates across cohorts can identify: - Changes in provider onboarding quality - Economic shocks affecting business survival - Selection effects in client acquisition</w:t>
      </w:r>
    </w:p>
    <w:p w14:paraId="6B601611" w14:textId="77777777" w:rsidR="007D5AEF" w:rsidRDefault="00512B85">
      <w:r>
        <w:rPr>
          <w:noProof/>
        </w:rPr>
        <w:pict w14:anchorId="2988D6CB">
          <v:rect id="_x0000_i1033" alt="" style="width:468pt;height:.05pt;mso-width-percent:0;mso-height-percent:0;mso-width-percent:0;mso-height-percent:0" o:hralign="center" o:hrstd="t" o:hr="t"/>
        </w:pict>
      </w:r>
    </w:p>
    <w:p w14:paraId="603B698F" w14:textId="77777777" w:rsidR="007D5AEF" w:rsidRDefault="00000000">
      <w:pPr>
        <w:pStyle w:val="Heading3"/>
      </w:pPr>
      <w:bookmarkStart w:id="13" w:name="tenure-summary-by-group"/>
      <w:bookmarkEnd w:id="12"/>
      <w:r>
        <w:t>2.5 Tenure Summary by Group</w:t>
      </w:r>
    </w:p>
    <w:p w14:paraId="624D75A1" w14:textId="77777777" w:rsidR="007D5AEF" w:rsidRDefault="00000000">
      <w:pPr>
        <w:pStyle w:val="FirstParagraph"/>
      </w:pPr>
      <w:r>
        <w:rPr>
          <w:b/>
          <w:bCs/>
        </w:rPr>
        <w:t>Function:</w:t>
      </w:r>
      <w:r>
        <w:t xml:space="preserve"> </w:t>
      </w:r>
      <w:r>
        <w:rPr>
          <w:rStyle w:val="VerbatimChar"/>
        </w:rPr>
        <w:t>tenure_summary_by_group()</w:t>
      </w:r>
    </w:p>
    <w:p w14:paraId="50A683CB" w14:textId="77777777" w:rsidR="007D5AEF" w:rsidRDefault="00000000">
      <w:pPr>
        <w:pStyle w:val="BodyText"/>
      </w:pPr>
      <w:r>
        <w:rPr>
          <w:b/>
          <w:bCs/>
        </w:rPr>
        <w:t>What it measures:</w:t>
      </w:r>
      <w:r>
        <w:t xml:space="preserve"> Summary statistics (mean, median, percentiles, std) of client tenure for any grouping variable.</w:t>
      </w:r>
    </w:p>
    <w:p w14:paraId="1F1AE893" w14:textId="77777777" w:rsidR="007D5AEF" w:rsidRDefault="00000000">
      <w:pPr>
        <w:pStyle w:val="BodyText"/>
      </w:pPr>
      <w:r>
        <w:rPr>
          <w:b/>
          <w:bCs/>
        </w:rPr>
        <w:t>Why it matters:</w:t>
      </w:r>
      <w:r>
        <w:t xml:space="preserve"> Tenure varies by client characteristics: - Large establishments tend to have longer tenure (more stable, stickier relationships) - Certain industries may have higher turnover - Regional variation may reflect provider history</w:t>
      </w:r>
    </w:p>
    <w:p w14:paraId="66592378" w14:textId="77777777" w:rsidR="007D5AEF" w:rsidRDefault="00000000">
      <w:pPr>
        <w:pStyle w:val="BodyText"/>
      </w:pPr>
      <w:r>
        <w:t>These patterns inform: - Weighting schemes for representativeness - Expectations for stable panel construction - Interpretation of stratified employment dynamics</w:t>
      </w:r>
    </w:p>
    <w:p w14:paraId="04B2AB28" w14:textId="77777777" w:rsidR="007D5AEF" w:rsidRDefault="00512B85">
      <w:r>
        <w:rPr>
          <w:noProof/>
        </w:rPr>
        <w:pict w14:anchorId="78F3A2EF">
          <v:rect id="_x0000_i1032" alt="" style="width:468pt;height:.05pt;mso-width-percent:0;mso-height-percent:0;mso-width-percent:0;mso-height-percent:0" o:hralign="center" o:hrstd="t" o:hr="t"/>
        </w:pict>
      </w:r>
    </w:p>
    <w:p w14:paraId="555CDAF9" w14:textId="77777777" w:rsidR="007D5AEF" w:rsidRDefault="00000000">
      <w:pPr>
        <w:pStyle w:val="Heading2"/>
      </w:pPr>
      <w:bookmarkStart w:id="14" w:name="additional-measures"/>
      <w:bookmarkEnd w:id="8"/>
      <w:bookmarkEnd w:id="13"/>
      <w:r>
        <w:t>3. Additional Measures</w:t>
      </w:r>
    </w:p>
    <w:p w14:paraId="66495A32" w14:textId="77777777" w:rsidR="007D5AEF" w:rsidRDefault="00000000">
      <w:pPr>
        <w:pStyle w:val="Heading3"/>
      </w:pPr>
      <w:bookmarkStart w:id="15" w:name="earnings-distribution"/>
      <w:r>
        <w:t>3.1 Earnings Distribution</w:t>
      </w:r>
    </w:p>
    <w:p w14:paraId="271624E7" w14:textId="77777777" w:rsidR="007D5AEF" w:rsidRDefault="00000000">
      <w:pPr>
        <w:pStyle w:val="FirstParagraph"/>
      </w:pPr>
      <w:r>
        <w:rPr>
          <w:b/>
          <w:bCs/>
        </w:rPr>
        <w:t>Functions:</w:t>
      </w:r>
      <w:r>
        <w:t xml:space="preserve"> </w:t>
      </w:r>
      <w:r>
        <w:rPr>
          <w:rStyle w:val="VerbatimChar"/>
        </w:rPr>
        <w:t>compute_earnings_distribution()</w:t>
      </w:r>
      <w:r>
        <w:t xml:space="preserve">, </w:t>
      </w:r>
      <w:r>
        <w:rPr>
          <w:rStyle w:val="VerbatimChar"/>
        </w:rPr>
        <w:t>compute_earnings_growth()</w:t>
      </w:r>
    </w:p>
    <w:p w14:paraId="17928B9C" w14:textId="77777777" w:rsidR="007D5AEF" w:rsidRDefault="00000000">
      <w:pPr>
        <w:pStyle w:val="BodyText"/>
      </w:pPr>
      <w:r>
        <w:rPr>
          <w:b/>
          <w:bCs/>
        </w:rPr>
        <w:t>What it measures:</w:t>
      </w:r>
      <w:r>
        <w:t xml:space="preserve"> - Mean, median, and percentile (P10, P25, P75, P90) monthly gross pay - Standard deviation and coefficient of variation - Year-over-year growth in mean and median earnings</w:t>
      </w:r>
    </w:p>
    <w:p w14:paraId="6C02A368" w14:textId="77777777" w:rsidR="007D5AEF" w:rsidRDefault="00000000">
      <w:pPr>
        <w:pStyle w:val="BodyText"/>
      </w:pPr>
      <w:r>
        <w:rPr>
          <w:b/>
          <w:bCs/>
        </w:rPr>
        <w:lastRenderedPageBreak/>
        <w:t>Why it matters:</w:t>
      </w:r>
      <w:r>
        <w:t xml:space="preserve"> Earnings data from payroll records is: - </w:t>
      </w:r>
      <w:r>
        <w:rPr>
          <w:b/>
          <w:bCs/>
        </w:rPr>
        <w:t>More accurate</w:t>
      </w:r>
      <w:r>
        <w:t xml:space="preserve"> than survey-based measures (actual payments, not recalled estimates) - </w:t>
      </w:r>
      <w:r>
        <w:rPr>
          <w:b/>
          <w:bCs/>
        </w:rPr>
        <w:t>Higher frequency</w:t>
      </w:r>
      <w:r>
        <w:t xml:space="preserve"> than QCEW (monthly vs. quarterly) - </w:t>
      </w:r>
      <w:r>
        <w:rPr>
          <w:b/>
          <w:bCs/>
        </w:rPr>
        <w:t>More detailed</w:t>
      </w:r>
      <w:r>
        <w:t xml:space="preserve"> than aggregate statistics (full distribution, not just averages)</w:t>
      </w:r>
    </w:p>
    <w:p w14:paraId="3C43AE6A" w14:textId="77777777" w:rsidR="007D5AEF" w:rsidRDefault="00000000">
      <w:pPr>
        <w:pStyle w:val="BodyText"/>
      </w:pPr>
      <w:r>
        <w:t>Earnings analysis enables: - Wage growth measurement for inflation/monetary policy analysis - Inequality tracking (P90/P10 ratio, CV trends) - Validation against QCEW average weekly wage - Industry and size-specific compensation benchmarking</w:t>
      </w:r>
    </w:p>
    <w:p w14:paraId="0B86E610" w14:textId="77777777" w:rsidR="007D5AEF" w:rsidRDefault="00000000">
      <w:pPr>
        <w:pStyle w:val="BodyText"/>
      </w:pPr>
      <w:r>
        <w:rPr>
          <w:b/>
          <w:bCs/>
        </w:rPr>
        <w:t>Interpretation notes:</w:t>
      </w:r>
      <w:r>
        <w:t xml:space="preserve"> - Gross pay includes overtime, bonusesâ€”more volatile than base wages - Composition effects matter: industry mix changes affect aggregate earnings - Part-time/full-time mix affects mean earnings</w:t>
      </w:r>
    </w:p>
    <w:p w14:paraId="5134A736" w14:textId="77777777" w:rsidR="007D5AEF" w:rsidRDefault="00512B85">
      <w:r>
        <w:rPr>
          <w:noProof/>
        </w:rPr>
        <w:pict w14:anchorId="7914DCB0">
          <v:rect id="_x0000_i1031" alt="" style="width:468pt;height:.05pt;mso-width-percent:0;mso-height-percent:0;mso-width-percent:0;mso-height-percent:0" o:hralign="center" o:hrstd="t" o:hr="t"/>
        </w:pict>
      </w:r>
    </w:p>
    <w:p w14:paraId="6BFFB3AE" w14:textId="77777777" w:rsidR="007D5AEF" w:rsidRDefault="00000000">
      <w:pPr>
        <w:pStyle w:val="Heading3"/>
      </w:pPr>
      <w:bookmarkStart w:id="16" w:name="vintage-analysis"/>
      <w:bookmarkEnd w:id="15"/>
      <w:r>
        <w:t>3.2 Vintage Analysis</w:t>
      </w:r>
    </w:p>
    <w:p w14:paraId="4B9D1E16" w14:textId="77777777" w:rsidR="007D5AEF" w:rsidRDefault="00000000">
      <w:pPr>
        <w:pStyle w:val="FirstParagraph"/>
      </w:pPr>
      <w:r>
        <w:rPr>
          <w:b/>
          <w:bCs/>
        </w:rPr>
        <w:t>Functions:</w:t>
      </w:r>
      <w:r>
        <w:t xml:space="preserve"> </w:t>
      </w:r>
      <w:r>
        <w:rPr>
          <w:rStyle w:val="VerbatimChar"/>
        </w:rPr>
        <w:t>compute_vintage_analysis()</w:t>
      </w:r>
      <w:r>
        <w:t xml:space="preserve">, </w:t>
      </w:r>
      <w:r>
        <w:rPr>
          <w:rStyle w:val="VerbatimChar"/>
        </w:rPr>
        <w:t>compute_vintage_shares()</w:t>
      </w:r>
    </w:p>
    <w:p w14:paraId="6597FFD7" w14:textId="77777777" w:rsidR="007D5AEF" w:rsidRDefault="00000000">
      <w:pPr>
        <w:pStyle w:val="BodyText"/>
      </w:pPr>
      <w:r>
        <w:rPr>
          <w:b/>
          <w:bCs/>
        </w:rPr>
        <w:t>What it measures:</w:t>
      </w:r>
      <w:r>
        <w:t xml:space="preserve"> Employment and payroll aggregates stratified by client “vintage” (the year they first appeared in the sample).</w:t>
      </w:r>
    </w:p>
    <w:p w14:paraId="133ED0BF" w14:textId="77777777" w:rsidR="007D5AEF" w:rsidRDefault="00000000">
      <w:pPr>
        <w:pStyle w:val="BodyText"/>
      </w:pPr>
      <w:r>
        <w:rPr>
          <w:b/>
          <w:bCs/>
        </w:rPr>
        <w:t>Why it matters:</w:t>
      </w:r>
      <w:r>
        <w:t xml:space="preserve"> Fast-growing payroll providers face a fundamental challenge: newer clients may systematically differ from established ones. Vintage analysis reveals: - </w:t>
      </w:r>
      <w:r>
        <w:rPr>
          <w:b/>
          <w:bCs/>
        </w:rPr>
        <w:t>Composition contamination:</w:t>
      </w:r>
      <w:r>
        <w:t xml:space="preserve"> If 30% of 2025 employment comes from clients who joined in the last 12 months, aggregate trends are heavily influenced by selection effects - </w:t>
      </w:r>
      <w:r>
        <w:rPr>
          <w:b/>
          <w:bCs/>
        </w:rPr>
        <w:t>Systematic differences:</w:t>
      </w:r>
      <w:r>
        <w:t xml:space="preserve"> Newer clients may be smaller, different industries, or different geographies - </w:t>
      </w:r>
      <w:r>
        <w:rPr>
          <w:b/>
          <w:bCs/>
        </w:rPr>
        <w:t>Trend reliability:</w:t>
      </w:r>
      <w:r>
        <w:t xml:space="preserve"> Trends based on continuing vintages are more reliable than those including recent entrants</w:t>
      </w:r>
    </w:p>
    <w:p w14:paraId="6BDAE99B" w14:textId="77777777" w:rsidR="007D5AEF" w:rsidRDefault="00000000">
      <w:pPr>
        <w:pStyle w:val="BodyText"/>
      </w:pPr>
      <w:r>
        <w:t>This analysis is essential for constructing uncontaminated trend estimates.</w:t>
      </w:r>
    </w:p>
    <w:p w14:paraId="4840BE51" w14:textId="77777777" w:rsidR="007D5AEF" w:rsidRDefault="00512B85">
      <w:r>
        <w:rPr>
          <w:noProof/>
        </w:rPr>
        <w:pict w14:anchorId="023EAD54">
          <v:rect id="_x0000_i1030" alt="" style="width:468pt;height:.05pt;mso-width-percent:0;mso-height-percent:0;mso-width-percent:0;mso-height-percent:0" o:hralign="center" o:hrstd="t" o:hr="t"/>
        </w:pict>
      </w:r>
    </w:p>
    <w:p w14:paraId="76D20F8D" w14:textId="77777777" w:rsidR="007D5AEF" w:rsidRDefault="00000000">
      <w:pPr>
        <w:pStyle w:val="Heading3"/>
      </w:pPr>
      <w:bookmarkStart w:id="17" w:name="composition-analysis"/>
      <w:bookmarkEnd w:id="16"/>
      <w:r>
        <w:t>3.3 Composition Analysis</w:t>
      </w:r>
    </w:p>
    <w:p w14:paraId="73AB842A" w14:textId="77777777" w:rsidR="007D5AEF" w:rsidRDefault="00000000">
      <w:pPr>
        <w:pStyle w:val="FirstParagraph"/>
      </w:pPr>
      <w:r>
        <w:rPr>
          <w:b/>
          <w:bCs/>
        </w:rPr>
        <w:t>Functions:</w:t>
      </w:r>
      <w:r>
        <w:t xml:space="preserve"> </w:t>
      </w:r>
      <w:r>
        <w:rPr>
          <w:rStyle w:val="VerbatimChar"/>
        </w:rPr>
        <w:t>compute_composition_shares()</w:t>
      </w:r>
      <w:r>
        <w:t xml:space="preserve">, </w:t>
      </w:r>
      <w:r>
        <w:rPr>
          <w:rStyle w:val="VerbatimChar"/>
        </w:rPr>
        <w:t>compute_composition_shift_index()</w:t>
      </w:r>
    </w:p>
    <w:p w14:paraId="15FA2756" w14:textId="77777777" w:rsidR="007D5AEF" w:rsidRDefault="00000000">
      <w:pPr>
        <w:pStyle w:val="BodyText"/>
      </w:pPr>
      <w:r>
        <w:rPr>
          <w:b/>
          <w:bCs/>
        </w:rPr>
        <w:t>What it measures:</w:t>
      </w:r>
      <w:r>
        <w:t xml:space="preserve"> - </w:t>
      </w:r>
      <w:r>
        <w:rPr>
          <w:b/>
          <w:bCs/>
        </w:rPr>
        <w:t>Composition shares:</w:t>
      </w:r>
      <w:r>
        <w:t xml:space="preserve"> Time series of employment distribution across industries, geographies, or size classes - </w:t>
      </w:r>
      <w:r>
        <w:rPr>
          <w:b/>
          <w:bCs/>
        </w:rPr>
        <w:t>Composition Shift Index (CSI):</w:t>
      </w:r>
      <w:r>
        <w:t xml:space="preserve"> Sum of absolute month-over-month changes in shares, bounded [0, 2]</w:t>
      </w:r>
    </w:p>
    <w:p w14:paraId="38C3CD42" w14:textId="77777777" w:rsidR="007D5AEF" w:rsidRDefault="00000000">
      <w:pPr>
        <w:pStyle w:val="BodyText"/>
      </w:pPr>
      <w:r>
        <w:rPr>
          <w:b/>
          <w:bCs/>
        </w:rPr>
        <w:t>Why it matters:</w:t>
      </w:r>
      <w:r>
        <w:t xml:space="preserve"> Sample composition stability affects trend interpretation: - </w:t>
      </w:r>
      <w:r>
        <w:rPr>
          <w:b/>
          <w:bCs/>
        </w:rPr>
        <w:t>Stable composition (CSI near 0):</w:t>
      </w:r>
      <w:r>
        <w:t xml:space="preserve"> Changes in aggregates reflect true dynamics - </w:t>
      </w:r>
      <w:r>
        <w:rPr>
          <w:b/>
          <w:bCs/>
        </w:rPr>
        <w:t>Shifting composition (CSI &gt; 0.05):</w:t>
      </w:r>
      <w:r>
        <w:t xml:space="preserve"> Aggregate changes conflate true dynamics with mix effects</w:t>
      </w:r>
    </w:p>
    <w:p w14:paraId="4AA62D99" w14:textId="77777777" w:rsidR="007D5AEF" w:rsidRDefault="00000000">
      <w:pPr>
        <w:pStyle w:val="BodyText"/>
      </w:pPr>
      <w:r>
        <w:t>CSI tracks separately for: - Industry composition - Geographic composition - Size class composition</w:t>
      </w:r>
    </w:p>
    <w:p w14:paraId="64303181" w14:textId="77777777" w:rsidR="007D5AEF" w:rsidRDefault="00000000">
      <w:pPr>
        <w:pStyle w:val="BodyText"/>
      </w:pPr>
      <w:r>
        <w:lastRenderedPageBreak/>
        <w:t>High CSI values warrant caution in interpreting aggregate trends and suggest need for fixed-composition indices or reweighting.</w:t>
      </w:r>
    </w:p>
    <w:p w14:paraId="27E8036C" w14:textId="77777777" w:rsidR="007D5AEF" w:rsidRDefault="00512B85">
      <w:r>
        <w:rPr>
          <w:noProof/>
        </w:rPr>
        <w:pict w14:anchorId="53AD239F">
          <v:rect id="_x0000_i1029" alt="" style="width:468pt;height:.05pt;mso-width-percent:0;mso-height-percent:0;mso-width-percent:0;mso-height-percent:0" o:hralign="center" o:hrstd="t" o:hr="t"/>
        </w:pict>
      </w:r>
    </w:p>
    <w:p w14:paraId="0AD80CBF" w14:textId="77777777" w:rsidR="007D5AEF" w:rsidRDefault="00000000">
      <w:pPr>
        <w:pStyle w:val="Heading3"/>
      </w:pPr>
      <w:bookmarkStart w:id="18" w:name="employment-change-decomposition"/>
      <w:bookmarkEnd w:id="17"/>
      <w:r>
        <w:t>3.4 Employment Change Decomposition</w:t>
      </w:r>
    </w:p>
    <w:p w14:paraId="1D6DABF1" w14:textId="77777777" w:rsidR="007D5AEF" w:rsidRDefault="00000000">
      <w:pPr>
        <w:pStyle w:val="FirstParagraph"/>
      </w:pPr>
      <w:r>
        <w:rPr>
          <w:b/>
          <w:bCs/>
        </w:rPr>
        <w:t>Function:</w:t>
      </w:r>
      <w:r>
        <w:t xml:space="preserve"> </w:t>
      </w:r>
      <w:r>
        <w:rPr>
          <w:rStyle w:val="VerbatimChar"/>
        </w:rPr>
        <w:t>decompose_employment_change()</w:t>
      </w:r>
    </w:p>
    <w:p w14:paraId="136A0B01" w14:textId="77777777" w:rsidR="007D5AEF" w:rsidRDefault="00000000">
      <w:pPr>
        <w:pStyle w:val="BodyText"/>
      </w:pPr>
      <w:r>
        <w:rPr>
          <w:b/>
          <w:bCs/>
        </w:rPr>
        <w:t>What it measures:</w:t>
      </w:r>
      <w:r>
        <w:t xml:space="preserve"> Monthly employment change decomposed into: - </w:t>
      </w:r>
      <w:r>
        <w:rPr>
          <w:b/>
          <w:bCs/>
        </w:rPr>
        <w:t>Within-client change:</w:t>
      </w:r>
      <w:r>
        <w:t xml:space="preserve"> Employment growth/decline at continuing clients (intensive margin) - </w:t>
      </w:r>
      <w:r>
        <w:rPr>
          <w:b/>
          <w:bCs/>
        </w:rPr>
        <w:t>Entry contribution:</w:t>
      </w:r>
      <w:r>
        <w:t xml:space="preserve"> Employment from newly entering clients (extensive margin) - </w:t>
      </w:r>
      <w:r>
        <w:rPr>
          <w:b/>
          <w:bCs/>
        </w:rPr>
        <w:t>Exit contribution:</w:t>
      </w:r>
      <w:r>
        <w:t xml:space="preserve"> Employment lost from exiting clients (extensive margin)</w:t>
      </w:r>
    </w:p>
    <w:p w14:paraId="6634DFA8" w14:textId="77777777" w:rsidR="007D5AEF" w:rsidRDefault="00000000">
      <w:pPr>
        <w:pStyle w:val="BodyText"/>
      </w:pPr>
      <w:r>
        <w:rPr>
          <w:b/>
          <w:bCs/>
        </w:rPr>
        <w:t>Why it matters:</w:t>
      </w:r>
      <w:r>
        <w:t xml:space="preserve"> This decomposition is the key to understanding what drives aggregate employment changes: - </w:t>
      </w:r>
      <w:r>
        <w:rPr>
          <w:b/>
          <w:bCs/>
        </w:rPr>
        <w:t>Within-client dominated:</w:t>
      </w:r>
      <w:r>
        <w:t xml:space="preserve"> True economic dynamics - </w:t>
      </w:r>
      <w:r>
        <w:rPr>
          <w:b/>
          <w:bCs/>
        </w:rPr>
        <w:t>Entry-dominated:</w:t>
      </w:r>
      <w:r>
        <w:t xml:space="preserve"> Sample growth, possibly contaminating trends - </w:t>
      </w:r>
      <w:r>
        <w:rPr>
          <w:b/>
          <w:bCs/>
        </w:rPr>
        <w:t>Exit-dominated:</w:t>
      </w:r>
      <w:r>
        <w:t xml:space="preserve"> Sample shrinkage or economic downturn</w:t>
      </w:r>
    </w:p>
    <w:p w14:paraId="15751603" w14:textId="77777777" w:rsidR="007D5AEF" w:rsidRDefault="00000000">
      <w:pPr>
        <w:pStyle w:val="BodyText"/>
      </w:pPr>
      <w:r>
        <w:t>For benchmarking against official statistics, within-client growth is more reliable because it removes sample composition effects.</w:t>
      </w:r>
    </w:p>
    <w:p w14:paraId="47DA2CBC" w14:textId="77777777" w:rsidR="007D5AEF" w:rsidRDefault="00512B85">
      <w:r>
        <w:rPr>
          <w:noProof/>
        </w:rPr>
        <w:pict w14:anchorId="6A4FEA0C">
          <v:rect id="_x0000_i1028" alt="" style="width:468pt;height:.05pt;mso-width-percent:0;mso-height-percent:0;mso-width-percent:0;mso-height-percent:0" o:hralign="center" o:hrstd="t" o:hr="t"/>
        </w:pict>
      </w:r>
    </w:p>
    <w:p w14:paraId="17F2F241" w14:textId="77777777" w:rsidR="007D5AEF" w:rsidRDefault="00000000">
      <w:pPr>
        <w:pStyle w:val="Heading3"/>
      </w:pPr>
      <w:bookmarkStart w:id="19" w:name="birth-and-death-identification"/>
      <w:bookmarkEnd w:id="18"/>
      <w:r>
        <w:t>3.5 Birth and Death Identification</w:t>
      </w:r>
    </w:p>
    <w:p w14:paraId="5E4465CD" w14:textId="77777777" w:rsidR="007D5AEF" w:rsidRDefault="00000000">
      <w:pPr>
        <w:pStyle w:val="FirstParagraph"/>
      </w:pPr>
      <w:r>
        <w:rPr>
          <w:b/>
          <w:bCs/>
        </w:rPr>
        <w:t>Function:</w:t>
      </w:r>
      <w:r>
        <w:t xml:space="preserve"> </w:t>
      </w:r>
      <w:r>
        <w:rPr>
          <w:rStyle w:val="VerbatimChar"/>
        </w:rPr>
        <w:t>identify_births_deaths()</w:t>
      </w:r>
    </w:p>
    <w:p w14:paraId="0102608A" w14:textId="77777777" w:rsidR="007D5AEF" w:rsidRDefault="00000000">
      <w:pPr>
        <w:pStyle w:val="BodyText"/>
      </w:pPr>
      <w:r>
        <w:rPr>
          <w:b/>
          <w:bCs/>
        </w:rPr>
        <w:t>What it measures:</w:t>
      </w:r>
      <w:r>
        <w:t xml:space="preserve"> Classification of clients into: - </w:t>
      </w:r>
      <w:r>
        <w:rPr>
          <w:b/>
          <w:bCs/>
        </w:rPr>
        <w:t>Likely births:</w:t>
      </w:r>
      <w:r>
        <w:t xml:space="preserve"> Filing date within 90 days of first observation (genuine new establishment) - </w:t>
      </w:r>
      <w:r>
        <w:rPr>
          <w:b/>
          <w:bCs/>
        </w:rPr>
        <w:t>Potential deaths:</w:t>
      </w:r>
      <w:r>
        <w:t xml:space="preserve"> Last observed well before end of sample period - </w:t>
      </w:r>
      <w:r>
        <w:rPr>
          <w:b/>
          <w:bCs/>
        </w:rPr>
        <w:t>Censored/Active:</w:t>
      </w:r>
      <w:r>
        <w:t xml:space="preserve"> Still present at end of sample</w:t>
      </w:r>
    </w:p>
    <w:p w14:paraId="533E334C" w14:textId="77777777" w:rsidR="007D5AEF" w:rsidRDefault="00000000">
      <w:pPr>
        <w:pStyle w:val="BodyText"/>
      </w:pPr>
      <w:r>
        <w:rPr>
          <w:b/>
          <w:bCs/>
        </w:rPr>
        <w:t>Why it matters:</w:t>
      </w:r>
      <w:r>
        <w:t xml:space="preserve"> Distinguishing true establishment births from provider switches is critical: - True births indicate entrepreneurship and economic dynamism - Provider switches are sample composition, not economic events</w:t>
      </w:r>
    </w:p>
    <w:p w14:paraId="1442C80D" w14:textId="77777777" w:rsidR="007D5AEF" w:rsidRDefault="00000000">
      <w:pPr>
        <w:pStyle w:val="BodyText"/>
      </w:pPr>
      <w:r>
        <w:t>Similarly, distinguishing deaths from provider switches: - True deaths signal business failure or market exit - Provider switches just move employment to a different data source</w:t>
      </w:r>
    </w:p>
    <w:p w14:paraId="610146B4" w14:textId="77777777" w:rsidR="007D5AEF" w:rsidRDefault="00000000">
      <w:pPr>
        <w:pStyle w:val="BodyText"/>
      </w:pPr>
      <w:r>
        <w:t>Birth rates can be benchmarked against BDS (Business Dynamics Statistics) for validation.</w:t>
      </w:r>
    </w:p>
    <w:p w14:paraId="09025923" w14:textId="77777777" w:rsidR="007D5AEF" w:rsidRDefault="00000000">
      <w:pPr>
        <w:pStyle w:val="BodyText"/>
      </w:pPr>
      <w:r>
        <w:rPr>
          <w:b/>
          <w:bCs/>
        </w:rPr>
        <w:t>Limitations:</w:t>
      </w:r>
      <w:r>
        <w:t xml:space="preserve"> - Filing date is often missing (limits birth identification) - Deaths cannot be confirmed without external data (could be provider switch) - 90-day window is heuristic, may need calibration</w:t>
      </w:r>
    </w:p>
    <w:p w14:paraId="3A223CDA" w14:textId="77777777" w:rsidR="007D5AEF" w:rsidRDefault="00512B85">
      <w:r>
        <w:rPr>
          <w:noProof/>
        </w:rPr>
        <w:pict w14:anchorId="14F21154">
          <v:rect id="_x0000_i1027" alt="" style="width:468pt;height:.05pt;mso-width-percent:0;mso-height-percent:0;mso-width-percent:0;mso-height-percent:0" o:hralign="center" o:hrstd="t" o:hr="t"/>
        </w:pict>
      </w:r>
    </w:p>
    <w:p w14:paraId="4E854652" w14:textId="77777777" w:rsidR="007D5AEF" w:rsidRDefault="00000000">
      <w:pPr>
        <w:pStyle w:val="Heading3"/>
      </w:pPr>
      <w:bookmarkStart w:id="20" w:name="data-quality-flags"/>
      <w:bookmarkEnd w:id="19"/>
      <w:r>
        <w:t>3.6 Data Quality Flags</w:t>
      </w:r>
    </w:p>
    <w:p w14:paraId="69E78A6F" w14:textId="77777777" w:rsidR="007D5AEF" w:rsidRDefault="00000000">
      <w:pPr>
        <w:pStyle w:val="FirstParagraph"/>
      </w:pPr>
      <w:r>
        <w:rPr>
          <w:b/>
          <w:bCs/>
        </w:rPr>
        <w:t>Function:</w:t>
      </w:r>
      <w:r>
        <w:t xml:space="preserve"> </w:t>
      </w:r>
      <w:r>
        <w:rPr>
          <w:rStyle w:val="VerbatimChar"/>
        </w:rPr>
        <w:t>flag_data_quality_issues()</w:t>
      </w:r>
    </w:p>
    <w:p w14:paraId="72B6AB93" w14:textId="77777777" w:rsidR="007D5AEF" w:rsidRDefault="00000000">
      <w:pPr>
        <w:pStyle w:val="BodyText"/>
      </w:pPr>
      <w:r>
        <w:rPr>
          <w:b/>
          <w:bCs/>
        </w:rPr>
        <w:lastRenderedPageBreak/>
        <w:t>What it measures:</w:t>
      </w:r>
      <w:r>
        <w:t xml:space="preserve"> Potential data quality issues: - </w:t>
      </w:r>
      <w:r>
        <w:rPr>
          <w:b/>
          <w:bCs/>
        </w:rPr>
        <w:t>Extreme employment changes:</w:t>
      </w:r>
      <w:r>
        <w:t xml:space="preserve"> &gt;50% MoM change at a client (possible data error) - </w:t>
      </w:r>
      <w:r>
        <w:rPr>
          <w:b/>
          <w:bCs/>
        </w:rPr>
        <w:t>Zero employment months:</w:t>
      </w:r>
      <w:r>
        <w:t xml:space="preserve"> Client appears but reports zero employment (possible processing issue) - </w:t>
      </w:r>
      <w:r>
        <w:rPr>
          <w:b/>
          <w:bCs/>
        </w:rPr>
        <w:t>Multi-client employees:</w:t>
      </w:r>
      <w:r>
        <w:t xml:space="preserve"> Same employee_id at multiple clients in same month (possible ID collision or genuine multi-job holder) - </w:t>
      </w:r>
      <w:r>
        <w:rPr>
          <w:b/>
          <w:bCs/>
        </w:rPr>
        <w:t>Filing date anomalies:</w:t>
      </w:r>
      <w:r>
        <w:t xml:space="preserve"> Filing date after first observation (data inconsistency)</w:t>
      </w:r>
    </w:p>
    <w:p w14:paraId="64E10BC7" w14:textId="77777777" w:rsidR="007D5AEF" w:rsidRDefault="00000000">
      <w:pPr>
        <w:pStyle w:val="BodyText"/>
      </w:pPr>
      <w:r>
        <w:rPr>
          <w:b/>
          <w:bCs/>
        </w:rPr>
        <w:t>Why it matters:</w:t>
      </w:r>
      <w:r>
        <w:t xml:space="preserve"> Data quality issues can severely distort analysis: - Extreme changes inflate measured volatility and churn - Zero-employment months affect tenure calculation - Multi-client employees may double-count employment - Filing anomalies undermine birth identification</w:t>
      </w:r>
    </w:p>
    <w:p w14:paraId="288DC85B" w14:textId="77777777" w:rsidR="007D5AEF" w:rsidRDefault="00000000">
      <w:pPr>
        <w:pStyle w:val="BodyText"/>
      </w:pPr>
      <w:r>
        <w:t>Flagging these issues enables: - Exclusion or winsorization for sensitive analyses - Investigation of root causes - Communication of data limitations to stakeholders</w:t>
      </w:r>
    </w:p>
    <w:p w14:paraId="624C1696" w14:textId="77777777" w:rsidR="007D5AEF" w:rsidRDefault="00512B85">
      <w:r>
        <w:rPr>
          <w:noProof/>
        </w:rPr>
        <w:pict w14:anchorId="48EEF483">
          <v:rect id="_x0000_i1026" alt="" style="width:468pt;height:.05pt;mso-width-percent:0;mso-height-percent:0;mso-width-percent:0;mso-height-percent:0" o:hralign="center" o:hrstd="t" o:hr="t"/>
        </w:pict>
      </w:r>
    </w:p>
    <w:p w14:paraId="1C0B55EE" w14:textId="77777777" w:rsidR="007D5AEF" w:rsidRDefault="00000000">
      <w:pPr>
        <w:pStyle w:val="Heading2"/>
      </w:pPr>
      <w:bookmarkStart w:id="21" w:name="summary-analysis-hierarchy"/>
      <w:bookmarkEnd w:id="14"/>
      <w:bookmarkEnd w:id="20"/>
      <w:r>
        <w:t>Summary: Analysis Hierarchy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64"/>
        <w:gridCol w:w="2564"/>
        <w:gridCol w:w="4232"/>
      </w:tblGrid>
      <w:tr w:rsidR="007D5AEF" w14:paraId="3EFDFAC0" w14:textId="77777777" w:rsidTr="007D5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9" w:type="dxa"/>
          </w:tcPr>
          <w:p w14:paraId="79EC5257" w14:textId="77777777" w:rsidR="007D5AEF" w:rsidRDefault="00000000">
            <w:pPr>
              <w:pStyle w:val="Compact"/>
            </w:pPr>
            <w:r>
              <w:t>Category</w:t>
            </w:r>
          </w:p>
        </w:tc>
        <w:tc>
          <w:tcPr>
            <w:tcW w:w="2169" w:type="dxa"/>
          </w:tcPr>
          <w:p w14:paraId="7A1FCD5C" w14:textId="77777777" w:rsidR="007D5AEF" w:rsidRDefault="00000000">
            <w:pPr>
              <w:pStyle w:val="Compact"/>
            </w:pPr>
            <w:r>
              <w:t>Analysis</w:t>
            </w:r>
          </w:p>
        </w:tc>
        <w:tc>
          <w:tcPr>
            <w:tcW w:w="3580" w:type="dxa"/>
          </w:tcPr>
          <w:p w14:paraId="31164912" w14:textId="77777777" w:rsidR="007D5AEF" w:rsidRDefault="00000000">
            <w:pPr>
              <w:pStyle w:val="Compact"/>
            </w:pPr>
            <w:r>
              <w:t>Primary Purpose</w:t>
            </w:r>
          </w:p>
        </w:tc>
      </w:tr>
      <w:tr w:rsidR="007D5AEF" w14:paraId="69A07473" w14:textId="77777777">
        <w:tc>
          <w:tcPr>
            <w:tcW w:w="2169" w:type="dxa"/>
          </w:tcPr>
          <w:p w14:paraId="30896EF8" w14:textId="77777777" w:rsidR="007D5AEF" w:rsidRDefault="00000000">
            <w:pPr>
              <w:pStyle w:val="Compact"/>
            </w:pPr>
            <w:r>
              <w:rPr>
                <w:b/>
                <w:bCs/>
              </w:rPr>
              <w:t>Employment Dynamics</w:t>
            </w:r>
          </w:p>
        </w:tc>
        <w:tc>
          <w:tcPr>
            <w:tcW w:w="2169" w:type="dxa"/>
          </w:tcPr>
          <w:p w14:paraId="2372E40E" w14:textId="77777777" w:rsidR="007D5AEF" w:rsidRDefault="00000000">
            <w:pPr>
              <w:pStyle w:val="Compact"/>
            </w:pPr>
            <w:r>
              <w:t>Job Flows (Aggregate)</w:t>
            </w:r>
          </w:p>
        </w:tc>
        <w:tc>
          <w:tcPr>
            <w:tcW w:w="3580" w:type="dxa"/>
          </w:tcPr>
          <w:p w14:paraId="09A3BD43" w14:textId="77777777" w:rsidR="007D5AEF" w:rsidRDefault="00000000">
            <w:pPr>
              <w:pStyle w:val="Compact"/>
            </w:pPr>
            <w:r>
              <w:t>Measure labor market health</w:t>
            </w:r>
          </w:p>
        </w:tc>
      </w:tr>
      <w:tr w:rsidR="007D5AEF" w14:paraId="769F737B" w14:textId="77777777">
        <w:tc>
          <w:tcPr>
            <w:tcW w:w="2169" w:type="dxa"/>
          </w:tcPr>
          <w:p w14:paraId="4BA05A0F" w14:textId="77777777" w:rsidR="007D5AEF" w:rsidRDefault="007D5AEF">
            <w:pPr>
              <w:pStyle w:val="Compact"/>
            </w:pPr>
          </w:p>
        </w:tc>
        <w:tc>
          <w:tcPr>
            <w:tcW w:w="2169" w:type="dxa"/>
          </w:tcPr>
          <w:p w14:paraId="61ABDC12" w14:textId="77777777" w:rsidR="007D5AEF" w:rsidRDefault="00000000">
            <w:pPr>
              <w:pStyle w:val="Compact"/>
            </w:pPr>
            <w:r>
              <w:t>Job Flows by Geography</w:t>
            </w:r>
          </w:p>
        </w:tc>
        <w:tc>
          <w:tcPr>
            <w:tcW w:w="3580" w:type="dxa"/>
          </w:tcPr>
          <w:p w14:paraId="19268A97" w14:textId="77777777" w:rsidR="007D5AEF" w:rsidRDefault="00000000">
            <w:pPr>
              <w:pStyle w:val="Compact"/>
            </w:pPr>
            <w:r>
              <w:t>Regional comparison, sample coverage</w:t>
            </w:r>
          </w:p>
        </w:tc>
      </w:tr>
      <w:tr w:rsidR="007D5AEF" w14:paraId="12602513" w14:textId="77777777">
        <w:tc>
          <w:tcPr>
            <w:tcW w:w="2169" w:type="dxa"/>
          </w:tcPr>
          <w:p w14:paraId="5E1E3177" w14:textId="77777777" w:rsidR="007D5AEF" w:rsidRDefault="007D5AEF">
            <w:pPr>
              <w:pStyle w:val="Compact"/>
            </w:pPr>
          </w:p>
        </w:tc>
        <w:tc>
          <w:tcPr>
            <w:tcW w:w="2169" w:type="dxa"/>
          </w:tcPr>
          <w:p w14:paraId="475C7EC4" w14:textId="77777777" w:rsidR="007D5AEF" w:rsidRDefault="00000000">
            <w:pPr>
              <w:pStyle w:val="Compact"/>
            </w:pPr>
            <w:r>
              <w:t>Job Flows by Industry</w:t>
            </w:r>
          </w:p>
        </w:tc>
        <w:tc>
          <w:tcPr>
            <w:tcW w:w="3580" w:type="dxa"/>
          </w:tcPr>
          <w:p w14:paraId="42780B8E" w14:textId="77777777" w:rsidR="007D5AEF" w:rsidRDefault="00000000">
            <w:pPr>
              <w:pStyle w:val="Compact"/>
            </w:pPr>
            <w:r>
              <w:t>Sector trends, CES benchmarking</w:t>
            </w:r>
          </w:p>
        </w:tc>
      </w:tr>
      <w:tr w:rsidR="007D5AEF" w14:paraId="64EECB90" w14:textId="77777777">
        <w:tc>
          <w:tcPr>
            <w:tcW w:w="2169" w:type="dxa"/>
          </w:tcPr>
          <w:p w14:paraId="0D7AFF41" w14:textId="77777777" w:rsidR="007D5AEF" w:rsidRDefault="007D5AEF">
            <w:pPr>
              <w:pStyle w:val="Compact"/>
            </w:pPr>
          </w:p>
        </w:tc>
        <w:tc>
          <w:tcPr>
            <w:tcW w:w="2169" w:type="dxa"/>
          </w:tcPr>
          <w:p w14:paraId="429F20AD" w14:textId="77777777" w:rsidR="007D5AEF" w:rsidRDefault="00000000">
            <w:pPr>
              <w:pStyle w:val="Compact"/>
            </w:pPr>
            <w:r>
              <w:t>Job Flows by Size</w:t>
            </w:r>
          </w:p>
        </w:tc>
        <w:tc>
          <w:tcPr>
            <w:tcW w:w="3580" w:type="dxa"/>
          </w:tcPr>
          <w:p w14:paraId="6DB5724C" w14:textId="77777777" w:rsidR="007D5AEF" w:rsidRDefault="00000000">
            <w:pPr>
              <w:pStyle w:val="Compact"/>
            </w:pPr>
            <w:r>
              <w:t>Size-specific dynamics, sample bias</w:t>
            </w:r>
          </w:p>
        </w:tc>
      </w:tr>
      <w:tr w:rsidR="007D5AEF" w14:paraId="7A8C18A4" w14:textId="77777777">
        <w:tc>
          <w:tcPr>
            <w:tcW w:w="2169" w:type="dxa"/>
          </w:tcPr>
          <w:p w14:paraId="38043A31" w14:textId="77777777" w:rsidR="007D5AEF" w:rsidRDefault="007D5AEF">
            <w:pPr>
              <w:pStyle w:val="Compact"/>
            </w:pPr>
          </w:p>
        </w:tc>
        <w:tc>
          <w:tcPr>
            <w:tcW w:w="2169" w:type="dxa"/>
          </w:tcPr>
          <w:p w14:paraId="15392C57" w14:textId="77777777" w:rsidR="007D5AEF" w:rsidRDefault="00000000">
            <w:pPr>
              <w:pStyle w:val="Compact"/>
            </w:pPr>
            <w:r>
              <w:t>Employment Growth</w:t>
            </w:r>
          </w:p>
        </w:tc>
        <w:tc>
          <w:tcPr>
            <w:tcW w:w="3580" w:type="dxa"/>
          </w:tcPr>
          <w:p w14:paraId="4D66C478" w14:textId="77777777" w:rsidR="007D5AEF" w:rsidRDefault="00000000">
            <w:pPr>
              <w:pStyle w:val="Compact"/>
            </w:pPr>
            <w:r>
              <w:t>Trend measurement, benchmarking</w:t>
            </w:r>
          </w:p>
        </w:tc>
      </w:tr>
      <w:tr w:rsidR="007D5AEF" w14:paraId="01A7BCFE" w14:textId="77777777">
        <w:tc>
          <w:tcPr>
            <w:tcW w:w="2169" w:type="dxa"/>
          </w:tcPr>
          <w:p w14:paraId="6B9A3EBE" w14:textId="77777777" w:rsidR="007D5AEF" w:rsidRDefault="00000000">
            <w:pPr>
              <w:pStyle w:val="Compact"/>
            </w:pPr>
            <w:r>
              <w:rPr>
                <w:b/>
                <w:bCs/>
              </w:rPr>
              <w:t>Client Tenure/Churn</w:t>
            </w:r>
          </w:p>
        </w:tc>
        <w:tc>
          <w:tcPr>
            <w:tcW w:w="2169" w:type="dxa"/>
          </w:tcPr>
          <w:p w14:paraId="1765DFE9" w14:textId="77777777" w:rsidR="007D5AEF" w:rsidRDefault="00000000">
            <w:pPr>
              <w:pStyle w:val="Compact"/>
            </w:pPr>
            <w:r>
              <w:t>Client Tenure</w:t>
            </w:r>
          </w:p>
        </w:tc>
        <w:tc>
          <w:tcPr>
            <w:tcW w:w="3580" w:type="dxa"/>
          </w:tcPr>
          <w:p w14:paraId="3A4B9BE0" w14:textId="77777777" w:rsidR="007D5AEF" w:rsidRDefault="00000000">
            <w:pPr>
              <w:pStyle w:val="Compact"/>
            </w:pPr>
            <w:r>
              <w:t>Sample characterization, stable panel construction</w:t>
            </w:r>
          </w:p>
        </w:tc>
      </w:tr>
      <w:tr w:rsidR="007D5AEF" w14:paraId="7787D370" w14:textId="77777777">
        <w:tc>
          <w:tcPr>
            <w:tcW w:w="2169" w:type="dxa"/>
          </w:tcPr>
          <w:p w14:paraId="1B09FCDF" w14:textId="77777777" w:rsidR="007D5AEF" w:rsidRDefault="007D5AEF">
            <w:pPr>
              <w:pStyle w:val="Compact"/>
            </w:pPr>
          </w:p>
        </w:tc>
        <w:tc>
          <w:tcPr>
            <w:tcW w:w="2169" w:type="dxa"/>
          </w:tcPr>
          <w:p w14:paraId="6936AB03" w14:textId="77777777" w:rsidR="007D5AEF" w:rsidRDefault="00000000">
            <w:pPr>
              <w:pStyle w:val="Compact"/>
            </w:pPr>
            <w:r>
              <w:t>Entry/Exit Rates</w:t>
            </w:r>
          </w:p>
        </w:tc>
        <w:tc>
          <w:tcPr>
            <w:tcW w:w="3580" w:type="dxa"/>
          </w:tcPr>
          <w:p w14:paraId="714B79AD" w14:textId="77777777" w:rsidR="007D5AEF" w:rsidRDefault="00000000">
            <w:pPr>
              <w:pStyle w:val="Compact"/>
            </w:pPr>
            <w:r>
              <w:t>Sample dynamics vs. economic dynamics</w:t>
            </w:r>
          </w:p>
        </w:tc>
      </w:tr>
      <w:tr w:rsidR="007D5AEF" w14:paraId="4419733F" w14:textId="77777777">
        <w:tc>
          <w:tcPr>
            <w:tcW w:w="2169" w:type="dxa"/>
          </w:tcPr>
          <w:p w14:paraId="30C7579D" w14:textId="77777777" w:rsidR="007D5AEF" w:rsidRDefault="007D5AEF">
            <w:pPr>
              <w:pStyle w:val="Compact"/>
            </w:pPr>
          </w:p>
        </w:tc>
        <w:tc>
          <w:tcPr>
            <w:tcW w:w="2169" w:type="dxa"/>
          </w:tcPr>
          <w:p w14:paraId="6A78F979" w14:textId="77777777" w:rsidR="007D5AEF" w:rsidRDefault="00000000">
            <w:pPr>
              <w:pStyle w:val="Compact"/>
            </w:pPr>
            <w:r>
              <w:t>Churn by Dimension</w:t>
            </w:r>
          </w:p>
        </w:tc>
        <w:tc>
          <w:tcPr>
            <w:tcW w:w="3580" w:type="dxa"/>
          </w:tcPr>
          <w:p w14:paraId="3E079630" w14:textId="77777777" w:rsidR="007D5AEF" w:rsidRDefault="00000000">
            <w:pPr>
              <w:pStyle w:val="Compact"/>
            </w:pPr>
            <w:r>
              <w:t>Stratified sample assessment</w:t>
            </w:r>
          </w:p>
        </w:tc>
      </w:tr>
      <w:tr w:rsidR="007D5AEF" w14:paraId="57119C2D" w14:textId="77777777">
        <w:tc>
          <w:tcPr>
            <w:tcW w:w="2169" w:type="dxa"/>
          </w:tcPr>
          <w:p w14:paraId="1F67207D" w14:textId="77777777" w:rsidR="007D5AEF" w:rsidRDefault="007D5AEF">
            <w:pPr>
              <w:pStyle w:val="Compact"/>
            </w:pPr>
          </w:p>
        </w:tc>
        <w:tc>
          <w:tcPr>
            <w:tcW w:w="2169" w:type="dxa"/>
          </w:tcPr>
          <w:p w14:paraId="525624C4" w14:textId="77777777" w:rsidR="007D5AEF" w:rsidRDefault="00000000">
            <w:pPr>
              <w:pStyle w:val="Compact"/>
            </w:pPr>
            <w:r>
              <w:t>Survival Analysis</w:t>
            </w:r>
          </w:p>
        </w:tc>
        <w:tc>
          <w:tcPr>
            <w:tcW w:w="3580" w:type="dxa"/>
          </w:tcPr>
          <w:p w14:paraId="4DCD465F" w14:textId="77777777" w:rsidR="007D5AEF" w:rsidRDefault="00000000">
            <w:pPr>
              <w:pStyle w:val="Compact"/>
            </w:pPr>
            <w:r>
              <w:t>Cohort effects, attrition patterns</w:t>
            </w:r>
          </w:p>
        </w:tc>
      </w:tr>
      <w:tr w:rsidR="007D5AEF" w14:paraId="25ED1984" w14:textId="77777777">
        <w:tc>
          <w:tcPr>
            <w:tcW w:w="2169" w:type="dxa"/>
          </w:tcPr>
          <w:p w14:paraId="59A1593E" w14:textId="77777777" w:rsidR="007D5AEF" w:rsidRDefault="00000000">
            <w:pPr>
              <w:pStyle w:val="Compact"/>
            </w:pPr>
            <w:r>
              <w:rPr>
                <w:b/>
                <w:bCs/>
              </w:rPr>
              <w:t>Additional Measures</w:t>
            </w:r>
          </w:p>
        </w:tc>
        <w:tc>
          <w:tcPr>
            <w:tcW w:w="2169" w:type="dxa"/>
          </w:tcPr>
          <w:p w14:paraId="1DE972C5" w14:textId="77777777" w:rsidR="007D5AEF" w:rsidRDefault="00000000">
            <w:pPr>
              <w:pStyle w:val="Compact"/>
            </w:pPr>
            <w:r>
              <w:t>Earnings Distribution</w:t>
            </w:r>
          </w:p>
        </w:tc>
        <w:tc>
          <w:tcPr>
            <w:tcW w:w="3580" w:type="dxa"/>
          </w:tcPr>
          <w:p w14:paraId="1FE4C1D7" w14:textId="77777777" w:rsidR="007D5AEF" w:rsidRDefault="00000000">
            <w:pPr>
              <w:pStyle w:val="Compact"/>
            </w:pPr>
            <w:r>
              <w:t>Wage trends, inequality, validation</w:t>
            </w:r>
          </w:p>
        </w:tc>
      </w:tr>
      <w:tr w:rsidR="007D5AEF" w14:paraId="246A64BD" w14:textId="77777777">
        <w:tc>
          <w:tcPr>
            <w:tcW w:w="2169" w:type="dxa"/>
          </w:tcPr>
          <w:p w14:paraId="13F8B093" w14:textId="77777777" w:rsidR="007D5AEF" w:rsidRDefault="007D5AEF">
            <w:pPr>
              <w:pStyle w:val="Compact"/>
            </w:pPr>
          </w:p>
        </w:tc>
        <w:tc>
          <w:tcPr>
            <w:tcW w:w="2169" w:type="dxa"/>
          </w:tcPr>
          <w:p w14:paraId="469AC627" w14:textId="77777777" w:rsidR="007D5AEF" w:rsidRDefault="00000000">
            <w:pPr>
              <w:pStyle w:val="Compact"/>
            </w:pPr>
            <w:r>
              <w:t>Vintage Analysis</w:t>
            </w:r>
          </w:p>
        </w:tc>
        <w:tc>
          <w:tcPr>
            <w:tcW w:w="3580" w:type="dxa"/>
          </w:tcPr>
          <w:p w14:paraId="3AB09C56" w14:textId="77777777" w:rsidR="007D5AEF" w:rsidRDefault="00000000">
            <w:pPr>
              <w:pStyle w:val="Compact"/>
            </w:pPr>
            <w:r>
              <w:t>Composition contamination detection</w:t>
            </w:r>
          </w:p>
        </w:tc>
      </w:tr>
      <w:tr w:rsidR="007D5AEF" w14:paraId="502AC071" w14:textId="77777777">
        <w:tc>
          <w:tcPr>
            <w:tcW w:w="2169" w:type="dxa"/>
          </w:tcPr>
          <w:p w14:paraId="20A763CE" w14:textId="77777777" w:rsidR="007D5AEF" w:rsidRDefault="007D5AEF">
            <w:pPr>
              <w:pStyle w:val="Compact"/>
            </w:pPr>
          </w:p>
        </w:tc>
        <w:tc>
          <w:tcPr>
            <w:tcW w:w="2169" w:type="dxa"/>
          </w:tcPr>
          <w:p w14:paraId="50AC91B4" w14:textId="77777777" w:rsidR="007D5AEF" w:rsidRDefault="00000000">
            <w:pPr>
              <w:pStyle w:val="Compact"/>
            </w:pPr>
            <w:r>
              <w:t>Composition Shift Index</w:t>
            </w:r>
          </w:p>
        </w:tc>
        <w:tc>
          <w:tcPr>
            <w:tcW w:w="3580" w:type="dxa"/>
          </w:tcPr>
          <w:p w14:paraId="075E8541" w14:textId="77777777" w:rsidR="007D5AEF" w:rsidRDefault="00000000">
            <w:pPr>
              <w:pStyle w:val="Compact"/>
            </w:pPr>
            <w:r>
              <w:t>Sample stability assessment</w:t>
            </w:r>
          </w:p>
        </w:tc>
      </w:tr>
      <w:tr w:rsidR="007D5AEF" w14:paraId="2BE1825C" w14:textId="77777777">
        <w:tc>
          <w:tcPr>
            <w:tcW w:w="2169" w:type="dxa"/>
          </w:tcPr>
          <w:p w14:paraId="132580E0" w14:textId="77777777" w:rsidR="007D5AEF" w:rsidRDefault="007D5AEF">
            <w:pPr>
              <w:pStyle w:val="Compact"/>
            </w:pPr>
          </w:p>
        </w:tc>
        <w:tc>
          <w:tcPr>
            <w:tcW w:w="2169" w:type="dxa"/>
          </w:tcPr>
          <w:p w14:paraId="20CDD257" w14:textId="77777777" w:rsidR="007D5AEF" w:rsidRDefault="00000000">
            <w:pPr>
              <w:pStyle w:val="Compact"/>
            </w:pPr>
            <w:r>
              <w:t>Employment Decomposition</w:t>
            </w:r>
          </w:p>
        </w:tc>
        <w:tc>
          <w:tcPr>
            <w:tcW w:w="3580" w:type="dxa"/>
          </w:tcPr>
          <w:p w14:paraId="130B1997" w14:textId="77777777" w:rsidR="007D5AEF" w:rsidRDefault="00000000">
            <w:pPr>
              <w:pStyle w:val="Compact"/>
            </w:pPr>
            <w:r>
              <w:t>Isolate within-client growth</w:t>
            </w:r>
          </w:p>
        </w:tc>
      </w:tr>
      <w:tr w:rsidR="007D5AEF" w14:paraId="17B57D57" w14:textId="77777777">
        <w:tc>
          <w:tcPr>
            <w:tcW w:w="2169" w:type="dxa"/>
          </w:tcPr>
          <w:p w14:paraId="0552C85C" w14:textId="77777777" w:rsidR="007D5AEF" w:rsidRDefault="007D5AEF">
            <w:pPr>
              <w:pStyle w:val="Compact"/>
            </w:pPr>
          </w:p>
        </w:tc>
        <w:tc>
          <w:tcPr>
            <w:tcW w:w="2169" w:type="dxa"/>
          </w:tcPr>
          <w:p w14:paraId="53DD2918" w14:textId="77777777" w:rsidR="007D5AEF" w:rsidRDefault="00000000">
            <w:pPr>
              <w:pStyle w:val="Compact"/>
            </w:pPr>
            <w:r>
              <w:t>Birth/Death Identification</w:t>
            </w:r>
          </w:p>
        </w:tc>
        <w:tc>
          <w:tcPr>
            <w:tcW w:w="3580" w:type="dxa"/>
          </w:tcPr>
          <w:p w14:paraId="667E55FB" w14:textId="77777777" w:rsidR="007D5AEF" w:rsidRDefault="00000000">
            <w:pPr>
              <w:pStyle w:val="Compact"/>
            </w:pPr>
            <w:r>
              <w:t>True establishment dynamics</w:t>
            </w:r>
          </w:p>
        </w:tc>
      </w:tr>
      <w:tr w:rsidR="007D5AEF" w14:paraId="6A6E8B5B" w14:textId="77777777">
        <w:tc>
          <w:tcPr>
            <w:tcW w:w="2169" w:type="dxa"/>
          </w:tcPr>
          <w:p w14:paraId="28962F73" w14:textId="77777777" w:rsidR="007D5AEF" w:rsidRDefault="007D5AEF">
            <w:pPr>
              <w:pStyle w:val="Compact"/>
            </w:pPr>
          </w:p>
        </w:tc>
        <w:tc>
          <w:tcPr>
            <w:tcW w:w="2169" w:type="dxa"/>
          </w:tcPr>
          <w:p w14:paraId="24A71523" w14:textId="77777777" w:rsidR="007D5AEF" w:rsidRDefault="00000000">
            <w:pPr>
              <w:pStyle w:val="Compact"/>
            </w:pPr>
            <w:r>
              <w:t>Data Quality Flags</w:t>
            </w:r>
          </w:p>
        </w:tc>
        <w:tc>
          <w:tcPr>
            <w:tcW w:w="3580" w:type="dxa"/>
          </w:tcPr>
          <w:p w14:paraId="38E2A8B2" w14:textId="77777777" w:rsidR="007D5AEF" w:rsidRDefault="00000000">
            <w:pPr>
              <w:pStyle w:val="Compact"/>
            </w:pPr>
            <w:r>
              <w:t>Error detection, exclusion criteria</w:t>
            </w:r>
          </w:p>
        </w:tc>
      </w:tr>
    </w:tbl>
    <w:p w14:paraId="2DE501F8" w14:textId="77777777" w:rsidR="007D5AEF" w:rsidRDefault="00512B85">
      <w:r>
        <w:rPr>
          <w:noProof/>
        </w:rPr>
        <w:pict w14:anchorId="59DCCBE7">
          <v:rect id="_x0000_i1025" alt="" style="width:468pt;height:.05pt;mso-width-percent:0;mso-height-percent:0;mso-width-percent:0;mso-height-percent:0" o:hralign="center" o:hrstd="t" o:hr="t"/>
        </w:pict>
      </w:r>
    </w:p>
    <w:p w14:paraId="45894DC0" w14:textId="77777777" w:rsidR="007D5AEF" w:rsidRDefault="00000000">
      <w:pPr>
        <w:pStyle w:val="Heading2"/>
      </w:pPr>
      <w:bookmarkStart w:id="22" w:name="recommended-workflow"/>
      <w:bookmarkEnd w:id="21"/>
      <w:r>
        <w:lastRenderedPageBreak/>
        <w:t>Recommended Workflow</w:t>
      </w:r>
    </w:p>
    <w:p w14:paraId="3F78A39B" w14:textId="77777777" w:rsidR="007D5AE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 Quality:</w:t>
      </w:r>
      <w:r>
        <w:t xml:space="preserve"> Run </w:t>
      </w:r>
      <w:r>
        <w:rPr>
          <w:rStyle w:val="VerbatimChar"/>
        </w:rPr>
        <w:t>flag_data_quality_issues()</w:t>
      </w:r>
      <w:r>
        <w:t xml:space="preserve"> first to understand data limitations</w:t>
      </w:r>
    </w:p>
    <w:p w14:paraId="12293785" w14:textId="77777777" w:rsidR="007D5AE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Sample Characterization:</w:t>
      </w:r>
      <w:r>
        <w:t xml:space="preserve"> Compute tenure, churn, and composition metrics</w:t>
      </w:r>
    </w:p>
    <w:p w14:paraId="5243A45C" w14:textId="77777777" w:rsidR="007D5AE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Vintage Assessment:</w:t>
      </w:r>
      <w:r>
        <w:t xml:space="preserve"> Determine contamination from recent entrants</w:t>
      </w:r>
    </w:p>
    <w:p w14:paraId="08053C5C" w14:textId="77777777" w:rsidR="007D5AE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Stable Panel Construction:</w:t>
      </w:r>
      <w:r>
        <w:t xml:space="preserve"> Filter to clients with 12-24+ months tenure</w:t>
      </w:r>
    </w:p>
    <w:p w14:paraId="4BE94E38" w14:textId="77777777" w:rsidR="007D5AE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Employment Dynamics:</w:t>
      </w:r>
      <w:r>
        <w:t xml:space="preserve"> Compute job flows on stable panel</w:t>
      </w:r>
    </w:p>
    <w:p w14:paraId="506A880B" w14:textId="77777777" w:rsidR="007D5AE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Benchmarking:</w:t>
      </w:r>
      <w:r>
        <w:t xml:space="preserve"> Compare to CES, QCEW, JOLTS at appropriate aggregation levels</w:t>
      </w:r>
    </w:p>
    <w:p w14:paraId="21F1F5B3" w14:textId="77777777" w:rsidR="007D5AE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Stratified Analysis:</w:t>
      </w:r>
      <w:r>
        <w:t xml:space="preserve"> Drill down by geography, industry, size as needed</w:t>
      </w:r>
    </w:p>
    <w:p w14:paraId="5A6B967D" w14:textId="77777777" w:rsidR="007D5AEF" w:rsidRDefault="00000000">
      <w:pPr>
        <w:pStyle w:val="FirstParagraph"/>
      </w:pPr>
      <w:r>
        <w:t>This workflow ensures that economic conclusions are based on the most reliable subset of the data, with appropriate caveats about sample properties.</w:t>
      </w:r>
      <w:bookmarkEnd w:id="0"/>
      <w:bookmarkEnd w:id="22"/>
    </w:p>
    <w:sectPr w:rsidR="007D5AE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1E29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55EF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09328760">
    <w:abstractNumId w:val="0"/>
  </w:num>
  <w:num w:numId="2" w16cid:durableId="18731499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280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EF"/>
    <w:rsid w:val="002A250B"/>
    <w:rsid w:val="00512B85"/>
    <w:rsid w:val="007D5AEF"/>
    <w:rsid w:val="009A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61C7F"/>
  <w15:docId w15:val="{E98A9702-1BD8-F34D-AF79-B77575F76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2248</Words>
  <Characters>14658</Characters>
  <Application>Microsoft Office Word</Application>
  <DocSecurity>0</DocSecurity>
  <Lines>311</Lines>
  <Paragraphs>169</Paragraphs>
  <ScaleCrop>false</ScaleCrop>
  <Company/>
  <LinksUpToDate>false</LinksUpToDate>
  <CharactersWithSpaces>16737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Lowell Mason</dc:creator>
  <cp:keywords/>
  <cp:lastModifiedBy>Lowell Mason</cp:lastModifiedBy>
  <cp:revision>2</cp:revision>
  <dcterms:created xsi:type="dcterms:W3CDTF">2026-02-25T16:38:00Z</dcterms:created>
  <dcterms:modified xsi:type="dcterms:W3CDTF">2026-02-25T16:38:00Z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