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5EBD" w14:textId="77777777" w:rsidR="00013458" w:rsidRDefault="00000000">
      <w:pPr>
        <w:pStyle w:val="Heading1"/>
      </w:pPr>
      <w:bookmarkStart w:id="0" w:name="X40a18f354d0b0f6af15d5f462fe0714f31679ed"/>
      <w:r>
        <w:t>Estimating Employment Using Payroll-Provider Microdata</w:t>
      </w:r>
    </w:p>
    <w:p w14:paraId="1BFB344E" w14:textId="77777777" w:rsidR="00013458" w:rsidRDefault="00000000">
      <w:pPr>
        <w:pStyle w:val="Heading2"/>
      </w:pPr>
      <w:bookmarkStart w:id="1" w:name="a-general-overview"/>
      <w:r>
        <w:t>A General Overview</w:t>
      </w:r>
    </w:p>
    <w:p w14:paraId="0F125E4B" w14:textId="77777777" w:rsidR="00013458" w:rsidRDefault="00000000">
      <w:pPr>
        <w:pStyle w:val="Heading3"/>
      </w:pPr>
      <w:bookmarkStart w:id="2" w:name="abstract"/>
      <w:r>
        <w:t>Abstract</w:t>
      </w:r>
    </w:p>
    <w:p w14:paraId="4EB82170" w14:textId="77777777" w:rsidR="00013458" w:rsidRDefault="00000000">
      <w:pPr>
        <w:pStyle w:val="FirstParagraph"/>
      </w:pPr>
      <w:r>
        <w:t>Private payroll providers process paychecks for millions of American workers every month. The data generated by this processing — records of who got paid, when, and where — can be used to estimate employment trends weeks before official government statistics are available. But payroll data were not designed for economic measurement, and using them for that purpose requires solving several structural problems: the firms using a payroll provider are not a representative sample of the economy, the way payroll systems organize data does not match how the government counts jobs, and the comings and goings of firms switching between payroll providers can masquerade as real hiring and firing.</w:t>
      </w:r>
    </w:p>
    <w:p w14:paraId="08E79664" w14:textId="77777777" w:rsidR="00013458" w:rsidRDefault="00000000">
      <w:pPr>
        <w:pStyle w:val="BodyText"/>
      </w:pPr>
      <w:r>
        <w:t>This paper describes a framework for turning payroll microdata into reliable, official-style employment estimates. The approach treats payroll data as a timely but imperfect signal that must be anchored to comprehensive government data to produce credible results.</w:t>
      </w:r>
    </w:p>
    <w:p w14:paraId="37811F7E" w14:textId="77777777" w:rsidR="00013458" w:rsidRDefault="00000000">
      <w:pPr>
        <w:pStyle w:val="Heading3"/>
      </w:pPr>
      <w:bookmarkStart w:id="3" w:name="scope-of-estimates"/>
      <w:bookmarkEnd w:id="2"/>
      <w:r>
        <w:t>Scope of Estimates</w:t>
      </w:r>
    </w:p>
    <w:p w14:paraId="6FA20235" w14:textId="77777777" w:rsidR="00013458" w:rsidRDefault="00000000">
      <w:pPr>
        <w:pStyle w:val="FirstParagraph"/>
      </w:pPr>
      <w:r>
        <w:t>Our initial objective is to produce national-level, monthly estimates of private nonfarm payroll employment change — the same concept reported each month by the Bureau of Labor Statistics (BLS) in its Current Employment Statistics (CES) survey, commonly known as the “jobs report.” Both seasonally adjusted and not-seasonally adjusted estimates will be produced.</w:t>
      </w:r>
    </w:p>
    <w:p w14:paraId="353B9880" w14:textId="77777777" w:rsidR="00013458" w:rsidRDefault="00000000">
      <w:pPr>
        <w:pStyle w:val="BodyText"/>
      </w:pPr>
      <w:r>
        <w:t>We aim to produce estimates that are consistent with the CES measurement concept rather than an independent measure of “ground truth.” Bloomberg readers and the markets more broadly interpret employment data relative to the CES framework. An estimate that departs from CES concepts would require users to translate between two different measurement frameworks, reducing its practical value. Where our methodology identifies a divergence between our estimate and the CES concept, we report that divergence transparently.</w:t>
      </w:r>
    </w:p>
    <w:p w14:paraId="4A5639E5" w14:textId="77777777" w:rsidR="00013458" w:rsidRDefault="00000000">
      <w:pPr>
        <w:pStyle w:val="BodyText"/>
      </w:pPr>
      <w:r>
        <w:t>Future releases may extend to geographic and industry detail.</w:t>
      </w:r>
    </w:p>
    <w:p w14:paraId="68F7E666" w14:textId="77777777" w:rsidR="00013458" w:rsidRDefault="00000000">
      <w:pPr>
        <w:pStyle w:val="Heading3"/>
      </w:pPr>
      <w:bookmarkStart w:id="4" w:name="X98637f955f512d3a6773d89725b66dd300f8f65"/>
      <w:bookmarkEnd w:id="3"/>
      <w:r>
        <w:t>Strategy: Incremental Enhancement from a Proven Baseline</w:t>
      </w:r>
    </w:p>
    <w:p w14:paraId="094EB997" w14:textId="77777777" w:rsidR="00013458" w:rsidRDefault="00000000">
      <w:pPr>
        <w:pStyle w:val="FirstParagraph"/>
      </w:pPr>
      <w:r>
        <w:t xml:space="preserve">We adopt a disciplined, incremental approach. Rather than building the full system at once, we start as close as possible to the framework established by Cajner et al. (2022) — a proven model for combining payroll microdata with government data in a Bayesian statistical setting — and enhance it step by step. Each enhancement is added only after demonstrating measurable improvement through rigorous backtesting. Simpler </w:t>
      </w:r>
      <w:r>
        <w:lastRenderedPageBreak/>
        <w:t>specifications serve as baselines against which more complex ones are evaluated, ensuring that the complexity of the system is always justified by demonstrated value.</w:t>
      </w:r>
    </w:p>
    <w:p w14:paraId="2C3283DD" w14:textId="77777777" w:rsidR="00013458" w:rsidRDefault="009E5277">
      <w:r>
        <w:rPr>
          <w:noProof/>
        </w:rPr>
        <w:pict w14:anchorId="1350E91A">
          <v:rect id="_x0000_i1030" alt="" style="width:468pt;height:.05pt;mso-width-percent:0;mso-height-percent:0;mso-width-percent:0;mso-height-percent:0" o:hralign="center" o:hrstd="t" o:hr="t"/>
        </w:pict>
      </w:r>
    </w:p>
    <w:p w14:paraId="28F97CFE" w14:textId="77777777" w:rsidR="00013458" w:rsidRDefault="00000000">
      <w:pPr>
        <w:pStyle w:val="Heading2"/>
      </w:pPr>
      <w:bookmarkStart w:id="5" w:name="why-payroll-data-and-why-its-hard"/>
      <w:bookmarkEnd w:id="1"/>
      <w:bookmarkEnd w:id="4"/>
      <w:r>
        <w:t>1. Why Payroll Data — and Why It’s Hard</w:t>
      </w:r>
    </w:p>
    <w:p w14:paraId="063CEF99" w14:textId="77777777" w:rsidR="00013458" w:rsidRDefault="00000000">
      <w:pPr>
        <w:pStyle w:val="FirstParagraph"/>
      </w:pPr>
      <w:r>
        <w:t>Traditional employment measurement in the United States relies on two pillars: the CES survey, which samples about 631,000 worksites each month and produces the headline jobs number roughly three weeks after the reference month; and the Quarterly Census of Employment and Wages (QCEW), a near-complete count of jobs derived from mandatory tax filings that covers about 95% of nonfarm employment but arrives with a lag of five to six months.</w:t>
      </w:r>
    </w:p>
    <w:p w14:paraId="6AC07375" w14:textId="77777777" w:rsidR="00013458" w:rsidRDefault="00000000">
      <w:pPr>
        <w:pStyle w:val="BodyText"/>
      </w:pPr>
      <w:r>
        <w:t>Payroll microdata from private providers offer a third signal: high-frequency, granular records generated as a byproduct of processing paychecks. But these data pose structural challenges that must be addressed before they can support credible employment estimates:</w:t>
      </w:r>
    </w:p>
    <w:p w14:paraId="741A3627" w14:textId="77777777" w:rsidR="00013458" w:rsidRDefault="00000000">
      <w:pPr>
        <w:pStyle w:val="Compact"/>
        <w:numPr>
          <w:ilvl w:val="0"/>
          <w:numId w:val="2"/>
        </w:numPr>
      </w:pPr>
      <w:r>
        <w:rPr>
          <w:b/>
          <w:bCs/>
        </w:rPr>
        <w:t>Non-random coverage.</w:t>
      </w:r>
      <w:r>
        <w:t xml:space="preserve"> Payroll providers serve a self-selected slice of the economy. Their client bases tend to skew toward small and medium-sized firms, and the mix of industries and geographies they cover does not match the composition of national employment.</w:t>
      </w:r>
    </w:p>
    <w:p w14:paraId="2C9C7087" w14:textId="77777777" w:rsidR="00013458" w:rsidRDefault="00000000">
      <w:pPr>
        <w:pStyle w:val="Compact"/>
        <w:numPr>
          <w:ilvl w:val="0"/>
          <w:numId w:val="2"/>
        </w:numPr>
      </w:pPr>
      <w:r>
        <w:rPr>
          <w:b/>
          <w:bCs/>
        </w:rPr>
        <w:t>Unit mismatch.</w:t>
      </w:r>
      <w:r>
        <w:t xml:space="preserve"> The government counts jobs at the “establishment” level — individual physical worksites. A payroll provider’s records are organized by “client,” which might be a single worksite, a multi-location chain, or something in between. A national retail chain might appear as one client even though it operates hundreds of stores.</w:t>
      </w:r>
    </w:p>
    <w:p w14:paraId="0895B65A" w14:textId="77777777" w:rsidR="00013458" w:rsidRDefault="00000000">
      <w:pPr>
        <w:pStyle w:val="Compact"/>
        <w:numPr>
          <w:ilvl w:val="0"/>
          <w:numId w:val="2"/>
        </w:numPr>
      </w:pPr>
      <w:r>
        <w:rPr>
          <w:b/>
          <w:bCs/>
        </w:rPr>
        <w:t>Administrative noise.</w:t>
      </w:r>
      <w:r>
        <w:t xml:space="preserve"> When a firm switches from one payroll provider to another, it disappears from the first provider’s data and appears in the second’s. Neither event reflects real hiring or firing, but without careful treatment these transitions contaminate growth measurements.</w:t>
      </w:r>
    </w:p>
    <w:p w14:paraId="72813CDC" w14:textId="77777777" w:rsidR="00013458" w:rsidRDefault="00000000">
      <w:pPr>
        <w:pStyle w:val="Compact"/>
        <w:numPr>
          <w:ilvl w:val="0"/>
          <w:numId w:val="2"/>
        </w:numPr>
      </w:pPr>
      <w:r>
        <w:rPr>
          <w:b/>
          <w:bCs/>
        </w:rPr>
        <w:t>Onboarding artifacts.</w:t>
      </w:r>
      <w:r>
        <w:t xml:space="preserve"> When a new client begins using a payroll provider, employees may migrate to the new system over multiple pay periods, creating the appearance of job growth that is purely administrative.</w:t>
      </w:r>
    </w:p>
    <w:p w14:paraId="6308BD87" w14:textId="77777777" w:rsidR="00013458" w:rsidRDefault="00000000">
      <w:pPr>
        <w:pStyle w:val="FirstParagraph"/>
      </w:pPr>
      <w:r>
        <w:t>These challenges motivate the core principle of this work: payroll data should be treated as noisy, high-frequency measurements of employment that must be anchored to a stable administrative benchmark (the QCEW), rather than interpreted as a standalone census.</w:t>
      </w:r>
    </w:p>
    <w:p w14:paraId="615BDCC0" w14:textId="77777777" w:rsidR="00013458" w:rsidRDefault="009E5277">
      <w:r>
        <w:rPr>
          <w:noProof/>
        </w:rPr>
        <w:pict w14:anchorId="66458E94">
          <v:rect id="_x0000_i1029" alt="" style="width:468pt;height:.05pt;mso-width-percent:0;mso-height-percent:0;mso-width-percent:0;mso-height-percent:0" o:hralign="center" o:hrstd="t" o:hr="t"/>
        </w:pict>
      </w:r>
    </w:p>
    <w:p w14:paraId="1C30A37E" w14:textId="77777777" w:rsidR="00013458" w:rsidRDefault="00000000">
      <w:pPr>
        <w:pStyle w:val="Heading2"/>
      </w:pPr>
      <w:bookmarkStart w:id="6" w:name="how-our-challenges-compare-to-the-bls"/>
      <w:bookmarkEnd w:id="5"/>
      <w:r>
        <w:t>2. How Our Challenges Compare to the BLS</w:t>
      </w:r>
    </w:p>
    <w:p w14:paraId="10FCE847" w14:textId="77777777" w:rsidR="00013458" w:rsidRDefault="00000000">
      <w:pPr>
        <w:pStyle w:val="FirstParagraph"/>
      </w:pPr>
      <w:r>
        <w:t xml:space="preserve">Before describing the methodology, it is useful to compare the measurement problems we face with those confronting the BLS. This comparison clarifies where payroll data offer </w:t>
      </w:r>
      <w:r>
        <w:lastRenderedPageBreak/>
        <w:t>genuine advantages, where they introduce novel difficulties, and where the challenges overlap.</w:t>
      </w:r>
    </w:p>
    <w:p w14:paraId="5167948E" w14:textId="77777777" w:rsidR="00013458" w:rsidRDefault="00000000">
      <w:pPr>
        <w:pStyle w:val="Heading3"/>
      </w:pPr>
      <w:bookmarkStart w:id="7" w:name="problems-we-face-that-the-bls-does-not"/>
      <w:r>
        <w:t>Problems We Face That the BLS Does Not</w:t>
      </w:r>
    </w:p>
    <w:p w14:paraId="0DBADE3C" w14:textId="77777777" w:rsidR="00013458" w:rsidRDefault="00000000">
      <w:pPr>
        <w:pStyle w:val="FirstParagraph"/>
      </w:pPr>
      <w:r>
        <w:rPr>
          <w:b/>
          <w:bCs/>
        </w:rPr>
        <w:t>Churn among providers.</w:t>
      </w:r>
      <w:r>
        <w:t xml:space="preserve"> When a firm switches payroll providers, it creates phantom employment losses at one provider and phantom gains at another. The BLS does not face this problem because its survey frame is drawn from tax records, independent of any commercial relationship. We must explicitly identify and exclude provider churn from our growth measures.</w:t>
      </w:r>
    </w:p>
    <w:p w14:paraId="54EC64AF" w14:textId="77777777" w:rsidR="00013458" w:rsidRDefault="00000000">
      <w:pPr>
        <w:pStyle w:val="BodyText"/>
      </w:pPr>
      <w:r>
        <w:rPr>
          <w:b/>
          <w:bCs/>
        </w:rPr>
        <w:t>Client–establishment mismatch.</w:t>
      </w:r>
      <w:r>
        <w:t xml:space="preserve"> Payroll data are organized by client, which may not correspond to a single worksite. A national retail chain might appear as a single client despite operating hundreds of stores across many states. The BLS collects data at the establishment level by design. We must diagnose and correct for this mismatch.</w:t>
      </w:r>
    </w:p>
    <w:p w14:paraId="0BDF72F5" w14:textId="77777777" w:rsidR="00013458" w:rsidRDefault="00000000">
      <w:pPr>
        <w:pStyle w:val="BodyText"/>
      </w:pPr>
      <w:r>
        <w:rPr>
          <w:b/>
          <w:bCs/>
        </w:rPr>
        <w:t>Slow onboarding.</w:t>
      </w:r>
      <w:r>
        <w:t xml:space="preserve"> When a new client begins using a provider, employees may migrate to the new system over several pay periods, creating artificial growth. The BLS does not face this issue because survey additions are one-time events. We require stabilization procedures to ensure payroll data reflect steady-state employment before entering our estimates.</w:t>
      </w:r>
    </w:p>
    <w:p w14:paraId="1649CB44" w14:textId="77777777" w:rsidR="00013458" w:rsidRDefault="00000000">
      <w:pPr>
        <w:pStyle w:val="Heading3"/>
      </w:pPr>
      <w:bookmarkStart w:id="8" w:name="problems-the-bls-faces-that-we-do-not"/>
      <w:bookmarkEnd w:id="7"/>
      <w:r>
        <w:t>Problems the BLS Faces That We Do Not</w:t>
      </w:r>
    </w:p>
    <w:p w14:paraId="2807B444" w14:textId="77777777" w:rsidR="00013458" w:rsidRDefault="00000000">
      <w:pPr>
        <w:pStyle w:val="FirstParagraph"/>
      </w:pPr>
      <w:r>
        <w:rPr>
          <w:b/>
          <w:bCs/>
        </w:rPr>
        <w:t>Non-response.</w:t>
      </w:r>
      <w:r>
        <w:t xml:space="preserve"> The CES relies on voluntary survey participation, and response rates have declined from over 60% to below 43%. Non-response creates both noise and potential bias. Payroll data, by contrast, are a byproduct of processing: if a firm is a client, its data are observed with near certainty.</w:t>
      </w:r>
    </w:p>
    <w:p w14:paraId="4A9B4FE5" w14:textId="77777777" w:rsidR="00013458" w:rsidRDefault="00000000">
      <w:pPr>
        <w:pStyle w:val="BodyText"/>
      </w:pPr>
      <w:r>
        <w:rPr>
          <w:b/>
          <w:bCs/>
        </w:rPr>
        <w:t>Birth/death model error.</w:t>
      </w:r>
      <w:r>
        <w:t xml:space="preserve"> The CES must estimate the net employment contribution of new businesses opening and existing businesses closing, because new businesses are not yet in its survey frame. This “birth/death model” has been the dominant source of CES estimation error in recent years. While we must also model births and deaths, we can do so with more information: the QCEW provides a lagged census of actual births and deaths, and economic indicators can inform the forecast.</w:t>
      </w:r>
    </w:p>
    <w:p w14:paraId="4354F110" w14:textId="77777777" w:rsidR="00013458" w:rsidRDefault="00000000">
      <w:pPr>
        <w:pStyle w:val="Heading3"/>
      </w:pPr>
      <w:bookmarkStart w:id="9" w:name="problems-both-we-and-the-bls-face"/>
      <w:bookmarkEnd w:id="8"/>
      <w:r>
        <w:t>Problems Both We and the BLS Face</w:t>
      </w:r>
    </w:p>
    <w:p w14:paraId="2CB0C9BB" w14:textId="77777777" w:rsidR="00013458" w:rsidRDefault="00000000">
      <w:pPr>
        <w:pStyle w:val="FirstParagraph"/>
      </w:pPr>
      <w:r>
        <w:rPr>
          <w:b/>
          <w:bCs/>
        </w:rPr>
        <w:t>Aligning to the full economy.</w:t>
      </w:r>
      <w:r>
        <w:t xml:space="preserve"> Both the CES and our framework must correct for the fact that their respective samples do not perfectly represent the full economy. CES does this through sampling weights; we do this through stratification to QCEW employment by geography, industry, and firm size.</w:t>
      </w:r>
    </w:p>
    <w:p w14:paraId="1537D963" w14:textId="77777777" w:rsidR="00013458" w:rsidRDefault="00000000">
      <w:pPr>
        <w:pStyle w:val="BodyText"/>
      </w:pPr>
      <w:r>
        <w:rPr>
          <w:b/>
          <w:bCs/>
        </w:rPr>
        <w:t>Benchmarking.</w:t>
      </w:r>
      <w:r>
        <w:t xml:space="preserve"> Both frameworks use the QCEW as the definitive measure of employment levels. CES benchmarks annually; our model anchors to the QCEW on the same annual cycle.</w:t>
      </w:r>
    </w:p>
    <w:p w14:paraId="1A9B6543" w14:textId="77777777" w:rsidR="00013458" w:rsidRDefault="00000000">
      <w:pPr>
        <w:pStyle w:val="BodyText"/>
      </w:pPr>
      <w:r>
        <w:rPr>
          <w:b/>
          <w:bCs/>
        </w:rPr>
        <w:lastRenderedPageBreak/>
        <w:t>Seasonality.</w:t>
      </w:r>
      <w:r>
        <w:t xml:space="preserve"> Both CES and payroll-derived series exhibit strong seasonal patterns that must be modeled to isolate underlying trends.</w:t>
      </w:r>
    </w:p>
    <w:p w14:paraId="56887AF4" w14:textId="77777777" w:rsidR="00013458" w:rsidRDefault="009E5277">
      <w:r>
        <w:rPr>
          <w:noProof/>
        </w:rPr>
        <w:pict w14:anchorId="094EE92A">
          <v:rect id="_x0000_i1028" alt="" style="width:468pt;height:.05pt;mso-width-percent:0;mso-height-percent:0;mso-width-percent:0;mso-height-percent:0" o:hralign="center" o:hrstd="t" o:hr="t"/>
        </w:pict>
      </w:r>
    </w:p>
    <w:p w14:paraId="4CE1C4A5" w14:textId="77777777" w:rsidR="00013458" w:rsidRDefault="00000000">
      <w:pPr>
        <w:pStyle w:val="Heading2"/>
      </w:pPr>
      <w:bookmarkStart w:id="10" w:name="Xf4cb17a98caada257a996c5fc396f5b12f16901"/>
      <w:bookmarkEnd w:id="6"/>
      <w:bookmarkEnd w:id="9"/>
      <w:r>
        <w:t>3. The Pipeline: From Raw Payroll Data to Employment Estimates</w:t>
      </w:r>
    </w:p>
    <w:p w14:paraId="0C41DE43" w14:textId="77777777" w:rsidR="00013458" w:rsidRDefault="00000000">
      <w:pPr>
        <w:pStyle w:val="FirstParagraph"/>
      </w:pPr>
      <w:r>
        <w:t>Our methodology is organized as a sequential pipeline. Each step addresses a specific challenge, and the output of each step feeds into the next.</w:t>
      </w:r>
    </w:p>
    <w:p w14:paraId="55F86E88" w14:textId="77777777" w:rsidR="00013458" w:rsidRDefault="00000000">
      <w:pPr>
        <w:pStyle w:val="Heading3"/>
      </w:pPr>
      <w:bookmarkStart w:id="11" w:name="step-1-define-employment"/>
      <w:r>
        <w:t>Step 1: Define Employment</w:t>
      </w:r>
    </w:p>
    <w:p w14:paraId="36B5281B" w14:textId="77777777" w:rsidR="00013458" w:rsidRDefault="00000000">
      <w:pPr>
        <w:pStyle w:val="FirstParagraph"/>
      </w:pPr>
      <w:r>
        <w:t>We define employment operationally using the payroll period containing a reference date aligned with the BLS reference week (the pay period including the 12th of each month). We construct two measures: “active employment” (all employees on payroll during the period) and “qualified employment” (employees receiving qualifying pay types such as regular wages, overtime, and vacation pay). These definitions mirror CES concepts, and maintaining both enables robustness checks.</w:t>
      </w:r>
    </w:p>
    <w:p w14:paraId="5ED05F56" w14:textId="77777777" w:rsidR="00013458" w:rsidRDefault="00000000">
      <w:pPr>
        <w:pStyle w:val="Heading3"/>
      </w:pPr>
      <w:bookmarkStart w:id="12" w:name="step-2-harmonize-the-statistical-unit"/>
      <w:bookmarkEnd w:id="11"/>
      <w:r>
        <w:t>Step 2: Harmonize the Statistical Unit</w:t>
      </w:r>
    </w:p>
    <w:p w14:paraId="7AE643AD" w14:textId="77777777" w:rsidR="00013458" w:rsidRDefault="00000000">
      <w:pPr>
        <w:pStyle w:val="FirstParagraph"/>
      </w:pPr>
      <w:r>
        <w:t>Official data count jobs at individual worksites (establishments). Payroll data are organized by client, which may represent anything from a single worksite to a national chain. We assess whether each client behaves like a single establishment by analyzing employee geographic dispersion — if employees are spread across many locations, the client likely operates multiple worksites.</w:t>
      </w:r>
    </w:p>
    <w:p w14:paraId="6EBF3117" w14:textId="77777777" w:rsidR="00013458" w:rsidRDefault="00000000">
      <w:pPr>
        <w:pStyle w:val="BodyText"/>
      </w:pPr>
      <w:r>
        <w:t>For clients that look like multi-establishment enterprises, we construct “pseudo-establishments” by clustering employees into geographically coherent groups. Each cluster is treated as a separate unit for downstream analysis.</w:t>
      </w:r>
    </w:p>
    <w:p w14:paraId="37CB391D" w14:textId="77777777" w:rsidR="00013458" w:rsidRDefault="00000000">
      <w:pPr>
        <w:pStyle w:val="BodyText"/>
      </w:pPr>
      <w:r>
        <w:t>The quality of this step depends critically on the location information available. With precise geocodes, the diagnostics work well. With only zip codes, the approach is somewhat degraded but still effective for the cases that matter most — large national chains whose employees span many zip codes. With only the client’s headquarters state, or no location data at all, we must rely on external benchmarks (QCEW employment distributions by state and industry) to allocate employment geographically.</w:t>
      </w:r>
    </w:p>
    <w:p w14:paraId="0A5AEDD2" w14:textId="77777777" w:rsidR="00013458" w:rsidRDefault="00000000">
      <w:pPr>
        <w:pStyle w:val="Heading3"/>
      </w:pPr>
      <w:bookmarkStart w:id="13" w:name="step-3-manage-sample-dynamics"/>
      <w:bookmarkEnd w:id="12"/>
      <w:r>
        <w:t>Step 3: Manage Sample Dynamics</w:t>
      </w:r>
    </w:p>
    <w:p w14:paraId="5D62546C" w14:textId="77777777" w:rsidR="00013458" w:rsidRDefault="00000000">
      <w:pPr>
        <w:pStyle w:val="FirstParagraph"/>
      </w:pPr>
      <w:r>
        <w:t>To isolate genuine employment change from administrative noise, we construct “measurement panels” — fixed sets of clients held stable for a quarter at a time. New clients are admitted only after a stabilization period (typically six months) to ensure their onboarding ramps have concluded. Clients that leave the provider mid-quarter are removed without contributing to negative employment change, because we cannot reliably distinguish business closures from administrative departures in real time.</w:t>
      </w:r>
    </w:p>
    <w:p w14:paraId="204DA9D9" w14:textId="77777777" w:rsidR="00013458" w:rsidRDefault="00000000">
      <w:pPr>
        <w:pStyle w:val="BodyText"/>
      </w:pPr>
      <w:r>
        <w:lastRenderedPageBreak/>
        <w:t>Within each panel, employment growth is computed using only matched observations across consecutive months — the same “continuing units” approach used by the BLS. The panels are refreshed quarterly, introducing newly eligible clients and dropping departures, so the sample evolves with the provider’s client base without allowing mid-quarter churn to contaminate growth measurement.</w:t>
      </w:r>
    </w:p>
    <w:p w14:paraId="5E79B1E9" w14:textId="77777777" w:rsidR="00013458" w:rsidRDefault="00000000">
      <w:pPr>
        <w:pStyle w:val="Heading3"/>
      </w:pPr>
      <w:bookmarkStart w:id="14" w:name="step-4-stratify-to-the-qcew"/>
      <w:bookmarkEnd w:id="13"/>
      <w:r>
        <w:t>Step 4: Stratify to the QCEW</w:t>
      </w:r>
    </w:p>
    <w:p w14:paraId="7DAB2DCE" w14:textId="77777777" w:rsidR="00013458" w:rsidRDefault="00000000">
      <w:pPr>
        <w:pStyle w:val="FirstParagraph"/>
      </w:pPr>
      <w:r>
        <w:t>Most payroll providers’ client bases are skewed toward small and medium-sized firms, and their industry and geographic mix differs from the national economy. To correct for this, we partition both the provider’s clients and the QCEW universe into comparable cells defined by geography, industry, and firm size, and weight the provider’s data to match the QCEW employment distribution across these cells.</w:t>
      </w:r>
    </w:p>
    <w:p w14:paraId="2B0922D6" w14:textId="77777777" w:rsidR="00013458" w:rsidRDefault="00000000">
      <w:pPr>
        <w:pStyle w:val="BodyText"/>
      </w:pPr>
      <w:r>
        <w:t>Size-class stratification is particularly important because firm size affects growth dynamics, churn behavior, and the rate at which new businesses form and existing ones close. Without it, the resulting growth signal would disproportionately reflect small-firm dynamics, which may differ systematically from aggregate employment growth.</w:t>
      </w:r>
    </w:p>
    <w:p w14:paraId="188A2DE8" w14:textId="77777777" w:rsidR="00013458" w:rsidRDefault="00000000">
      <w:pPr>
        <w:pStyle w:val="Heading3"/>
      </w:pPr>
      <w:bookmarkStart w:id="15" w:name="step-5-embed-in-a-statistical-model"/>
      <w:bookmarkEnd w:id="14"/>
      <w:r>
        <w:t>Step 5: Embed in a Statistical Model</w:t>
      </w:r>
    </w:p>
    <w:p w14:paraId="080FDFAC" w14:textId="77777777" w:rsidR="00013458" w:rsidRDefault="00000000">
      <w:pPr>
        <w:pStyle w:val="FirstParagraph"/>
      </w:pPr>
      <w:r>
        <w:t>The stratified, continuing-units growth series from each provider enters a Bayesian state-space model as a noisy observation of true employment change. The model treats each provider’s data separately — not pooled — with its own estimated bias, signal strength, and noise parameters. This reflects the fact that each provider’s client base differs in composition, and the relationship between their data and true employment varies provider by provider. The model learns from the data which providers are most informative under which conditions.</w:t>
      </w:r>
    </w:p>
    <w:p w14:paraId="64047A69" w14:textId="77777777" w:rsidR="00013458" w:rsidRDefault="00000000">
      <w:pPr>
        <w:pStyle w:val="BodyText"/>
      </w:pPr>
      <w:r>
        <w:t>The model decomposes total employment change into two components: continuing-units growth (hiring and separations at existing businesses, which payroll data directly measure) and the birth/death contribution (new businesses opening minus existing ones closing, which must be modeled separately using QCEW data and economic indicators).</w:t>
      </w:r>
    </w:p>
    <w:p w14:paraId="1AD8FF70" w14:textId="77777777" w:rsidR="00013458" w:rsidRDefault="00000000">
      <w:pPr>
        <w:pStyle w:val="BodyText"/>
      </w:pPr>
      <w:r>
        <w:t>The QCEW serves as a lagged anchor: it enters the model as a near-census observation of true employment, arriving with a five-to-six-month lag. This anchoring is what allows the model to learn the biases and signal loadings of each provider — the QCEW provides the “answer key” against which payroll signals are evaluated.</w:t>
      </w:r>
    </w:p>
    <w:p w14:paraId="11CC37BE" w14:textId="77777777" w:rsidR="00013458" w:rsidRDefault="00000000">
      <w:pPr>
        <w:pStyle w:val="BodyText"/>
      </w:pPr>
      <w:r>
        <w:t>CES vintage data also enter the model as observations with their own noise characteristics, providing additional information between QCEW releases.</w:t>
      </w:r>
    </w:p>
    <w:p w14:paraId="62833582" w14:textId="77777777" w:rsidR="00013458" w:rsidRDefault="00000000">
      <w:pPr>
        <w:pStyle w:val="Heading3"/>
      </w:pPr>
      <w:bookmarkStart w:id="16" w:name="step-6-monitor-for-discontinuities"/>
      <w:bookmarkEnd w:id="15"/>
      <w:r>
        <w:t>Step 6: Monitor for Discontinuities</w:t>
      </w:r>
    </w:p>
    <w:p w14:paraId="5EA8B2FD" w14:textId="77777777" w:rsidR="00013458" w:rsidRDefault="00000000">
      <w:pPr>
        <w:pStyle w:val="FirstParagraph"/>
      </w:pPr>
      <w:r>
        <w:t xml:space="preserve">Because payroll data are generated by business processes, changes in a provider’s operations, coding practices, or client mix can alter the effective measurement concept. We maintain statistical-agency-style quality monitoring — tracking hours, pay types, and </w:t>
      </w:r>
      <w:r>
        <w:lastRenderedPageBreak/>
        <w:t>payment timing for signs of drift — and employ drift-aware models with rolling recalibration to the QCEW.</w:t>
      </w:r>
    </w:p>
    <w:p w14:paraId="08E769EE" w14:textId="77777777" w:rsidR="00013458" w:rsidRDefault="009E5277">
      <w:r>
        <w:rPr>
          <w:noProof/>
        </w:rPr>
        <w:pict w14:anchorId="79645190">
          <v:rect id="_x0000_i1027" alt="" style="width:468pt;height:.05pt;mso-width-percent:0;mso-height-percent:0;mso-width-percent:0;mso-height-percent:0" o:hralign="center" o:hrstd="t" o:hr="t"/>
        </w:pict>
      </w:r>
    </w:p>
    <w:p w14:paraId="30D79705" w14:textId="77777777" w:rsidR="00013458" w:rsidRDefault="00000000">
      <w:pPr>
        <w:pStyle w:val="Heading2"/>
      </w:pPr>
      <w:bookmarkStart w:id="17" w:name="multiple-providers-not-pooled"/>
      <w:bookmarkEnd w:id="10"/>
      <w:bookmarkEnd w:id="16"/>
      <w:r>
        <w:t>4. Multiple Providers, Not Pooled</w:t>
      </w:r>
    </w:p>
    <w:p w14:paraId="59C96033" w14:textId="77777777" w:rsidR="00013458" w:rsidRDefault="00000000">
      <w:pPr>
        <w:pStyle w:val="FirstParagraph"/>
      </w:pPr>
      <w:r>
        <w:t>Each payroll provider enters the model as a separate measurement equation with its own parameters. This is important because providers differ in client composition, size distribution, and geographic coverage. The Bayesian framework estimates these relationships jointly, weighting each provider by its informativeness rather than requiring a prior decision about how to combine them. The model can learn which providers are most informative under which conditions without imposing assumptions about comparability.</w:t>
      </w:r>
    </w:p>
    <w:p w14:paraId="1D7C6603" w14:textId="77777777" w:rsidR="00013458" w:rsidRDefault="009E5277">
      <w:r>
        <w:rPr>
          <w:noProof/>
        </w:rPr>
        <w:pict w14:anchorId="6DC2A5AC">
          <v:rect id="_x0000_i1026" alt="" style="width:468pt;height:.05pt;mso-width-percent:0;mso-height-percent:0;mso-width-percent:0;mso-height-percent:0" o:hralign="center" o:hrstd="t" o:hr="t"/>
        </w:pict>
      </w:r>
    </w:p>
    <w:p w14:paraId="486240A1" w14:textId="77777777" w:rsidR="00013458" w:rsidRDefault="00000000">
      <w:pPr>
        <w:pStyle w:val="Heading2"/>
      </w:pPr>
      <w:bookmarkStart w:id="18" w:name="benchmarking-to-the-qcew"/>
      <w:bookmarkEnd w:id="17"/>
      <w:r>
        <w:t>5. Benchmarking to the QCEW</w:t>
      </w:r>
    </w:p>
    <w:p w14:paraId="7C563B86" w14:textId="77777777" w:rsidR="00013458" w:rsidRDefault="00000000">
      <w:pPr>
        <w:pStyle w:val="FirstParagraph"/>
      </w:pPr>
      <w:r>
        <w:t>We benchmark to the QCEW annually, consistent with CES practice. Although the QCEW is available quarterly, we do not benchmark quarterly for two reasons: first, to maintain comparability with the CES, which benchmarks annually to the March QCEW; and second, because using quarterly QCEW observations directly would introduce QCEW-specific seasonal patterns that may differ from CES seasonality, confusing interpretation.</w:t>
      </w:r>
    </w:p>
    <w:p w14:paraId="1336781F" w14:textId="77777777" w:rsidR="00013458" w:rsidRDefault="009E5277">
      <w:r>
        <w:rPr>
          <w:noProof/>
        </w:rPr>
        <w:pict w14:anchorId="6538DCDD">
          <v:rect id="_x0000_i1025" alt="" style="width:468pt;height:.05pt;mso-width-percent:0;mso-height-percent:0;mso-width-percent:0;mso-height-percent:0" o:hralign="center" o:hrstd="t" o:hr="t"/>
        </w:pict>
      </w:r>
    </w:p>
    <w:p w14:paraId="2BAAFB14" w14:textId="77777777" w:rsidR="00013458" w:rsidRDefault="00000000">
      <w:pPr>
        <w:pStyle w:val="Heading2"/>
      </w:pPr>
      <w:bookmarkStart w:id="19" w:name="conclusion"/>
      <w:bookmarkEnd w:id="18"/>
      <w:r>
        <w:t>6. Conclusion</w:t>
      </w:r>
    </w:p>
    <w:p w14:paraId="596F027C" w14:textId="77777777" w:rsidR="00013458" w:rsidRDefault="00000000">
      <w:pPr>
        <w:pStyle w:val="FirstParagraph"/>
      </w:pPr>
      <w:r>
        <w:t>Payroll microdata can materially improve the timeliness and granularity of employment measurement. However, credible official-style estimates require careful treatment of statistical units, provider churn, onboarding artifacts, size-class distortions, and representativeness. By embedding payroll data in a Bayesian framework anchored to the QCEW, and by explicitly separating continuing-units measurement from birth/death dynamics, payroll data can serve as a disciplined, high-frequency measurement system that complements official statistics.</w:t>
      </w:r>
    </w:p>
    <w:p w14:paraId="12BF2F2F" w14:textId="77777777" w:rsidR="00013458" w:rsidRDefault="00000000">
      <w:pPr>
        <w:pStyle w:val="BodyText"/>
      </w:pPr>
      <w:r>
        <w:t>This framework extends the model-based data fusion approach of Cajner et al. (2022) by incorporating payroll-provider-specific features related to statistical units, size-class structure, and onboarding dynamics.</w:t>
      </w:r>
    </w:p>
    <w:p w14:paraId="4B81D346" w14:textId="77777777" w:rsidR="00013458" w:rsidRDefault="00000000">
      <w:pPr>
        <w:pStyle w:val="Heading3"/>
      </w:pPr>
      <w:bookmarkStart w:id="20" w:name="references"/>
      <w:r>
        <w:t>References</w:t>
      </w:r>
    </w:p>
    <w:p w14:paraId="4E92FCEB" w14:textId="77777777" w:rsidR="00013458" w:rsidRDefault="00000000">
      <w:pPr>
        <w:pStyle w:val="FirstParagraph"/>
      </w:pPr>
      <w:r>
        <w:t xml:space="preserve">Cajner, T., et al. (2022). </w:t>
      </w:r>
      <w:r>
        <w:rPr>
          <w:i/>
          <w:iCs/>
        </w:rPr>
        <w:t>Improving the accuracy of economic measurement with multiple data sources: The case of payroll employment data.</w:t>
      </w:r>
      <w:r>
        <w:t xml:space="preserve"> In Abraham, Jarmin, Moyer, &amp; Shapiro (Eds.), </w:t>
      </w:r>
      <w:r>
        <w:rPr>
          <w:i/>
          <w:iCs/>
        </w:rPr>
        <w:t>Big Data for Twenty-First-Century Economic Statistics,</w:t>
      </w:r>
      <w:r>
        <w:t xml:space="preserve"> NBER.</w:t>
      </w:r>
      <w:bookmarkEnd w:id="0"/>
      <w:bookmarkEnd w:id="19"/>
      <w:bookmarkEnd w:id="20"/>
    </w:p>
    <w:sectPr w:rsidR="0001345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5675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286B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62984428">
    <w:abstractNumId w:val="0"/>
  </w:num>
  <w:num w:numId="2" w16cid:durableId="430008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58"/>
    <w:rsid w:val="00013458"/>
    <w:rsid w:val="00233EE3"/>
    <w:rsid w:val="009E5277"/>
    <w:rsid w:val="00F05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D767D"/>
  <w15:docId w15:val="{6355E07F-19AB-FA4B-9355-2DE980B06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2179</Words>
  <Characters>12797</Characters>
  <Application>Microsoft Office Word</Application>
  <DocSecurity>0</DocSecurity>
  <Lines>213</Lines>
  <Paragraphs>72</Paragraphs>
  <ScaleCrop>false</ScaleCrop>
  <Company/>
  <LinksUpToDate>false</LinksUpToDate>
  <CharactersWithSpaces>14904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Lowell Mason</dc:creator>
  <cp:keywords/>
  <cp:lastModifiedBy>Lowell Mason</cp:lastModifiedBy>
  <cp:revision>2</cp:revision>
  <dcterms:created xsi:type="dcterms:W3CDTF">2026-03-13T12:48:00Z</dcterms:created>
  <dcterms:modified xsi:type="dcterms:W3CDTF">2026-03-13T12:48:00Z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