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34"/>
        </w:rPr>
        <w:t>Acta de Cierre</w:t>
      </w:r>
    </w:p>
    <w:p>
      <w:pPr>
        <w:jc w:val="center"/>
      </w:pPr>
      <w:r>
        <w:rPr>
          <w:color w:val="4B5563"/>
          <w:sz w:val="20"/>
        </w:rPr>
        <w:t>Sprint 1.3D - Integración de eventos documentales básicos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Documental Platform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b/>
                <w:sz w:val="18"/>
              </w:rPr>
              <w:t>Sprint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Sprint 1.3D - Integración de eventos documentales básicos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b/>
                <w:sz w:val="18"/>
              </w:rPr>
              <w:t>Fecha de cierre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2026-07-06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b/>
                <w:sz w:val="18"/>
              </w:rPr>
              <w:t>Alcance validado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Expediente 41 / Código 050201 / Empresa BBTI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b/>
                <w:sz w:val="18"/>
              </w:rPr>
              <w:t>Estado final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CERRADO FUNCIONALMENTE EN DEMO/LOCAL</w:t>
            </w:r>
          </w:p>
        </w:tc>
      </w:tr>
    </w:tbl>
    <w:p/>
    <w:p>
      <w:r>
        <w:rPr>
          <w:b/>
          <w:color w:val="1D4ED8"/>
          <w:sz w:val="26"/>
        </w:rPr>
        <w:t>Objetivo del Sprint</w:t>
      </w:r>
    </w:p>
    <w:p>
      <w:pPr>
        <w:spacing w:after="80"/>
      </w:pPr>
      <w:r>
        <w:rPr>
          <w:sz w:val="19"/>
        </w:rPr>
        <w:t>Registrar eventos documentales básicos dentro del motor documental y validar el flujo de OCR, confirmación y vinculación con expediente.</w:t>
      </w:r>
    </w:p>
    <w:p>
      <w:r>
        <w:rPr>
          <w:b/>
          <w:color w:val="1D4ED8"/>
          <w:sz w:val="26"/>
        </w:rPr>
        <w:t>Eventos cerrados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BEAFE"/>
            <w:vAlign w:val="center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456"/>
            <w:shd w:fill="DBEAFE"/>
            <w:vAlign w:val="center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3456"/>
            <w:shd w:fill="DBEAFE"/>
            <w:vAlign w:val="center"/>
          </w:tcPr>
          <w:p>
            <w:r/>
            <w:r>
              <w:rPr>
                <w:b/>
                <w:sz w:val="18"/>
              </w:rPr>
              <w:t>Evidencia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documento.creado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Registrado al crear contenedor desde carga guiada.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archivo.subido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Registrado al subir archivo a R2.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ocr.procesado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Registrado tras procesamiento OCR por worker host.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ocr.confirmado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Registrado al confirmar OCR con expediente.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ocr.rechazado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Registrado al rechazar OCR con motivo.</w:t>
            </w:r>
          </w:p>
        </w:tc>
      </w:tr>
    </w:tbl>
    <w:p/>
    <w:p>
      <w:r>
        <w:rPr>
          <w:b/>
          <w:color w:val="1D4ED8"/>
          <w:sz w:val="26"/>
        </w:rPr>
        <w:t>Conclusión</w:t>
      </w:r>
    </w:p>
    <w:p>
      <w:pPr>
        <w:spacing w:after="80"/>
      </w:pPr>
      <w:r>
        <w:rPr>
          <w:sz w:val="19"/>
        </w:rPr>
        <w:t>El Sprint 1.3D queda cerrado. El flujo OCR Worker host + NATS + ms-documentos + R2 + confirmación con expediente quedó validado funcionalmente.</w:t>
      </w:r>
    </w:p>
    <w:p>
      <w:r>
        <w:rPr>
          <w:b/>
          <w:color w:val="1D4ED8"/>
          <w:sz w:val="26"/>
        </w:rPr>
        <w:t>Criterio de aceptación</w:t>
      </w:r>
    </w:p>
    <w:p>
      <w:pPr>
        <w:pStyle w:val="ListBullet"/>
        <w:spacing w:after="40"/>
      </w:pPr>
      <w:r>
        <w:rPr>
          <w:sz w:val="19"/>
        </w:rPr>
        <w:t>El OCR Worker se conectó a NATS y escuchó el subject ocr.procesar-archivo.</w:t>
      </w:r>
    </w:p>
    <w:p>
      <w:pPr>
        <w:pStyle w:val="ListBullet"/>
        <w:spacing w:after="40"/>
      </w:pPr>
      <w:r>
        <w:rPr>
          <w:sz w:val="19"/>
        </w:rPr>
        <w:t>Se procesó documento digital con respuesta exitosa y evento ocr.procesado.</w:t>
      </w:r>
    </w:p>
    <w:p>
      <w:pPr>
        <w:pStyle w:val="ListBullet"/>
        <w:spacing w:after="40"/>
      </w:pPr>
      <w:r>
        <w:rPr>
          <w:sz w:val="19"/>
        </w:rPr>
        <w:t>Se validaron confirmaciones con expediente para documentos de Compras, Almacén y Finanzas.</w:t>
      </w:r>
    </w:p>
    <w:p>
      <w:pPr>
        <w:pStyle w:val="ListBullet"/>
        <w:spacing w:after="40"/>
      </w:pPr>
      <w:r>
        <w:rPr>
          <w:sz w:val="19"/>
        </w:rPr>
        <w:t>La revisión contable puede abrir el expediente y visualizar todos los documentos vinculados.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