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Workspace Documental V2 ERP</w:t>
      </w:r>
    </w:p>
    <w:p>
      <w:r/>
      <w:r>
        <w:rPr>
          <w:b/>
        </w:rPr>
        <w:t>Proyecto:</w:t>
      </w:r>
      <w:r>
        <w:t xml:space="preserve"> Documental Platform</w:t>
      </w:r>
    </w:p>
    <w:p>
      <w:r/>
      <w:r>
        <w:rPr>
          <w:b/>
        </w:rPr>
        <w:t>Sprint:</w:t>
      </w:r>
      <w:r>
        <w:t xml:space="preserve"> 1.4B — UX Jerarquía Documental V2</w:t>
      </w:r>
    </w:p>
    <w:p>
      <w:r/>
      <w:r>
        <w:rPr>
          <w:b/>
        </w:rPr>
        <w:t>Responsable:</w:t>
      </w:r>
      <w:r>
        <w:t xml:space="preserve"> Maestro Sucesor II</w:t>
      </w:r>
    </w:p>
    <w:p>
      <w:r/>
      <w:r>
        <w:rPr>
          <w:b/>
        </w:rPr>
        <w:t>Tipo:</w:t>
      </w:r>
      <w:r>
        <w:t xml:space="preserve"> Especificación funcional UX</w:t>
      </w:r>
    </w:p>
    <w:p>
      <w:r/>
      <w:r>
        <w:rPr>
          <w:b/>
        </w:rPr>
        <w:t>Estado:</w:t>
      </w:r>
      <w:r>
        <w:t xml:space="preserve"> Actualizado para validación del Maestro Intermedio</w:t>
      </w:r>
    </w:p>
    <w:p/>
    <w:p>
      <w:pPr>
        <w:pStyle w:val="Heading1"/>
      </w:pPr>
      <w:r>
        <w:t>1. Propósito</w:t>
      </w:r>
    </w:p>
    <w:p>
      <w:r>
        <w:t xml:space="preserve">Este documento define cómo debe entenderse y navegarse el </w:t>
      </w:r>
      <w:r>
        <w:rPr>
          <w:b/>
        </w:rPr>
        <w:t>Workspace Documental V2 ERP</w:t>
      </w:r>
      <w:r>
        <w:t xml:space="preserve"> desde la experiencia de usuario.</w:t>
      </w:r>
    </w:p>
    <w:p>
      <w:r>
        <w:t>El objetivo no es diseñar pantallas aisladas ni tablas técnicas, sino una experiencia común para módulos distintos del ERP que comparten trazabilidad documental.</w:t>
      </w:r>
    </w:p>
    <w:p>
      <w:r>
        <w:t>Principio oficial del frontend:</w:t>
      </w:r>
    </w:p>
    <w:p>
      <w:pPr>
        <w:ind w:left="360"/>
      </w:pPr>
      <w:r>
        <w:rPr>
          <w:b/>
          <w:i/>
        </w:rPr>
        <w:t>**La UI debe representar el negocio, no la implementación técnica.**</w:t>
      </w:r>
    </w:p>
    <w:p>
      <w:r>
        <w:t>El usuario no debe percibir motores documentales diferentes. Debe sentir que trabaja en un único Workspace Documental, aunque el documento de apertura y la estructura interna cambien según el módulo.</w:t>
      </w:r>
    </w:p>
    <w:p/>
    <w:p>
      <w:pPr>
        <w:pStyle w:val="Heading1"/>
      </w:pPr>
      <w:r>
        <w:t>2. Principio rector del Workspace Documental V2</w:t>
      </w:r>
    </w:p>
    <w:p>
      <w:r>
        <w:t>El Workspace Documental V2 se basa en esta idea: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Contexto Operativo</w:t>
        <w:br/>
        <w:t xml:space="preserve">  -&gt; Documento de apertura</w:t>
        <w:br/>
        <w:t xml:space="preserve">      -&gt; Grupos / Rendiciones / documentos relacionados</w:t>
        <w:br/>
        <w:t xml:space="preserve">          -&gt; Adjuntos / sustentos / regularizaciones</w:t>
        <w:br/>
        <w:t xml:space="preserve">              -&gt; Revisión contable</w:t>
      </w:r>
    </w:p>
    <w:p>
      <w:r>
        <w:t>La forma exacta cambia por módulo: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Compras</w:t>
        <w:br/>
        <w:t xml:space="preserve">  Contexto Operativo</w:t>
        <w:br/>
        <w:t xml:space="preserve">    -&gt; Documento Operativo Principal</w:t>
        <w:br/>
        <w:t xml:space="preserve">        -&gt; Grupos de Factura</w:t>
        <w:br/>
        <w:t xml:space="preserve">            -&gt; Adjuntos</w:t>
        <w:br/>
        <w:t xml:space="preserve">                -&gt; Revisión contable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Caja Chica</w:t>
        <w:br/>
        <w:t xml:space="preserve">  Contexto Operativo</w:t>
        <w:br/>
        <w:t xml:space="preserve">    -&gt; Requerimiento de Fondo</w:t>
        <w:br/>
        <w:t xml:space="preserve">        -&gt; Rendición</w:t>
        <w:br/>
        <w:t xml:space="preserve">            -&gt; Sustentos</w:t>
        <w:br/>
        <w:t xml:space="preserve">                -&gt; Regularizaciones</w:t>
        <w:br/>
        <w:t xml:space="preserve">                    -&gt; Revisión contable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Rendición de Requerimientos</w:t>
        <w:br/>
        <w:t xml:space="preserve">  Contexto Operativo</w:t>
        <w:br/>
        <w:t xml:space="preserve">    -&gt; Documento Inicial de Rendición</w:t>
        <w:br/>
        <w:t xml:space="preserve">        -&gt; Documentos rendidos / sustentos</w:t>
        <w:br/>
        <w:t xml:space="preserve">            -&gt; Regularizaciones</w:t>
        <w:br/>
        <w:t xml:space="preserve">                -&gt; Revisión contable</w:t>
      </w:r>
    </w:p>
    <w:p>
      <w:r>
        <w:t xml:space="preserve">Por tanto, el Workspace Documental es común, pero </w:t>
      </w:r>
      <w:r>
        <w:rPr>
          <w:b/>
        </w:rPr>
        <w:t>no todos los módulos deben usar Grupo de Factura</w:t>
      </w:r>
      <w:r>
        <w:t>.</w:t>
      </w:r>
    </w:p>
    <w:p/>
    <w:p>
      <w:pPr>
        <w:pStyle w:val="Heading1"/>
      </w:pPr>
      <w:r>
        <w:t>3. Contexto Operativo según empresa</w:t>
      </w:r>
    </w:p>
    <w:p>
      <w:r>
        <w:t xml:space="preserve">El primer nivel visible para el usuario es el </w:t>
      </w:r>
      <w:r>
        <w:rPr>
          <w:b/>
        </w:rPr>
        <w:t>Contexto Operativo</w:t>
      </w:r>
      <w:r>
        <w:t>.</w:t>
      </w:r>
    </w:p>
    <w:p>
      <w:r>
        <w:t>El contexto operativo responde: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¿Dónde estoy trabajando?</w:t>
        <w:br/>
        <w:t>¿Para qué empresa?</w:t>
        <w:br/>
        <w:t>¿Qué centro de costo, OP, proyecto, consorcio o requerimiento gobierna esta operación?</w:t>
        <w:br/>
        <w:t>¿Cuál es el estado actual?</w:t>
      </w:r>
    </w:p>
    <w:p>
      <w:pPr>
        <w:pStyle w:val="Heading2"/>
      </w:pPr>
      <w:r>
        <w:t>3.1 Empresas BBTI y BB Tecnología</w:t>
      </w:r>
    </w:p>
    <w:p>
      <w:r>
        <w:t xml:space="preserve">Para </w:t>
      </w:r>
      <w:r>
        <w:rPr>
          <w:b/>
        </w:rPr>
        <w:t>BBTI</w:t>
      </w:r>
      <w:r>
        <w:t xml:space="preserve"> y </w:t>
      </w:r>
      <w:r>
        <w:rPr>
          <w:b/>
        </w:rPr>
        <w:t>BB Tecnología</w:t>
      </w:r>
      <w:r>
        <w:t>, el usuario trabajará normalmente con:</w:t>
      </w:r>
    </w:p>
    <w:p>
      <w:pPr>
        <w:pStyle w:val="ListBullet"/>
      </w:pPr>
      <w:r>
        <w:t>Centro de costo.</w:t>
      </w:r>
    </w:p>
    <w:p>
      <w:pPr>
        <w:pStyle w:val="ListBullet"/>
      </w:pPr>
      <w:r>
        <w:t>OP.</w:t>
      </w:r>
    </w:p>
    <w:p>
      <w:r>
        <w:t>Antes de crear:</w:t>
      </w:r>
    </w:p>
    <w:p>
      <w:pPr>
        <w:pStyle w:val="ListBullet"/>
      </w:pPr>
      <w:r>
        <w:t>OC.</w:t>
      </w:r>
    </w:p>
    <w:p>
      <w:pPr>
        <w:pStyle w:val="ListBullet"/>
      </w:pPr>
      <w:r>
        <w:t>OS.</w:t>
      </w:r>
    </w:p>
    <w:p>
      <w:pPr>
        <w:pStyle w:val="ListBullet"/>
      </w:pPr>
      <w:r>
        <w:t>Requerimiento de Compra.</w:t>
      </w:r>
    </w:p>
    <w:p>
      <w:r>
        <w:t>el usuario debe seleccionar el contexto correspondiente.</w:t>
      </w:r>
    </w:p>
    <w:p>
      <w:r>
        <w:t>Ejemplo: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Empresa: BBTI</w:t>
        <w:br/>
        <w:t>Centro de costo: 050201</w:t>
        <w:br/>
        <w:t>OP: PRODUCCION C X DISTRIBUIR</w:t>
        <w:br/>
        <w:t>Documento de apertura: OC 007950</w:t>
      </w:r>
    </w:p>
    <w:p>
      <w:pPr>
        <w:pStyle w:val="Heading2"/>
      </w:pPr>
      <w:r>
        <w:t>3.2 Consorcios / Obras</w:t>
      </w:r>
    </w:p>
    <w:p>
      <w:r>
        <w:t>Para casos como:</w:t>
      </w:r>
    </w:p>
    <w:p>
      <w:pPr>
        <w:pStyle w:val="ListBullet"/>
      </w:pPr>
      <w:r>
        <w:t>Consorcio CIMA.</w:t>
      </w:r>
    </w:p>
    <w:p>
      <w:pPr>
        <w:pStyle w:val="ListBullet"/>
      </w:pPr>
      <w:r>
        <w:t>Huancavelica.</w:t>
      </w:r>
    </w:p>
    <w:p>
      <w:pPr>
        <w:pStyle w:val="ListBullet"/>
      </w:pPr>
      <w:r>
        <w:t>Kimbiri.</w:t>
      </w:r>
    </w:p>
    <w:p>
      <w:r>
        <w:t>el Centro de costo puede ser único.</w:t>
      </w:r>
    </w:p>
    <w:p>
      <w:r>
        <w:t>En ese caso:</w:t>
      </w:r>
    </w:p>
    <w:p>
      <w:pPr>
        <w:pStyle w:val="ListBullet"/>
      </w:pPr>
      <w:r>
        <w:t>El usuario no debe seleccionarlo manualmente.</w:t>
      </w:r>
    </w:p>
    <w:p>
      <w:pPr>
        <w:pStyle w:val="ListBullet"/>
      </w:pPr>
      <w:r>
        <w:t>El sistema debe mostrarlo como contexto ya definido.</w:t>
      </w:r>
    </w:p>
    <w:p>
      <w:pPr>
        <w:pStyle w:val="ListBullet"/>
      </w:pPr>
      <w:r>
        <w:t>El usuario debe avanzar directamente al documento de apertura o a la operación disponible.</w:t>
      </w:r>
    </w:p>
    <w:p>
      <w:r>
        <w:t>Ejemplo: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Empresa: Consorcio CIMA</w:t>
        <w:br/>
        <w:t>Centro de costo: CIMA-UNICO</w:t>
        <w:br/>
        <w:t>Estado: Contexto definido automáticamente</w:t>
      </w:r>
    </w:p>
    <w:p>
      <w:r>
        <w:t>Regla UX:</w:t>
      </w:r>
    </w:p>
    <w:p>
      <w:pPr>
        <w:ind w:left="360"/>
      </w:pPr>
      <w:r>
        <w:rPr>
          <w:b/>
          <w:i/>
        </w:rPr>
        <w:t>Si el contexto operativo es único para la empresa, la UI no debe pedir al usuario que lo seleccione.</w:t>
      </w:r>
    </w:p>
    <w:p/>
    <w:p>
      <w:pPr>
        <w:pStyle w:val="Heading1"/>
      </w:pPr>
      <w:r>
        <w:t>4. Barra de Contexto Operativo</w:t>
      </w:r>
    </w:p>
    <w:p>
      <w:r>
        <w:t xml:space="preserve">El Workspace debe tener una </w:t>
      </w:r>
      <w:r>
        <w:rPr>
          <w:b/>
        </w:rPr>
        <w:t>barra de contexto persistente</w:t>
      </w:r>
      <w:r>
        <w:t>.</w:t>
      </w:r>
    </w:p>
    <w:p>
      <w:r>
        <w:t>No es solo navegación. Es memoria visual de la operación.</w:t>
      </w:r>
    </w:p>
    <w:p>
      <w:r>
        <w:t>Debe permanecer visible durante toda la navegación.</w:t>
      </w:r>
    </w:p>
    <w:p>
      <w:r>
        <w:t>Ejemplo: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Empresa</w:t>
        <w:br/>
        <w:t>BBTI</w:t>
        <w:br/>
        <w:br/>
        <w:t>Contenedor Operativo</w:t>
        <w:br/>
        <w:t>050201 · PRODUCCION C X DISTRIBUIR</w:t>
        <w:br/>
        <w:br/>
        <w:t>Documento de apertura</w:t>
        <w:br/>
        <w:t>OC 007950</w:t>
        <w:br/>
        <w:br/>
        <w:t>Grupo / Rendición actual</w:t>
        <w:br/>
        <w:t>Factura F011-00001135</w:t>
        <w:br/>
        <w:br/>
        <w:t>Estado</w:t>
        <w:br/>
        <w:t>Pendiente Contabilidad</w:t>
      </w:r>
    </w:p>
    <w:p>
      <w:r>
        <w:t>Para Caja Chica: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Empresa</w:t>
        <w:br/>
        <w:t>BBTI</w:t>
        <w:br/>
        <w:br/>
        <w:t>Contexto Operativo</w:t>
        <w:br/>
        <w:t>Caja Chica Administración</w:t>
        <w:br/>
        <w:br/>
        <w:t>Documento de apertura</w:t>
        <w:br/>
        <w:t>RF-0001 · Requerimiento de Fondo</w:t>
        <w:br/>
        <w:br/>
        <w:t>Rendición actual</w:t>
        <w:br/>
        <w:t>Rendición RF-0001</w:t>
        <w:br/>
        <w:br/>
        <w:t>Estado</w:t>
        <w:br/>
        <w:t>Pendiente de regularización</w:t>
      </w:r>
    </w:p>
    <w:p>
      <w:r>
        <w:t>La barra de contexto debe evitar que el usuario tenga que regresar para recordar en qué operación está.</w:t>
      </w:r>
    </w:p>
    <w:p/>
    <w:p>
      <w:pPr>
        <w:pStyle w:val="Heading1"/>
      </w:pPr>
      <w:r>
        <w:t>5. Estados del Workspace</w:t>
      </w:r>
    </w:p>
    <w:p>
      <w:r>
        <w:t>El Workspace puede estar en distintos estados funcionales. Estos estados deben guiar la UI.</w:t>
      </w:r>
    </w:p>
    <w:p>
      <w:r>
        <w:t>Estados generales: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Sin documento de apertura</w:t>
        <w:br/>
        <w:t>Documento de apertura registrado</w:t>
        <w:br/>
        <w:t>Con grupos / rendiciones</w:t>
        <w:br/>
        <w:t>Con grupos incompletos</w:t>
        <w:br/>
        <w:t>Pendiente de regularización</w:t>
        <w:br/>
        <w:t>Contabilidad pendiente</w:t>
        <w:br/>
        <w:t>Contabilidad observada</w:t>
        <w:br/>
        <w:t>Contabilidad validada</w:t>
        <w:br/>
        <w:t>Cerrado</w:t>
        <w:br/>
        <w:t>Histórico</w:t>
      </w:r>
    </w:p>
    <w:p>
      <w:pPr>
        <w:pStyle w:val="Heading2"/>
      </w:pPr>
      <w:r>
        <w:t>5.1 Estados para Compras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Sin Documento Operativo Principal</w:t>
        <w:br/>
        <w:t>Documento Operativo Principal registrado</w:t>
        <w:br/>
        <w:t>Con Grupos de Factura</w:t>
        <w:br/>
        <w:t>Con Grupos de Factura incompletos</w:t>
        <w:br/>
        <w:t>Contabilidad pendiente</w:t>
        <w:br/>
        <w:t>Contabilidad validada</w:t>
        <w:br/>
        <w:t>Cerrado</w:t>
      </w:r>
    </w:p>
    <w:p>
      <w:pPr>
        <w:pStyle w:val="Heading2"/>
      </w:pPr>
      <w:r>
        <w:t>5.2 Estados para Caja Chica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Requerimiento de Fondo creado</w:t>
        <w:br/>
        <w:t>Fondo entregado</w:t>
        <w:br/>
        <w:t>Rendición iniciada</w:t>
        <w:br/>
        <w:t>Rendición parcial</w:t>
        <w:br/>
        <w:t>Pendiente de regularización</w:t>
        <w:br/>
        <w:t>Transferencia pendiente</w:t>
        <w:br/>
        <w:t>Transferencia adjuntada</w:t>
        <w:br/>
        <w:t>Contabilidad pendiente</w:t>
        <w:br/>
        <w:t>Contabilidad observada</w:t>
        <w:br/>
        <w:t>Contabilidad validada</w:t>
        <w:br/>
        <w:t>Cerrado</w:t>
      </w:r>
    </w:p>
    <w:p>
      <w:pPr>
        <w:pStyle w:val="Heading2"/>
      </w:pPr>
      <w:r>
        <w:t>5.3 Estados para Rendición de Requerimientos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Documento inicial creado</w:t>
        <w:br/>
        <w:t>Documentos rendidos cargados</w:t>
        <w:br/>
        <w:t>Sustentos incompletos</w:t>
        <w:br/>
        <w:t>Pendiente de regularización</w:t>
        <w:br/>
        <w:t>Contabilidad pendiente</w:t>
        <w:br/>
        <w:t>Contabilidad observada</w:t>
        <w:br/>
        <w:t>Contabilidad validada</w:t>
        <w:br/>
        <w:t>Cerrado</w:t>
      </w:r>
    </w:p>
    <w:p>
      <w:r>
        <w:t xml:space="preserve">El estado </w:t>
      </w:r>
      <w:r>
        <w:rPr>
          <w:b/>
        </w:rPr>
        <w:t>Pendiente de regularización</w:t>
      </w:r>
      <w:r>
        <w:t xml:space="preserve"> es clave para Caja Chica y Rendiciones.</w:t>
      </w:r>
    </w:p>
    <w:p>
      <w:r>
        <w:t>Significa que la operación puede continuar, aunque todavía falte un documento posterior como transferencia bancaria u otro sustento de cierre.</w:t>
      </w:r>
    </w:p>
    <w:p/>
    <w:p>
      <w:pPr>
        <w:pStyle w:val="Heading1"/>
      </w:pPr>
      <w:r>
        <w:t>6. Compras: estructura UX</w:t>
      </w:r>
    </w:p>
    <w:p>
      <w:r>
        <w:t>En Compras, el flujo sigue esta jerarquía: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Contexto Operativo</w:t>
        <w:br/>
        <w:t xml:space="preserve">  -&gt; Documento Operativo Principal</w:t>
        <w:br/>
        <w:t xml:space="preserve">      -&gt; Grupos de Factura</w:t>
        <w:br/>
        <w:t xml:space="preserve">          -&gt; Adjuntos</w:t>
        <w:br/>
        <w:t xml:space="preserve">              -&gt; Revisión contable</w:t>
      </w:r>
    </w:p>
    <w:p>
      <w:pPr>
        <w:pStyle w:val="Heading2"/>
      </w:pPr>
      <w:r>
        <w:t>6.1 Documento Operativo Principal</w:t>
      </w:r>
    </w:p>
    <w:p>
      <w:r>
        <w:t>Puede ser:</w:t>
      </w:r>
    </w:p>
    <w:p>
      <w:pPr>
        <w:pStyle w:val="ListBullet"/>
      </w:pPr>
      <w:r>
        <w:t>OC.</w:t>
      </w:r>
    </w:p>
    <w:p>
      <w:pPr>
        <w:pStyle w:val="ListBullet"/>
      </w:pPr>
      <w:r>
        <w:t>OS.</w:t>
      </w:r>
    </w:p>
    <w:p>
      <w:pPr>
        <w:pStyle w:val="ListBullet"/>
      </w:pPr>
      <w:r>
        <w:t>Requerimiento de Compra.</w:t>
      </w:r>
    </w:p>
    <w:p>
      <w:r>
        <w:t>La factura no es documento principal.</w:t>
      </w:r>
    </w:p>
    <w:p>
      <w:r>
        <w:t>Regla visual:</w:t>
      </w:r>
    </w:p>
    <w:p>
      <w:pPr>
        <w:ind w:left="360"/>
      </w:pPr>
      <w:r>
        <w:rPr>
          <w:b/>
          <w:i/>
        </w:rPr>
        <w:t>Principal activo se muestra solo si `esPrincipal === true`.</w:t>
      </w:r>
    </w:p>
    <w:p>
      <w:r>
        <w:t>No debe inferirse por: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tipoRelacion.startsWith("principal_")</w:t>
      </w:r>
    </w:p>
    <w:p>
      <w:pPr>
        <w:pStyle w:val="Heading2"/>
      </w:pPr>
      <w:r>
        <w:t>6.2 Grupo de Factura</w:t>
      </w:r>
    </w:p>
    <w:p>
      <w:r>
        <w:t>Cada factura abre un grupo documental.</w:t>
      </w:r>
    </w:p>
    <w:p>
      <w:r>
        <w:t>Ejemplo: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OC 007950</w:t>
        <w:br/>
        <w:t xml:space="preserve">  -&gt; Grupo Factura F011-00001135</w:t>
        <w:br/>
        <w:t xml:space="preserve">      -&gt; Factura</w:t>
        <w:br/>
        <w:t xml:space="preserve">      -&gt; Guía</w:t>
        <w:br/>
        <w:t xml:space="preserve">      -&gt; Nota de ingreso</w:t>
        <w:br/>
        <w:t xml:space="preserve">      -&gt; Transferencia</w:t>
        <w:br/>
        <w:t xml:space="preserve">      -&gt; Detracción</w:t>
      </w:r>
    </w:p>
    <w:p>
      <w:r>
        <w:t>La revisión contable en Compras se organiza por Grupo de Factura, no por expediente plano.</w:t>
      </w:r>
    </w:p>
    <w:p>
      <w:pPr>
        <w:pStyle w:val="Heading2"/>
      </w:pPr>
      <w:r>
        <w:t>6.3 Acciones principales en Compras</w:t>
      </w:r>
    </w:p>
    <w:p>
      <w:r>
        <w:t>Acciones permitidas:</w:t>
      </w:r>
    </w:p>
    <w:p>
      <w:pPr>
        <w:pStyle w:val="ListBullet"/>
      </w:pPr>
      <w:r>
        <w:t>Seleccionar contexto operativo.</w:t>
      </w:r>
    </w:p>
    <w:p>
      <w:pPr>
        <w:pStyle w:val="ListBullet"/>
      </w:pPr>
      <w:r>
        <w:t>Crear documento operativo principal.</w:t>
      </w:r>
    </w:p>
    <w:p>
      <w:pPr>
        <w:pStyle w:val="ListBullet"/>
      </w:pPr>
      <w:r>
        <w:t>Agregar factura.</w:t>
      </w:r>
    </w:p>
    <w:p>
      <w:pPr>
        <w:pStyle w:val="ListBullet"/>
      </w:pPr>
      <w:r>
        <w:t>Abrir grupo de factura.</w:t>
      </w:r>
    </w:p>
    <w:p>
      <w:pPr>
        <w:pStyle w:val="ListBullet"/>
      </w:pPr>
      <w:r>
        <w:t>Adjuntar documentos relacionados.</w:t>
      </w:r>
    </w:p>
    <w:p>
      <w:pPr>
        <w:pStyle w:val="ListBullet"/>
      </w:pPr>
      <w:r>
        <w:t>Enviar a revisión contable.</w:t>
      </w:r>
    </w:p>
    <w:p>
      <w:r>
        <w:t>Acciones que desaparecen o quedan bloqueadas:</w:t>
      </w:r>
    </w:p>
    <w:p>
      <w:pPr>
        <w:pStyle w:val="ListBullet"/>
      </w:pPr>
      <w:r>
        <w:t>Crear múltiples principales sin validación.</w:t>
      </w:r>
    </w:p>
    <w:p>
      <w:pPr>
        <w:pStyle w:val="ListBullet"/>
      </w:pPr>
      <w:r>
        <w:t>Reemplazar principal automáticamente.</w:t>
      </w:r>
    </w:p>
    <w:p>
      <w:pPr>
        <w:pStyle w:val="ListBullet"/>
      </w:pPr>
      <w:r>
        <w:t>Mover documentos silenciosamente.</w:t>
      </w:r>
    </w:p>
    <w:p>
      <w:pPr>
        <w:pStyle w:val="ListBullet"/>
      </w:pPr>
      <w:r>
        <w:t>Confirmar un documento contra otro contexto sin advertencia.</w:t>
      </w:r>
    </w:p>
    <w:p>
      <w:pPr>
        <w:pStyle w:val="ListBullet"/>
      </w:pPr>
      <w:r>
        <w:t>Pintar Principal solo por tipoRelacion.</w:t>
      </w:r>
    </w:p>
    <w:p/>
    <w:p>
      <w:pPr>
        <w:pStyle w:val="Heading1"/>
      </w:pPr>
      <w:r>
        <w:t>7. Caja Chica: estructura UX corregida</w:t>
      </w:r>
    </w:p>
    <w:p>
      <w:r>
        <w:t>Caja Chica no debe agruparse por factura.</w:t>
      </w:r>
    </w:p>
    <w:p>
      <w:r>
        <w:t xml:space="preserve">La unidad de trabajo no es el Grupo de Factura. La unidad de trabajo es la </w:t>
      </w:r>
      <w:r>
        <w:rPr>
          <w:b/>
        </w:rPr>
        <w:t>Rendición</w:t>
      </w:r>
      <w:r>
        <w:t xml:space="preserve"> asociada a un </w:t>
      </w:r>
      <w:r>
        <w:rPr>
          <w:b/>
        </w:rPr>
        <w:t>Requerimiento de Fondo</w:t>
      </w:r>
      <w:r>
        <w:t>.</w:t>
      </w:r>
    </w:p>
    <w:p>
      <w:r>
        <w:t>Estructura UX: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Contexto Operativo</w:t>
        <w:br/>
        <w:t xml:space="preserve">  -&gt; Requerimiento de Fondo</w:t>
        <w:br/>
        <w:t xml:space="preserve">      -&gt; Rendición</w:t>
        <w:br/>
        <w:t xml:space="preserve">          -&gt; Sustentos</w:t>
        <w:br/>
        <w:t xml:space="preserve">              -&gt; Regularizaciones</w:t>
        <w:br/>
        <w:t xml:space="preserve">                  -&gt; Revisión contable</w:t>
      </w:r>
    </w:p>
    <w:p>
      <w:pPr>
        <w:pStyle w:val="Heading2"/>
      </w:pPr>
      <w:r>
        <w:t>7.1 Ejemplo visual esperado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Rendición RF-0001</w:t>
        <w:br/>
        <w:br/>
        <w:t>Monto entregado: S/ 1,000.00</w:t>
        <w:br/>
        <w:t>Monto rendido:   S/   850.00</w:t>
        <w:br/>
        <w:t>Pendiente:       S/   150.00</w:t>
        <w:br/>
        <w:t>Transferencia:   Pendiente de regularización</w:t>
        <w:br/>
        <w:br/>
        <w:t>Sustentos:</w:t>
        <w:br/>
        <w:t>- Factura F001-123</w:t>
        <w:br/>
        <w:t>- Boleta B001-88</w:t>
        <w:br/>
        <w:t>- Recibo caja chica RC-15</w:t>
        <w:br/>
        <w:t>- Recibo por honorarios E001-555</w:t>
        <w:br/>
        <w:t>- Movilidad</w:t>
      </w:r>
    </w:p>
    <w:p>
      <w:r>
        <w:t>Esto debe comunicar que existen muchos sustentos, no una jerarquía de factura.</w:t>
      </w:r>
    </w:p>
    <w:p>
      <w:pPr>
        <w:pStyle w:val="Heading2"/>
      </w:pPr>
      <w:r>
        <w:t>7.2 Sustentos de Caja Chica</w:t>
      </w:r>
    </w:p>
    <w:p>
      <w:r>
        <w:t>Los sustentos pueden ser:</w:t>
      </w:r>
    </w:p>
    <w:p>
      <w:pPr>
        <w:pStyle w:val="ListBullet"/>
      </w:pPr>
      <w:r>
        <w:t>Factura.</w:t>
      </w:r>
    </w:p>
    <w:p>
      <w:pPr>
        <w:pStyle w:val="ListBullet"/>
      </w:pPr>
      <w:r>
        <w:t>Boleta.</w:t>
      </w:r>
    </w:p>
    <w:p>
      <w:pPr>
        <w:pStyle w:val="ListBullet"/>
      </w:pPr>
      <w:r>
        <w:t>Recibo de caja chica.</w:t>
      </w:r>
    </w:p>
    <w:p>
      <w:pPr>
        <w:pStyle w:val="ListBullet"/>
      </w:pPr>
      <w:r>
        <w:t>Recibo por honorarios.</w:t>
      </w:r>
    </w:p>
    <w:p>
      <w:pPr>
        <w:pStyle w:val="ListBullet"/>
      </w:pPr>
      <w:r>
        <w:t>Movilidad.</w:t>
      </w:r>
    </w:p>
    <w:p>
      <w:pPr>
        <w:pStyle w:val="ListBullet"/>
      </w:pPr>
      <w:r>
        <w:t>Declaración simple, si negocio lo permite.</w:t>
      </w:r>
    </w:p>
    <w:p>
      <w:pPr>
        <w:pStyle w:val="ListBullet"/>
      </w:pPr>
      <w:r>
        <w:t>Otros documentos de sustento.</w:t>
      </w:r>
    </w:p>
    <w:p>
      <w:r>
        <w:t>La factura en Caja Chica es un sustento más. No gobierna la navegación.</w:t>
      </w:r>
    </w:p>
    <w:p>
      <w:pPr>
        <w:pStyle w:val="Heading2"/>
      </w:pPr>
      <w:r>
        <w:t>7.3 Transferencia pendiente</w:t>
      </w:r>
    </w:p>
    <w:p>
      <w:r>
        <w:t>La transferencia bancaria puede no existir al inicio.</w:t>
      </w:r>
    </w:p>
    <w:p>
      <w:r>
        <w:t>La UI debe permitir continuar.</w:t>
      </w:r>
    </w:p>
    <w:p>
      <w:r>
        <w:t>Debe mostrarse estado: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Pendiente de regularización</w:t>
      </w:r>
    </w:p>
    <w:p>
      <w:r>
        <w:t>Posteriormente el usuario podrá adjuntar la transferencia sin romper la rendición.</w:t>
      </w:r>
    </w:p>
    <w:p>
      <w:r>
        <w:t>Regla UX:</w:t>
      </w:r>
    </w:p>
    <w:p>
      <w:pPr>
        <w:ind w:left="360"/>
      </w:pPr>
      <w:r>
        <w:rPr>
          <w:b/>
          <w:i/>
        </w:rPr>
        <w:t>La falta de transferencia no debe bloquear la rendición si el negocio permite regularización posterior.</w:t>
      </w:r>
    </w:p>
    <w:p/>
    <w:p>
      <w:pPr>
        <w:pStyle w:val="Heading1"/>
      </w:pPr>
      <w:r>
        <w:t>8. Rendición de Requerimientos</w:t>
      </w:r>
    </w:p>
    <w:p>
      <w:r>
        <w:t>Rendición de Requerimientos seguirá una lógica parecida a Caja Chica.</w:t>
      </w:r>
    </w:p>
    <w:p>
      <w:r>
        <w:t>No debe copiar la jerarquía de Compras.</w:t>
      </w:r>
    </w:p>
    <w:p>
      <w:r>
        <w:t>Estructura UX: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Contexto Operativo</w:t>
        <w:br/>
        <w:t xml:space="preserve">  -&gt; Documento Inicial de Rendición</w:t>
        <w:br/>
        <w:t xml:space="preserve">      -&gt; Documentos rendidos / sustentos</w:t>
        <w:br/>
        <w:t xml:space="preserve">          -&gt; Regularizaciones</w:t>
        <w:br/>
        <w:t xml:space="preserve">              -&gt; Revisión contable</w:t>
      </w:r>
    </w:p>
    <w:p>
      <w:pPr>
        <w:pStyle w:val="Heading2"/>
      </w:pPr>
      <w:r>
        <w:t>8.1 Documento inicial</w:t>
      </w:r>
    </w:p>
    <w:p>
      <w:r>
        <w:t>Puede representar:</w:t>
      </w:r>
    </w:p>
    <w:p>
      <w:pPr>
        <w:pStyle w:val="ListBullet"/>
      </w:pPr>
      <w:r>
        <w:t>Requerimiento aprobado.</w:t>
      </w:r>
    </w:p>
    <w:p>
      <w:pPr>
        <w:pStyle w:val="ListBullet"/>
      </w:pPr>
      <w:r>
        <w:t>Solicitud de gasto.</w:t>
      </w:r>
    </w:p>
    <w:p>
      <w:pPr>
        <w:pStyle w:val="ListBullet"/>
      </w:pPr>
      <w:r>
        <w:t>Orden interna.</w:t>
      </w:r>
    </w:p>
    <w:p>
      <w:pPr>
        <w:pStyle w:val="ListBullet"/>
      </w:pPr>
      <w:r>
        <w:t>Documento de apertura de rendición.</w:t>
      </w:r>
    </w:p>
    <w:p>
      <w:pPr>
        <w:pStyle w:val="Heading2"/>
      </w:pPr>
      <w:r>
        <w:t>8.2 Documentos rendidos</w:t>
      </w:r>
    </w:p>
    <w:p>
      <w:r>
        <w:t>Pueden incluir:</w:t>
      </w:r>
    </w:p>
    <w:p>
      <w:pPr>
        <w:pStyle w:val="ListBullet"/>
      </w:pPr>
      <w:r>
        <w:t>Facturas.</w:t>
      </w:r>
    </w:p>
    <w:p>
      <w:pPr>
        <w:pStyle w:val="ListBullet"/>
      </w:pPr>
      <w:r>
        <w:t>Boletas.</w:t>
      </w:r>
    </w:p>
    <w:p>
      <w:pPr>
        <w:pStyle w:val="ListBullet"/>
      </w:pPr>
      <w:r>
        <w:t>Recibos.</w:t>
      </w:r>
    </w:p>
    <w:p>
      <w:pPr>
        <w:pStyle w:val="ListBullet"/>
      </w:pPr>
      <w:r>
        <w:t>Movilidad.</w:t>
      </w:r>
    </w:p>
    <w:p>
      <w:pPr>
        <w:pStyle w:val="ListBullet"/>
      </w:pPr>
      <w:r>
        <w:t>Evidencias.</w:t>
      </w:r>
    </w:p>
    <w:p>
      <w:pPr>
        <w:pStyle w:val="ListBullet"/>
      </w:pPr>
      <w:r>
        <w:t>Transferencias posteriores.</w:t>
      </w:r>
    </w:p>
    <w:p>
      <w:pPr>
        <w:pStyle w:val="ListBullet"/>
      </w:pPr>
      <w:r>
        <w:t>Otros sustentos.</w:t>
      </w:r>
    </w:p>
    <w:p>
      <w:r>
        <w:t>La UI debe mostrar montos y avance de rendición: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Monto solicitado</w:t>
        <w:br/>
        <w:t>Monto rendido</w:t>
        <w:br/>
        <w:t>Monto pendiente</w:t>
        <w:br/>
        <w:t>Estado de regularización</w:t>
      </w:r>
    </w:p>
    <w:p/>
    <w:p>
      <w:pPr>
        <w:pStyle w:val="Heading1"/>
      </w:pPr>
      <w:r>
        <w:t>9. Un solo Workspace, distintas estructuras</w:t>
      </w:r>
    </w:p>
    <w:p>
      <w:r>
        <w:t>El usuario no debe percibir tres motores distintos.</w:t>
      </w:r>
    </w:p>
    <w:p>
      <w:r>
        <w:t>Debe percibir: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Un solo Workspace Documental.</w:t>
        <w:br/>
        <w:t>Distintos documentos de apertura.</w:t>
        <w:br/>
        <w:t>Distintas estructuras internas.</w:t>
        <w:br/>
        <w:t>Un mismo cierre hacia Revisión Contable.</w:t>
      </w:r>
    </w:p>
    <w:p>
      <w:r>
        <w:t>Comparación: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fill="E7EEF8"/>
          </w:tcPr>
          <w:p>
            <w:r/>
            <w:r>
              <w:rPr>
                <w:rFonts w:ascii="Arial" w:hAnsi="Arial"/>
                <w:b/>
                <w:sz w:val="18"/>
              </w:rPr>
              <w:t>Módulo</w:t>
            </w:r>
          </w:p>
        </w:tc>
        <w:tc>
          <w:tcPr>
            <w:tcW w:type="dxa" w:w="1987"/>
            <w:vAlign w:val="center"/>
            <w:shd w:fill="E7EEF8"/>
          </w:tcPr>
          <w:p>
            <w:r/>
            <w:r>
              <w:rPr>
                <w:rFonts w:ascii="Arial" w:hAnsi="Arial"/>
                <w:b/>
                <w:sz w:val="18"/>
              </w:rPr>
              <w:t>Documento de apertura</w:t>
            </w:r>
          </w:p>
        </w:tc>
        <w:tc>
          <w:tcPr>
            <w:tcW w:type="dxa" w:w="1987"/>
            <w:vAlign w:val="center"/>
            <w:shd w:fill="E7EEF8"/>
          </w:tcPr>
          <w:p>
            <w:r/>
            <w:r>
              <w:rPr>
                <w:rFonts w:ascii="Arial" w:hAnsi="Arial"/>
                <w:b/>
                <w:sz w:val="18"/>
              </w:rPr>
              <w:t>Unidad de trabajo</w:t>
            </w:r>
          </w:p>
        </w:tc>
        <w:tc>
          <w:tcPr>
            <w:tcW w:type="dxa" w:w="1987"/>
            <w:vAlign w:val="center"/>
            <w:shd w:fill="E7EEF8"/>
          </w:tcPr>
          <w:p>
            <w:r/>
            <w:r>
              <w:rPr>
                <w:rFonts w:ascii="Arial" w:hAnsi="Arial"/>
                <w:b/>
                <w:sz w:val="18"/>
              </w:rPr>
              <w:t>Documentos posteriores</w:t>
            </w:r>
          </w:p>
        </w:tc>
        <w:tc>
          <w:tcPr>
            <w:tcW w:type="dxa" w:w="1987"/>
            <w:vAlign w:val="center"/>
            <w:shd w:fill="E7EEF8"/>
          </w:tcPr>
          <w:p>
            <w:r/>
            <w:r>
              <w:rPr>
                <w:rFonts w:ascii="Arial" w:hAnsi="Arial"/>
                <w:b/>
                <w:sz w:val="18"/>
              </w:rPr>
              <w:t>Cierre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Compras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OC / OS / Requerimiento de Compra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Grupo de Factura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Guía, NI, pagos, detracciones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Revisión contable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Caja Chica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Requerimiento de Fondo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Rendición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Sustentos y regularizaciones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Revisión contable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Rendiciones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 inicial de rendición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Rendición / lote rendido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Sustentos y regularizaciones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Revisión contable</w:t>
            </w:r>
          </w:p>
        </w:tc>
      </w:tr>
    </w:tbl>
    <w:p/>
    <w:p/>
    <w:p>
      <w:pPr>
        <w:pStyle w:val="Heading1"/>
      </w:pPr>
      <w:r>
        <w:t>10. Navegación común hacia Contabilidad</w:t>
      </w:r>
    </w:p>
    <w:p>
      <w:r>
        <w:t>Todo flujo debe converger en Revisión Contable.</w:t>
      </w:r>
    </w:p>
    <w:p>
      <w:r>
        <w:t>Pero la unidad revisada cambia por módulo.</w:t>
      </w:r>
    </w:p>
    <w:p>
      <w:pPr>
        <w:pStyle w:val="Heading2"/>
      </w:pPr>
      <w:r>
        <w:t>10.1 Contabilidad en Compras</w:t>
      </w:r>
    </w:p>
    <w:p>
      <w:r>
        <w:t>Unidad de trabajo: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Grupo de Factura</w:t>
      </w:r>
    </w:p>
    <w:p>
      <w:r>
        <w:t>Contabilidad valida:</w:t>
      </w:r>
    </w:p>
    <w:p>
      <w:pPr>
        <w:pStyle w:val="ListBullet"/>
      </w:pPr>
      <w:r>
        <w:t>Factura.</w:t>
      </w:r>
    </w:p>
    <w:p>
      <w:pPr>
        <w:pStyle w:val="ListBullet"/>
      </w:pPr>
      <w:r>
        <w:t>Guía.</w:t>
      </w:r>
    </w:p>
    <w:p>
      <w:pPr>
        <w:pStyle w:val="ListBullet"/>
      </w:pPr>
      <w:r>
        <w:t>Nota de ingreso.</w:t>
      </w:r>
    </w:p>
    <w:p>
      <w:pPr>
        <w:pStyle w:val="ListBullet"/>
      </w:pPr>
      <w:r>
        <w:t>Transferencia.</w:t>
      </w:r>
    </w:p>
    <w:p>
      <w:pPr>
        <w:pStyle w:val="ListBullet"/>
      </w:pPr>
      <w:r>
        <w:t>Detracción.</w:t>
      </w:r>
    </w:p>
    <w:p>
      <w:pPr>
        <w:pStyle w:val="ListBullet"/>
      </w:pPr>
      <w:r>
        <w:t>OCR.</w:t>
      </w:r>
    </w:p>
    <w:p>
      <w:pPr>
        <w:pStyle w:val="ListBullet"/>
      </w:pPr>
      <w:r>
        <w:t>Consistencia documental.</w:t>
      </w:r>
    </w:p>
    <w:p>
      <w:pPr>
        <w:pStyle w:val="Heading2"/>
      </w:pPr>
      <w:r>
        <w:t>10.2 Contabilidad en Caja Chica</w:t>
      </w:r>
    </w:p>
    <w:p>
      <w:r>
        <w:t>Unidad de trabajo: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Rendición</w:t>
      </w:r>
    </w:p>
    <w:p>
      <w:r>
        <w:t>Contabilidad valida:</w:t>
      </w:r>
    </w:p>
    <w:p>
      <w:pPr>
        <w:pStyle w:val="ListBullet"/>
      </w:pPr>
      <w:r>
        <w:t>Monto entregado.</w:t>
      </w:r>
    </w:p>
    <w:p>
      <w:pPr>
        <w:pStyle w:val="ListBullet"/>
      </w:pPr>
      <w:r>
        <w:t>Monto rendido.</w:t>
      </w:r>
    </w:p>
    <w:p>
      <w:pPr>
        <w:pStyle w:val="ListBullet"/>
      </w:pPr>
      <w:r>
        <w:t>Monto pendiente.</w:t>
      </w:r>
    </w:p>
    <w:p>
      <w:pPr>
        <w:pStyle w:val="ListBullet"/>
      </w:pPr>
      <w:r>
        <w:t>Sustentos.</w:t>
      </w:r>
    </w:p>
    <w:p>
      <w:pPr>
        <w:pStyle w:val="ListBullet"/>
      </w:pPr>
      <w:r>
        <w:t>Transferencia, si existe.</w:t>
      </w:r>
    </w:p>
    <w:p>
      <w:pPr>
        <w:pStyle w:val="ListBullet"/>
      </w:pPr>
      <w:r>
        <w:t>Regularizaciones pendientes.</w:t>
      </w:r>
    </w:p>
    <w:p>
      <w:pPr>
        <w:pStyle w:val="ListBullet"/>
      </w:pPr>
      <w:r>
        <w:t>Observaciones.</w:t>
      </w:r>
    </w:p>
    <w:p>
      <w:pPr>
        <w:pStyle w:val="Heading2"/>
      </w:pPr>
      <w:r>
        <w:t>10.3 Contabilidad en Rendiciones</w:t>
      </w:r>
    </w:p>
    <w:p>
      <w:r>
        <w:t>Unidad de trabajo: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Rendición / lote de sustentos</w:t>
      </w:r>
    </w:p>
    <w:p>
      <w:r>
        <w:t>Contabilidad valida:</w:t>
      </w:r>
    </w:p>
    <w:p>
      <w:pPr>
        <w:pStyle w:val="ListBullet"/>
      </w:pPr>
      <w:r>
        <w:t>Documento inicial.</w:t>
      </w:r>
    </w:p>
    <w:p>
      <w:pPr>
        <w:pStyle w:val="ListBullet"/>
      </w:pPr>
      <w:r>
        <w:t>Sustentos cargados.</w:t>
      </w:r>
    </w:p>
    <w:p>
      <w:pPr>
        <w:pStyle w:val="ListBullet"/>
      </w:pPr>
      <w:r>
        <w:t>Regularizaciones.</w:t>
      </w:r>
    </w:p>
    <w:p>
      <w:pPr>
        <w:pStyle w:val="ListBullet"/>
      </w:pPr>
      <w:r>
        <w:t>Montos.</w:t>
      </w:r>
    </w:p>
    <w:p>
      <w:pPr>
        <w:pStyle w:val="ListBullet"/>
      </w:pPr>
      <w:r>
        <w:t>Estados.</w:t>
      </w:r>
    </w:p>
    <w:p/>
    <w:p>
      <w:pPr>
        <w:pStyle w:val="Heading1"/>
      </w:pPr>
      <w:r>
        <w:t>11. Legacy</w:t>
      </w:r>
    </w:p>
    <w:p>
      <w:r>
        <w:t>Principio oficial:</w:t>
      </w:r>
    </w:p>
    <w:p>
      <w:pPr>
        <w:ind w:left="360"/>
      </w:pPr>
      <w:r>
        <w:rPr>
          <w:b/>
          <w:i/>
        </w:rPr>
        <w:t>**El histórico se consulta. El Modelo V2 gobierna.**</w:t>
      </w:r>
    </w:p>
    <w:p>
      <w:r>
        <w:t>El legacy no debe condicionar la UX operativa V2.</w:t>
      </w:r>
    </w:p>
    <w:p>
      <w:r>
        <w:t>Debe existir diferenciación visual clara: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OPERATIVO V2</w:t>
        <w:br/>
        <w:t>HISTÓRICO</w:t>
      </w:r>
    </w:p>
    <w:p>
      <w:r>
        <w:t>Los documentos históricos pueden consultarse, pero no deben mezclarse con la operación activa del Workspace Documental V2.</w:t>
      </w:r>
    </w:p>
    <w:p/>
    <w:p>
      <w:pPr>
        <w:pStyle w:val="Heading1"/>
      </w:pPr>
      <w:r>
        <w:t>12. Relación con otros sistemas frontend</w:t>
      </w:r>
    </w:p>
    <w:p>
      <w:r>
        <w:t>Caja Chica y Rendición de Requerimientos podrán ser sistemas frontend distintos, con sus propias tablas operativas.</w:t>
      </w:r>
    </w:p>
    <w:p>
      <w:r>
        <w:t>Sin embargo, deben compartir el `schema documentos` para trazabilidad documental.</w:t>
      </w:r>
    </w:p>
    <w:p>
      <w:r>
        <w:t>Regla de arquitectura UX:</w:t>
      </w:r>
    </w:p>
    <w:p>
      <w:pPr>
        <w:ind w:left="360"/>
      </w:pPr>
      <w:r>
        <w:rPr>
          <w:b/>
          <w:i/>
        </w:rPr>
        <w:t>Caja Chica y Rendiciones no deben forzarse a parecer Compras, pero sí deben sentirse parte del mismo Workspace Documental ERP.</w:t>
      </w:r>
    </w:p>
    <w:p>
      <w:r>
        <w:t>Esto permite:</w:t>
      </w:r>
    </w:p>
    <w:p>
      <w:pPr>
        <w:pStyle w:val="ListBullet"/>
      </w:pPr>
      <w:r>
        <w:t>Propias tablas operativas por módulo.</w:t>
      </w:r>
    </w:p>
    <w:p>
      <w:pPr>
        <w:pStyle w:val="ListBullet"/>
      </w:pPr>
      <w:r>
        <w:t>Misma trazabilidad documental.</w:t>
      </w:r>
    </w:p>
    <w:p>
      <w:pPr>
        <w:pStyle w:val="ListBullet"/>
      </w:pPr>
      <w:r>
        <w:t>Mismo cierre hacia Contabilidad.</w:t>
      </w:r>
    </w:p>
    <w:p>
      <w:pPr>
        <w:pStyle w:val="ListBullet"/>
      </w:pPr>
      <w:r>
        <w:t>Mismo principio de documentos, sustentos, regularizaciones y estados.</w:t>
      </w:r>
    </w:p>
    <w:p/>
    <w:p>
      <w:pPr>
        <w:pStyle w:val="Heading1"/>
      </w:pPr>
      <w:r>
        <w:t>13. Búsqueda y filtros</w:t>
      </w:r>
    </w:p>
    <w:p>
      <w:r>
        <w:t>La búsqueda debe adaptarse al módulo.</w:t>
      </w:r>
    </w:p>
    <w:p>
      <w:pPr>
        <w:pStyle w:val="Heading2"/>
      </w:pPr>
      <w:r>
        <w:t>Compras</w:t>
      </w:r>
    </w:p>
    <w:p>
      <w:r>
        <w:t>Filtros sugeridos:</w:t>
      </w:r>
    </w:p>
    <w:p>
      <w:pPr>
        <w:pStyle w:val="ListBullet"/>
      </w:pPr>
      <w:r>
        <w:t>Contexto operativo.</w:t>
      </w:r>
    </w:p>
    <w:p>
      <w:pPr>
        <w:pStyle w:val="ListBullet"/>
      </w:pPr>
      <w:r>
        <w:t>Documento operativo principal.</w:t>
      </w:r>
    </w:p>
    <w:p>
      <w:pPr>
        <w:pStyle w:val="ListBullet"/>
      </w:pPr>
      <w:r>
        <w:t>Grupo de factura.</w:t>
      </w:r>
    </w:p>
    <w:p>
      <w:pPr>
        <w:pStyle w:val="ListBullet"/>
      </w:pPr>
      <w:r>
        <w:t>Proveedor.</w:t>
      </w:r>
    </w:p>
    <w:p>
      <w:pPr>
        <w:pStyle w:val="ListBullet"/>
      </w:pPr>
      <w:r>
        <w:t>Fecha emisión factura.</w:t>
      </w:r>
    </w:p>
    <w:p>
      <w:pPr>
        <w:pStyle w:val="ListBullet"/>
      </w:pPr>
      <w:r>
        <w:t>Estado contable.</w:t>
      </w:r>
    </w:p>
    <w:p>
      <w:pPr>
        <w:pStyle w:val="ListBullet"/>
      </w:pPr>
      <w:r>
        <w:t>OCR.</w:t>
      </w:r>
    </w:p>
    <w:p>
      <w:pPr>
        <w:pStyle w:val="Heading2"/>
      </w:pPr>
      <w:r>
        <w:t>Caja Chica</w:t>
      </w:r>
    </w:p>
    <w:p>
      <w:r>
        <w:t>Filtros sugeridos:</w:t>
      </w:r>
    </w:p>
    <w:p>
      <w:pPr>
        <w:pStyle w:val="ListBullet"/>
      </w:pPr>
      <w:r>
        <w:t>Requerimiento de Fondo.</w:t>
      </w:r>
    </w:p>
    <w:p>
      <w:pPr>
        <w:pStyle w:val="ListBullet"/>
      </w:pPr>
      <w:r>
        <w:t>Responsable.</w:t>
      </w:r>
    </w:p>
    <w:p>
      <w:pPr>
        <w:pStyle w:val="ListBullet"/>
      </w:pPr>
      <w:r>
        <w:t>Estado de rendición.</w:t>
      </w:r>
    </w:p>
    <w:p>
      <w:pPr>
        <w:pStyle w:val="ListBullet"/>
      </w:pPr>
      <w:r>
        <w:t>Pendiente de regularización.</w:t>
      </w:r>
    </w:p>
    <w:p>
      <w:pPr>
        <w:pStyle w:val="ListBullet"/>
      </w:pPr>
      <w:r>
        <w:t>Monto pendiente.</w:t>
      </w:r>
    </w:p>
    <w:p>
      <w:pPr>
        <w:pStyle w:val="ListBullet"/>
      </w:pPr>
      <w:r>
        <w:t>Fecha de entrega.</w:t>
      </w:r>
    </w:p>
    <w:p>
      <w:pPr>
        <w:pStyle w:val="ListBullet"/>
      </w:pPr>
      <w:r>
        <w:t>Fecha de rendición.</w:t>
      </w:r>
    </w:p>
    <w:p>
      <w:pPr>
        <w:pStyle w:val="Heading2"/>
      </w:pPr>
      <w:r>
        <w:t>Rendiciones</w:t>
      </w:r>
    </w:p>
    <w:p>
      <w:r>
        <w:t>Filtros sugeridos:</w:t>
      </w:r>
    </w:p>
    <w:p>
      <w:pPr>
        <w:pStyle w:val="ListBullet"/>
      </w:pPr>
      <w:r>
        <w:t>Documento inicial.</w:t>
      </w:r>
    </w:p>
    <w:p>
      <w:pPr>
        <w:pStyle w:val="ListBullet"/>
      </w:pPr>
      <w:r>
        <w:t>Responsable.</w:t>
      </w:r>
    </w:p>
    <w:p>
      <w:pPr>
        <w:pStyle w:val="ListBullet"/>
      </w:pPr>
      <w:r>
        <w:t>Estado.</w:t>
      </w:r>
    </w:p>
    <w:p>
      <w:pPr>
        <w:pStyle w:val="ListBullet"/>
      </w:pPr>
      <w:r>
        <w:t>Monto rendido.</w:t>
      </w:r>
    </w:p>
    <w:p>
      <w:pPr>
        <w:pStyle w:val="ListBullet"/>
      </w:pPr>
      <w:r>
        <w:t>Pendiente de regularización.</w:t>
      </w:r>
    </w:p>
    <w:p>
      <w:pPr>
        <w:pStyle w:val="ListBullet"/>
      </w:pPr>
      <w:r>
        <w:t>Fecha.</w:t>
      </w:r>
    </w:p>
    <w:p/>
    <w:p>
      <w:pPr>
        <w:pStyle w:val="Heading1"/>
      </w:pPr>
      <w:r>
        <w:t>14. Acciones comunes</w:t>
      </w:r>
    </w:p>
    <w:p>
      <w:r>
        <w:t>Acciones comunes del Workspace:</w:t>
      </w:r>
    </w:p>
    <w:p>
      <w:pPr>
        <w:pStyle w:val="ListBullet"/>
      </w:pPr>
      <w:r>
        <w:t>Abrir contexto.</w:t>
      </w:r>
    </w:p>
    <w:p>
      <w:pPr>
        <w:pStyle w:val="ListBullet"/>
      </w:pPr>
      <w:r>
        <w:t>Ver documento de apertura.</w:t>
      </w:r>
    </w:p>
    <w:p>
      <w:pPr>
        <w:pStyle w:val="ListBullet"/>
      </w:pPr>
      <w:r>
        <w:t>Adjuntar documento.</w:t>
      </w:r>
    </w:p>
    <w:p>
      <w:pPr>
        <w:pStyle w:val="ListBullet"/>
      </w:pPr>
      <w:r>
        <w:t>Ver sustentos.</w:t>
      </w:r>
    </w:p>
    <w:p>
      <w:pPr>
        <w:pStyle w:val="ListBullet"/>
      </w:pPr>
      <w:r>
        <w:t>Regularizar documento pendiente.</w:t>
      </w:r>
    </w:p>
    <w:p>
      <w:pPr>
        <w:pStyle w:val="ListBullet"/>
      </w:pPr>
      <w:r>
        <w:t>Enviar a revisión contable.</w:t>
      </w:r>
    </w:p>
    <w:p>
      <w:pPr>
        <w:pStyle w:val="ListBullet"/>
      </w:pPr>
      <w:r>
        <w:t>Observar.</w:t>
      </w:r>
    </w:p>
    <w:p>
      <w:pPr>
        <w:pStyle w:val="ListBullet"/>
      </w:pPr>
      <w:r>
        <w:t>Validar.</w:t>
      </w:r>
    </w:p>
    <w:p>
      <w:pPr>
        <w:pStyle w:val="ListBullet"/>
      </w:pPr>
      <w:r>
        <w:t>Cerrar.</w:t>
      </w:r>
    </w:p>
    <w:p>
      <w:r>
        <w:t>Acciones específicas por módulo:</w:t>
      </w:r>
    </w:p>
    <w:p>
      <w:pPr>
        <w:pStyle w:val="Heading2"/>
      </w:pPr>
      <w:r>
        <w:t>Compras</w:t>
      </w:r>
    </w:p>
    <w:p>
      <w:pPr>
        <w:pStyle w:val="ListBullet"/>
      </w:pPr>
      <w:r>
        <w:t>Agregar grupo de factura.</w:t>
      </w:r>
    </w:p>
    <w:p>
      <w:pPr>
        <w:pStyle w:val="ListBullet"/>
      </w:pPr>
      <w:r>
        <w:t>Abrir grupo de factura.</w:t>
      </w:r>
    </w:p>
    <w:p>
      <w:pPr>
        <w:pStyle w:val="ListBullet"/>
      </w:pPr>
      <w:r>
        <w:t>Adjuntar guía.</w:t>
      </w:r>
    </w:p>
    <w:p>
      <w:pPr>
        <w:pStyle w:val="ListBullet"/>
      </w:pPr>
      <w:r>
        <w:t>Adjuntar nota de ingreso.</w:t>
      </w:r>
    </w:p>
    <w:p>
      <w:pPr>
        <w:pStyle w:val="ListBullet"/>
      </w:pPr>
      <w:r>
        <w:t>Adjuntar transferencia.</w:t>
      </w:r>
    </w:p>
    <w:p>
      <w:pPr>
        <w:pStyle w:val="ListBullet"/>
      </w:pPr>
      <w:r>
        <w:t>Adjuntar detracción.</w:t>
      </w:r>
    </w:p>
    <w:p>
      <w:pPr>
        <w:pStyle w:val="Heading2"/>
      </w:pPr>
      <w:r>
        <w:t>Caja Chica</w:t>
      </w:r>
    </w:p>
    <w:p>
      <w:pPr>
        <w:pStyle w:val="ListBullet"/>
      </w:pPr>
      <w:r>
        <w:t>Registrar monto entregado.</w:t>
      </w:r>
    </w:p>
    <w:p>
      <w:pPr>
        <w:pStyle w:val="ListBullet"/>
      </w:pPr>
      <w:r>
        <w:t>Registrar sustento.</w:t>
      </w:r>
    </w:p>
    <w:p>
      <w:pPr>
        <w:pStyle w:val="ListBullet"/>
      </w:pPr>
      <w:r>
        <w:t>Marcar pendiente de regularización.</w:t>
      </w:r>
    </w:p>
    <w:p>
      <w:pPr>
        <w:pStyle w:val="ListBullet"/>
      </w:pPr>
      <w:r>
        <w:t>Adjuntar transferencia posterior.</w:t>
      </w:r>
    </w:p>
    <w:p>
      <w:pPr>
        <w:pStyle w:val="ListBullet"/>
      </w:pPr>
      <w:r>
        <w:t>Cerrar rendición.</w:t>
      </w:r>
    </w:p>
    <w:p>
      <w:pPr>
        <w:pStyle w:val="Heading2"/>
      </w:pPr>
      <w:r>
        <w:t>Rendiciones</w:t>
      </w:r>
    </w:p>
    <w:p>
      <w:pPr>
        <w:pStyle w:val="ListBullet"/>
      </w:pPr>
      <w:r>
        <w:t>Registrar documento inicial.</w:t>
      </w:r>
    </w:p>
    <w:p>
      <w:pPr>
        <w:pStyle w:val="ListBullet"/>
      </w:pPr>
      <w:r>
        <w:t>Agregar documento rendido.</w:t>
      </w:r>
    </w:p>
    <w:p>
      <w:pPr>
        <w:pStyle w:val="ListBullet"/>
      </w:pPr>
      <w:r>
        <w:t>Regularizar sustento.</w:t>
      </w:r>
    </w:p>
    <w:p>
      <w:pPr>
        <w:pStyle w:val="ListBullet"/>
      </w:pPr>
      <w:r>
        <w:t>Cerrar rendición.</w:t>
      </w:r>
    </w:p>
    <w:p/>
    <w:p>
      <w:pPr>
        <w:pStyle w:val="Heading1"/>
      </w:pPr>
      <w:r>
        <w:t>15. Conclusión</w:t>
      </w:r>
    </w:p>
    <w:p>
      <w:r>
        <w:t>El Workspace Documental V2 ERP debe ser único en experiencia, pero flexible en estructura.</w:t>
      </w:r>
    </w:p>
    <w:p>
      <w:r>
        <w:t>No todos los módulos se organizan por Factura.</w:t>
      </w:r>
    </w:p>
    <w:p>
      <w:r>
        <w:t>La regla final es:</w:t>
      </w:r>
    </w:p>
    <w:p>
      <w:pPr>
        <w:spacing w:before="60" w:after="120"/>
        <w:ind w:left="288"/>
      </w:pPr>
      <w:r>
        <w:rPr>
          <w:rFonts w:ascii="Courier New" w:hAnsi="Courier New"/>
          <w:sz w:val="18"/>
        </w:rPr>
        <w:t>Compras se organiza por Documento Operativo Principal y Grupos de Factura.</w:t>
        <w:br/>
        <w:t>Caja Chica se organiza por Requerimiento de Fondo y Rendición.</w:t>
        <w:br/>
        <w:t>Rendiciones se organizan por Documento Inicial y Sustentos.</w:t>
        <w:br/>
        <w:t>Todos convergen en Revisión Contable.</w:t>
      </w:r>
    </w:p>
    <w:p>
      <w:r>
        <w:t>Esta especificación debe servir como base funcional para futuros sprints de React, backend e integración con sistemas ERP.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Documental Platform · Workspace Documental V2 ERP · Maestro Sucesor II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Workspace Documental V2 ERP</dc:title>
  <dc:subject>Especificación funcional UX</dc:subject>
  <dc:creator>Maestro Sucesor II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