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4"/>
        </w:rPr>
        <w:t>Evidencia Técnica</w:t>
      </w:r>
    </w:p>
    <w:p>
      <w:pPr>
        <w:jc w:val="center"/>
      </w:pPr>
      <w:r>
        <w:rPr>
          <w:color w:val="4B5563"/>
          <w:sz w:val="20"/>
        </w:rPr>
        <w:t>Sprint 1.3D - Integración de eventos documentales básicos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Documental Platform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Demo/local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Expediente de prueba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Expediente 41 / Código 050201 / Empresa BBTI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2026-07-06</w:t>
            </w:r>
          </w:p>
        </w:tc>
      </w:tr>
    </w:tbl>
    <w:p/>
    <w:p>
      <w:r>
        <w:rPr>
          <w:b/>
          <w:color w:val="1D4ED8"/>
          <w:sz w:val="26"/>
        </w:rPr>
        <w:t>Servicios y flujo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OCR Worker host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python -m app.main conectado a NATS.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NATS request/reply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Subject: ocr.procesar-archivo.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Evento clasificado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Subject observado: documento.clasificado.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R2 storage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Preview URL firmado funcionando con expiresIn=300.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ms-documentos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Procesamiento OCR y confirmación con expediente.</w:t>
            </w:r>
          </w:p>
        </w:tc>
      </w:tr>
    </w:tbl>
    <w:p/>
    <w:p>
      <w:r>
        <w:rPr>
          <w:b/>
          <w:color w:val="1D4ED8"/>
          <w:sz w:val="26"/>
        </w:rPr>
        <w:t>Conteo final de 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Evento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Observación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archivo.subido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2+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Validado en eventos documentales.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documento.creado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2+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Validado en eventos documentales.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ocr.procesado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1+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Validado para archivo/documento procesado.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ocr.confirmado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1+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Validado en confirmación con expediente.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ocr.rechazado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Validado durante pruebas de rechazo.</w:t>
            </w:r>
          </w:p>
        </w:tc>
      </w:tr>
    </w:tbl>
    <w:p/>
    <w:p>
      <w:r>
        <w:rPr>
          <w:b/>
          <w:color w:val="1D4ED8"/>
          <w:sz w:val="26"/>
        </w:rPr>
        <w:t>Expediente 41: documentos validados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Tipo documental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Relación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principal_oc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Documento 7 / Archivo 5 / BBTI|OC|007950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FACTURA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adjunto_factura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Documento 9 / Archivo 7 / BBTI|FACTURA|20516403650|F011|00001135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NOTA_INGRESO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adjunto_nota_ingreso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Documento 11 / Archivo 9 / BBTI|NOTA_INGRESO|0000000031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GUIA_REMISION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adjunto_guia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Documento 12 / Archivo 10 / BBTI|GUIA_REMISION|20612122416|EG07|00000165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PAGO_TRANSFERENCIA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adjunto_transferencia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Documento 13 / Archivo 11 / BBTI|PAGO_TRANSFERENCIA|6981-0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PAGO_DETRACCION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adjunto_detraccion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Documento 14 / Archivo 12 / BBTI|PAGO_DETRACCION|296801526</w:t>
            </w:r>
          </w:p>
        </w:tc>
      </w:tr>
    </w:tbl>
    <w:p/>
    <w:p>
      <w:r>
        <w:rPr>
          <w:b/>
          <w:color w:val="1D4ED8"/>
          <w:sz w:val="26"/>
        </w:rPr>
        <w:t>Hallazgos técnicos</w:t>
      </w:r>
    </w:p>
    <w:p>
      <w:pPr>
        <w:pStyle w:val="ListBullet"/>
        <w:spacing w:after="40"/>
      </w:pPr>
      <w:r>
        <w:rPr>
          <w:sz w:val="19"/>
        </w:rPr>
        <w:t>PDF escaneado puede superar 30 segundos; el backend completó en 53.4 segundos, pero frontend tenía timeout 30000 ms.</w:t>
      </w:r>
    </w:p>
    <w:p>
      <w:pPr>
        <w:pStyle w:val="ListBullet"/>
        <w:spacing w:after="40"/>
      </w:pPr>
      <w:r>
        <w:rPr>
          <w:sz w:val="19"/>
        </w:rPr>
        <w:t>Para demo, se recomienda aumentar timeout de apps/web-admin/src/services/api.ts a 120000 ms o mover OCR escaneado a flujo asíncrono en sprint posterior.</w:t>
      </w:r>
    </w:p>
    <w:p>
      <w:pPr>
        <w:pStyle w:val="ListBullet"/>
        <w:spacing w:after="40"/>
      </w:pPr>
      <w:r>
        <w:rPr>
          <w:sz w:val="19"/>
        </w:rPr>
        <w:t>Documentos de baja confianza siguen siendo confirmables manualmente y quedan trazados en metadata.audit.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