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34"/>
        </w:rPr>
        <w:t>Guía de Demo Gerencial</w:t>
      </w:r>
    </w:p>
    <w:p>
      <w:pPr>
        <w:jc w:val="center"/>
      </w:pPr>
      <w:r>
        <w:rPr>
          <w:color w:val="4B5563"/>
          <w:sz w:val="20"/>
        </w:rPr>
        <w:t>Expediente documental 41 - BBTI / Código 050201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Mostrar trazabilidad documental de punta a punta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b/>
                <w:sz w:val="18"/>
              </w:rPr>
              <w:t>Ruta sugerida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Compras -&gt; Revisión Contable -&gt; Finanzas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b/>
                <w:sz w:val="18"/>
              </w:rPr>
              <w:t>Expediente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Expediente 41 / Código 050201 / Empresa BBTI</w:t>
            </w:r>
          </w:p>
        </w:tc>
      </w:tr>
    </w:tbl>
    <w:p/>
    <w:p>
      <w:r>
        <w:rPr>
          <w:b/>
          <w:color w:val="1D4ED8"/>
          <w:sz w:val="26"/>
        </w:rPr>
        <w:t>Historia de demo</w:t>
      </w:r>
    </w:p>
    <w:p>
      <w:pPr>
        <w:pStyle w:val="ListBullet"/>
        <w:spacing w:after="40"/>
      </w:pPr>
      <w:r>
        <w:rPr>
          <w:sz w:val="19"/>
        </w:rPr>
        <w:t>Abrir expediente 050201 desde Compras o Revisión Contable.</w:t>
      </w:r>
    </w:p>
    <w:p>
      <w:pPr>
        <w:pStyle w:val="ListBullet"/>
        <w:spacing w:after="40"/>
      </w:pPr>
      <w:r>
        <w:rPr>
          <w:sz w:val="19"/>
        </w:rPr>
        <w:t>Mostrar OC principal confirmada: OC 007950 de CORPORACION ACEROS AREQUIPA S.A.</w:t>
      </w:r>
    </w:p>
    <w:p>
      <w:pPr>
        <w:pStyle w:val="ListBullet"/>
        <w:spacing w:after="40"/>
      </w:pPr>
      <w:r>
        <w:rPr>
          <w:sz w:val="19"/>
        </w:rPr>
        <w:t>Mostrar factura adjunta confirmada: F011-00001135 de CORPORACION COMATPE SAC.</w:t>
      </w:r>
    </w:p>
    <w:p>
      <w:pPr>
        <w:pStyle w:val="ListBullet"/>
        <w:spacing w:after="40"/>
      </w:pPr>
      <w:r>
        <w:rPr>
          <w:sz w:val="19"/>
        </w:rPr>
        <w:t>Mostrar documentos de soporte: Nota de ingreso y Guía de remisión.</w:t>
      </w:r>
    </w:p>
    <w:p>
      <w:pPr>
        <w:pStyle w:val="ListBullet"/>
        <w:spacing w:after="40"/>
      </w:pPr>
      <w:r>
        <w:rPr>
          <w:sz w:val="19"/>
        </w:rPr>
        <w:t>Mostrar pagos desde Finanzas: Transferencia y Detracción.</w:t>
      </w:r>
    </w:p>
    <w:p>
      <w:pPr>
        <w:pStyle w:val="ListBullet"/>
        <w:spacing w:after="40"/>
      </w:pPr>
      <w:r>
        <w:rPr>
          <w:sz w:val="19"/>
        </w:rPr>
        <w:t>Abrir preview seguro desde R2 para demostrar trazabilidad documental sin descarga pública.</w:t>
      </w:r>
    </w:p>
    <w:p>
      <w:r>
        <w:rPr>
          <w:b/>
          <w:color w:val="1D4ED8"/>
          <w:sz w:val="26"/>
        </w:rPr>
        <w:t>Puntos clave para explicar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BEAFE"/>
            <w:vAlign w:val="center"/>
          </w:tcPr>
          <w:p>
            <w:r/>
            <w:r>
              <w:rPr>
                <w:b/>
                <w:sz w:val="18"/>
              </w:rPr>
              <w:t>Tema</w:t>
            </w:r>
          </w:p>
        </w:tc>
        <w:tc>
          <w:tcPr>
            <w:tcW w:type="dxa" w:w="5184"/>
            <w:shd w:fill="DBEAFE"/>
            <w:vAlign w:val="center"/>
          </w:tcPr>
          <w:p>
            <w:r/>
            <w:r>
              <w:rPr>
                <w:b/>
                <w:sz w:val="18"/>
              </w:rPr>
              <w:t>Mensaje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OCR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Clasifica y extrae campos mínimos de cada documento.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Validación manual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 usuario confirma o corrige antes de vincular al expediente.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Expediente 360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Contabilidad ve la factura del periodo y todo su soporte documental.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Trazabilidad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Cada acción queda en metadata.audit y eventos documentales.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R2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Los archivos se almacenan y visualizan mediante URL firmada.</w:t>
            </w:r>
          </w:p>
        </w:tc>
      </w:tr>
    </w:tbl>
    <w:p/>
    <w:p>
      <w:r>
        <w:rPr>
          <w:b/>
          <w:color w:val="1D4ED8"/>
          <w:sz w:val="26"/>
        </w:rPr>
        <w:t>Mensaje de cierre para gerencia</w:t>
      </w:r>
    </w:p>
    <w:p>
      <w:pPr>
        <w:spacing w:after="80"/>
      </w:pPr>
      <w:r>
        <w:rPr>
          <w:sz w:val="19"/>
        </w:rPr>
        <w:t>La plataforma permite pasar de documentos sueltos a un expediente documental completo, trazable y revisable por Compras, Almacén, Finanzas y Contabilidad.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