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BB47" w14:textId="71C67371" w:rsidR="002E6BD9" w:rsidRPr="008F61A3" w:rsidRDefault="002E6BD9" w:rsidP="001F67C3">
      <w:pPr>
        <w:pStyle w:val="KeinLeerraum"/>
        <w:spacing w:line="276" w:lineRule="auto"/>
        <w:rPr>
          <w:rFonts w:ascii="Times New Roman" w:hAnsi="Times New Roman" w:cs="Times New Roman"/>
          <w:sz w:val="24"/>
          <w:szCs w:val="24"/>
        </w:rPr>
      </w:pPr>
      <w:r w:rsidRPr="008F61A3">
        <w:rPr>
          <w:rFonts w:ascii="Times New Roman" w:hAnsi="Times New Roman" w:cs="Times New Roman"/>
          <w:noProof/>
          <w:sz w:val="24"/>
          <w:szCs w:val="24"/>
        </w:rPr>
        <w:drawing>
          <wp:anchor distT="0" distB="0" distL="114300" distR="114300" simplePos="0" relativeHeight="251657216" behindDoc="0" locked="0" layoutInCell="1" allowOverlap="1" wp14:anchorId="6547A77E" wp14:editId="075377E6">
            <wp:simplePos x="0" y="0"/>
            <wp:positionH relativeFrom="column">
              <wp:posOffset>4419600</wp:posOffset>
            </wp:positionH>
            <wp:positionV relativeFrom="paragraph">
              <wp:posOffset>-6927</wp:posOffset>
            </wp:positionV>
            <wp:extent cx="1337112" cy="748146"/>
            <wp:effectExtent l="0" t="0" r="0" b="0"/>
            <wp:wrapNone/>
            <wp:docPr id="1" name="Grafik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112" cy="748146"/>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61A3">
        <w:rPr>
          <w:rFonts w:ascii="Times New Roman" w:hAnsi="Times New Roman" w:cs="Times New Roman"/>
          <w:sz w:val="24"/>
          <w:szCs w:val="24"/>
        </w:rPr>
        <w:t>Institut für Betriebswirtschaftslehre</w:t>
      </w:r>
    </w:p>
    <w:p w14:paraId="53209312" w14:textId="77777777" w:rsidR="002E6BD9" w:rsidRPr="008F61A3" w:rsidRDefault="002E6BD9" w:rsidP="001F67C3">
      <w:pPr>
        <w:pStyle w:val="KeinLeerraum"/>
        <w:spacing w:line="276" w:lineRule="auto"/>
        <w:rPr>
          <w:rFonts w:ascii="Times New Roman" w:hAnsi="Times New Roman" w:cs="Times New Roman"/>
          <w:sz w:val="24"/>
          <w:szCs w:val="24"/>
        </w:rPr>
      </w:pPr>
      <w:r w:rsidRPr="008F61A3">
        <w:rPr>
          <w:rFonts w:ascii="Times New Roman" w:hAnsi="Times New Roman" w:cs="Times New Roman"/>
          <w:sz w:val="24"/>
          <w:szCs w:val="24"/>
        </w:rPr>
        <w:t>Fachgebiet Finanzierung und Investition</w:t>
      </w:r>
    </w:p>
    <w:p w14:paraId="43275F44" w14:textId="4DC242C5" w:rsidR="002E6BD9" w:rsidRPr="008F61A3" w:rsidRDefault="002E6BD9" w:rsidP="001F67C3">
      <w:pPr>
        <w:pStyle w:val="KeinLeerraum"/>
        <w:spacing w:line="276" w:lineRule="auto"/>
        <w:rPr>
          <w:rFonts w:ascii="Times New Roman" w:hAnsi="Times New Roman" w:cs="Times New Roman"/>
          <w:sz w:val="24"/>
          <w:szCs w:val="24"/>
        </w:rPr>
      </w:pPr>
      <w:r w:rsidRPr="008F61A3">
        <w:rPr>
          <w:rFonts w:ascii="Times New Roman" w:hAnsi="Times New Roman" w:cs="Times New Roman"/>
          <w:sz w:val="24"/>
          <w:szCs w:val="24"/>
        </w:rPr>
        <w:t>Prof. Dr. Hans Hirth</w:t>
      </w:r>
    </w:p>
    <w:p w14:paraId="090ECA6C" w14:textId="59E2711E" w:rsidR="002E6BD9" w:rsidRPr="008F61A3" w:rsidRDefault="002E6BD9" w:rsidP="00F043F1">
      <w:pPr>
        <w:jc w:val="center"/>
        <w:rPr>
          <w:rFonts w:cs="Times New Roman"/>
          <w:szCs w:val="24"/>
        </w:rPr>
      </w:pPr>
    </w:p>
    <w:p w14:paraId="5F1A625D" w14:textId="77777777" w:rsidR="00607B89" w:rsidRPr="008F61A3" w:rsidRDefault="00607B89" w:rsidP="00F043F1">
      <w:pPr>
        <w:jc w:val="center"/>
        <w:rPr>
          <w:rFonts w:cs="Times New Roman"/>
          <w:szCs w:val="24"/>
        </w:rPr>
      </w:pPr>
    </w:p>
    <w:p w14:paraId="36E60BEB" w14:textId="76685B47" w:rsidR="00F043F1" w:rsidRPr="008F61A3" w:rsidRDefault="00F043F1" w:rsidP="001F67C3">
      <w:pPr>
        <w:spacing w:line="276" w:lineRule="auto"/>
        <w:jc w:val="center"/>
        <w:rPr>
          <w:rFonts w:cs="Times New Roman"/>
          <w:szCs w:val="24"/>
        </w:rPr>
      </w:pPr>
      <w:r w:rsidRPr="008F61A3">
        <w:rPr>
          <w:rFonts w:cs="Times New Roman"/>
          <w:szCs w:val="24"/>
        </w:rPr>
        <w:t>Technische Universität Berlin</w:t>
      </w:r>
    </w:p>
    <w:p w14:paraId="326409EB" w14:textId="77777777" w:rsidR="00F043F1" w:rsidRPr="008F61A3" w:rsidRDefault="00F043F1" w:rsidP="001F67C3">
      <w:pPr>
        <w:spacing w:line="276" w:lineRule="auto"/>
        <w:jc w:val="center"/>
        <w:rPr>
          <w:rFonts w:cs="Times New Roman"/>
          <w:szCs w:val="24"/>
        </w:rPr>
      </w:pPr>
      <w:r w:rsidRPr="008F61A3">
        <w:rPr>
          <w:rFonts w:cs="Times New Roman"/>
          <w:szCs w:val="24"/>
        </w:rPr>
        <w:t>Fakultät VII - Wirtschaft und Management</w:t>
      </w:r>
    </w:p>
    <w:p w14:paraId="42DD4427" w14:textId="77777777" w:rsidR="00F043F1" w:rsidRPr="008F61A3" w:rsidRDefault="00F043F1" w:rsidP="001F67C3">
      <w:pPr>
        <w:spacing w:line="276" w:lineRule="auto"/>
        <w:jc w:val="center"/>
        <w:rPr>
          <w:rFonts w:cs="Times New Roman"/>
          <w:szCs w:val="24"/>
        </w:rPr>
      </w:pPr>
      <w:r w:rsidRPr="008F61A3">
        <w:rPr>
          <w:rFonts w:cs="Times New Roman"/>
          <w:szCs w:val="24"/>
        </w:rPr>
        <w:t>Institut für Betriebswirtschaftslehre</w:t>
      </w:r>
    </w:p>
    <w:p w14:paraId="3D8C6675" w14:textId="77777777" w:rsidR="00F043F1" w:rsidRPr="008F61A3" w:rsidRDefault="00F043F1" w:rsidP="001F67C3">
      <w:pPr>
        <w:spacing w:line="276" w:lineRule="auto"/>
        <w:jc w:val="center"/>
        <w:rPr>
          <w:rFonts w:cs="Times New Roman"/>
          <w:szCs w:val="24"/>
        </w:rPr>
      </w:pPr>
      <w:r w:rsidRPr="008F61A3">
        <w:rPr>
          <w:rFonts w:cs="Times New Roman"/>
          <w:szCs w:val="24"/>
        </w:rPr>
        <w:t>Fachgebiet Finanzierung und Investition</w:t>
      </w:r>
    </w:p>
    <w:p w14:paraId="6549F02F" w14:textId="526877B1" w:rsidR="00B446A2" w:rsidRPr="008F61A3" w:rsidRDefault="00F043F1" w:rsidP="001F67C3">
      <w:pPr>
        <w:spacing w:line="276" w:lineRule="auto"/>
        <w:jc w:val="center"/>
        <w:rPr>
          <w:rFonts w:cs="Times New Roman"/>
          <w:szCs w:val="24"/>
        </w:rPr>
      </w:pPr>
      <w:r w:rsidRPr="008F61A3">
        <w:rPr>
          <w:rFonts w:cs="Times New Roman"/>
          <w:szCs w:val="24"/>
        </w:rPr>
        <w:t>Prof. Dr. Hans Hirth</w:t>
      </w:r>
    </w:p>
    <w:p w14:paraId="0CC4A21D" w14:textId="3EDEB735" w:rsidR="00F043F1" w:rsidRPr="008F61A3" w:rsidRDefault="00F043F1" w:rsidP="00F043F1">
      <w:pPr>
        <w:jc w:val="center"/>
        <w:rPr>
          <w:rFonts w:cs="Times New Roman"/>
          <w:szCs w:val="24"/>
        </w:rPr>
      </w:pPr>
    </w:p>
    <w:p w14:paraId="01273DC8" w14:textId="77777777" w:rsidR="004C1759" w:rsidRPr="008F61A3" w:rsidRDefault="004C1759" w:rsidP="00F043F1">
      <w:pPr>
        <w:jc w:val="center"/>
        <w:rPr>
          <w:rFonts w:cs="Times New Roman"/>
          <w:szCs w:val="24"/>
        </w:rPr>
      </w:pPr>
    </w:p>
    <w:p w14:paraId="6484D7BC" w14:textId="373D1F18" w:rsidR="006D732F" w:rsidRPr="008F61A3" w:rsidRDefault="00F043F1" w:rsidP="004C1759">
      <w:pPr>
        <w:jc w:val="center"/>
        <w:rPr>
          <w:rFonts w:cs="Times New Roman"/>
          <w:szCs w:val="24"/>
        </w:rPr>
      </w:pPr>
      <w:r w:rsidRPr="008F61A3">
        <w:rPr>
          <w:rFonts w:cs="Times New Roman"/>
          <w:szCs w:val="24"/>
        </w:rPr>
        <w:t>Bachelorarbeit zum Thema:</w:t>
      </w:r>
    </w:p>
    <w:p w14:paraId="646EF905" w14:textId="6B7E0CAF" w:rsidR="006D732F" w:rsidRPr="008F61A3" w:rsidRDefault="00F043F1" w:rsidP="00FE2D89">
      <w:pPr>
        <w:jc w:val="center"/>
        <w:rPr>
          <w:rFonts w:cs="Times New Roman"/>
          <w:b/>
          <w:bCs/>
          <w:sz w:val="36"/>
          <w:szCs w:val="36"/>
        </w:rPr>
      </w:pPr>
      <w:r w:rsidRPr="008F61A3">
        <w:rPr>
          <w:rFonts w:cs="Times New Roman"/>
          <w:b/>
          <w:bCs/>
          <w:sz w:val="36"/>
          <w:szCs w:val="36"/>
        </w:rPr>
        <w:t>Finanzierungsmuster von Kleinstunternehmen</w:t>
      </w:r>
      <w:r w:rsidR="00FE2D89" w:rsidRPr="008F61A3">
        <w:rPr>
          <w:rFonts w:cs="Times New Roman"/>
          <w:b/>
          <w:bCs/>
          <w:sz w:val="36"/>
          <w:szCs w:val="36"/>
        </w:rPr>
        <w:t xml:space="preserve"> </w:t>
      </w:r>
      <w:r w:rsidRPr="008F61A3">
        <w:rPr>
          <w:rFonts w:cs="Times New Roman"/>
          <w:b/>
          <w:bCs/>
          <w:sz w:val="36"/>
          <w:szCs w:val="36"/>
        </w:rPr>
        <w:t>im</w:t>
      </w:r>
      <w:r w:rsidR="00FE2D89" w:rsidRPr="008F61A3">
        <w:rPr>
          <w:rFonts w:cs="Times New Roman"/>
          <w:b/>
          <w:bCs/>
          <w:sz w:val="36"/>
          <w:szCs w:val="36"/>
        </w:rPr>
        <w:t xml:space="preserve"> </w:t>
      </w:r>
      <w:r w:rsidRPr="008F61A3">
        <w:rPr>
          <w:rFonts w:cs="Times New Roman"/>
          <w:b/>
          <w:bCs/>
          <w:sz w:val="36"/>
          <w:szCs w:val="36"/>
        </w:rPr>
        <w:t>Vergleich zu kleinen und mitt</w:t>
      </w:r>
      <w:r w:rsidR="00710D0C">
        <w:rPr>
          <w:rFonts w:cs="Times New Roman"/>
          <w:b/>
          <w:bCs/>
          <w:sz w:val="36"/>
          <w:szCs w:val="36"/>
        </w:rPr>
        <w:t>elgroßen</w:t>
      </w:r>
      <w:r w:rsidRPr="008F61A3">
        <w:rPr>
          <w:rFonts w:cs="Times New Roman"/>
          <w:b/>
          <w:bCs/>
          <w:sz w:val="36"/>
          <w:szCs w:val="36"/>
        </w:rPr>
        <w:t xml:space="preserve"> Unternehmen</w:t>
      </w:r>
      <w:r w:rsidR="00602E53">
        <w:rPr>
          <w:rFonts w:cs="Times New Roman"/>
          <w:b/>
          <w:bCs/>
          <w:sz w:val="36"/>
          <w:szCs w:val="36"/>
        </w:rPr>
        <w:t xml:space="preserve">              </w:t>
      </w:r>
    </w:p>
    <w:p w14:paraId="6FB7C7C3" w14:textId="77777777" w:rsidR="006D732F" w:rsidRPr="008F61A3" w:rsidRDefault="006D732F">
      <w:pPr>
        <w:rPr>
          <w:rFonts w:cs="Times New Roman"/>
          <w:b/>
          <w:bCs/>
        </w:rPr>
      </w:pPr>
    </w:p>
    <w:p w14:paraId="279D49A5" w14:textId="77777777" w:rsidR="006D732F" w:rsidRPr="008F61A3" w:rsidRDefault="006D732F">
      <w:pPr>
        <w:rPr>
          <w:rFonts w:cs="Times New Roman"/>
          <w:b/>
          <w:bCs/>
        </w:rPr>
      </w:pPr>
    </w:p>
    <w:p w14:paraId="3EBCC21E" w14:textId="6A6FD6C8" w:rsidR="00F043F1" w:rsidRPr="008F61A3" w:rsidRDefault="00F043F1">
      <w:pPr>
        <w:rPr>
          <w:rStyle w:val="Hyperlink"/>
          <w:rFonts w:cs="Times New Roman"/>
        </w:rPr>
      </w:pPr>
    </w:p>
    <w:p w14:paraId="0FED670C" w14:textId="7DFE4083" w:rsidR="00F043F1" w:rsidRPr="008F61A3" w:rsidRDefault="00F043F1" w:rsidP="001F67C3">
      <w:pPr>
        <w:spacing w:line="276" w:lineRule="auto"/>
        <w:ind w:left="2124"/>
        <w:jc w:val="left"/>
        <w:rPr>
          <w:rFonts w:cs="Times New Roman"/>
          <w:szCs w:val="24"/>
        </w:rPr>
      </w:pPr>
      <w:r w:rsidRPr="008F61A3">
        <w:rPr>
          <w:rFonts w:cs="Times New Roman"/>
          <w:szCs w:val="24"/>
        </w:rPr>
        <w:t xml:space="preserve">Betreuer: </w:t>
      </w:r>
      <w:r w:rsidR="002E6BD9" w:rsidRPr="008F61A3">
        <w:rPr>
          <w:rFonts w:cs="Times New Roman"/>
          <w:szCs w:val="24"/>
        </w:rPr>
        <w:tab/>
      </w:r>
      <w:r w:rsidR="002E6BD9" w:rsidRPr="008F61A3">
        <w:rPr>
          <w:rFonts w:cs="Times New Roman"/>
          <w:szCs w:val="24"/>
        </w:rPr>
        <w:tab/>
      </w:r>
      <w:r w:rsidRPr="008F61A3">
        <w:rPr>
          <w:rFonts w:cs="Times New Roman"/>
          <w:szCs w:val="24"/>
        </w:rPr>
        <w:t>Dr. Marco Bade</w:t>
      </w:r>
    </w:p>
    <w:p w14:paraId="2196F6E7" w14:textId="1DFDE0E5" w:rsidR="00F043F1" w:rsidRPr="008F61A3" w:rsidRDefault="00F043F1" w:rsidP="001F67C3">
      <w:pPr>
        <w:spacing w:line="276" w:lineRule="auto"/>
        <w:ind w:left="2124"/>
        <w:jc w:val="left"/>
        <w:rPr>
          <w:rFonts w:cs="Times New Roman"/>
          <w:szCs w:val="24"/>
        </w:rPr>
      </w:pPr>
      <w:r w:rsidRPr="008F61A3">
        <w:rPr>
          <w:rFonts w:cs="Times New Roman"/>
          <w:szCs w:val="24"/>
        </w:rPr>
        <w:t xml:space="preserve">Eingereicht von: </w:t>
      </w:r>
      <w:r w:rsidR="002E6BD9" w:rsidRPr="008F61A3">
        <w:rPr>
          <w:rFonts w:cs="Times New Roman"/>
          <w:szCs w:val="24"/>
        </w:rPr>
        <w:tab/>
      </w:r>
      <w:r w:rsidRPr="008F61A3">
        <w:rPr>
          <w:rFonts w:cs="Times New Roman"/>
          <w:szCs w:val="24"/>
        </w:rPr>
        <w:t>Antong Yin</w:t>
      </w:r>
    </w:p>
    <w:p w14:paraId="378AB098" w14:textId="03F83D8F" w:rsidR="00F043F1" w:rsidRPr="008F61A3" w:rsidRDefault="00F043F1" w:rsidP="001F67C3">
      <w:pPr>
        <w:spacing w:line="276" w:lineRule="auto"/>
        <w:ind w:left="2124"/>
        <w:jc w:val="left"/>
        <w:rPr>
          <w:rFonts w:cs="Times New Roman"/>
          <w:szCs w:val="24"/>
        </w:rPr>
      </w:pPr>
      <w:r w:rsidRPr="008F61A3">
        <w:rPr>
          <w:rFonts w:cs="Times New Roman"/>
          <w:szCs w:val="24"/>
        </w:rPr>
        <w:t xml:space="preserve">Datum: </w:t>
      </w:r>
      <w:r w:rsidR="002E6BD9" w:rsidRPr="008F61A3">
        <w:rPr>
          <w:rFonts w:cs="Times New Roman"/>
          <w:szCs w:val="24"/>
        </w:rPr>
        <w:tab/>
      </w:r>
      <w:r w:rsidR="002E6BD9" w:rsidRPr="008F61A3">
        <w:rPr>
          <w:rFonts w:cs="Times New Roman"/>
          <w:szCs w:val="24"/>
        </w:rPr>
        <w:tab/>
      </w:r>
      <w:r w:rsidR="00140954">
        <w:rPr>
          <w:rFonts w:cs="Times New Roman"/>
          <w:szCs w:val="24"/>
        </w:rPr>
        <w:t>2</w:t>
      </w:r>
      <w:r w:rsidRPr="008F61A3">
        <w:rPr>
          <w:rFonts w:cs="Times New Roman"/>
          <w:szCs w:val="24"/>
        </w:rPr>
        <w:t xml:space="preserve">1. </w:t>
      </w:r>
      <w:r w:rsidR="00140954">
        <w:rPr>
          <w:rFonts w:cs="Times New Roman"/>
          <w:szCs w:val="24"/>
        </w:rPr>
        <w:t>November</w:t>
      </w:r>
      <w:r w:rsidRPr="008F61A3">
        <w:rPr>
          <w:rFonts w:cs="Times New Roman"/>
          <w:szCs w:val="24"/>
        </w:rPr>
        <w:t xml:space="preserve"> 2021</w:t>
      </w:r>
    </w:p>
    <w:p w14:paraId="5EA5854B" w14:textId="14089D72" w:rsidR="00F043F1" w:rsidRPr="008F61A3" w:rsidRDefault="00F043F1" w:rsidP="001F67C3">
      <w:pPr>
        <w:spacing w:line="276" w:lineRule="auto"/>
        <w:ind w:left="2124"/>
        <w:jc w:val="left"/>
        <w:rPr>
          <w:rFonts w:cs="Times New Roman"/>
          <w:szCs w:val="24"/>
        </w:rPr>
      </w:pPr>
      <w:r w:rsidRPr="008F61A3">
        <w:rPr>
          <w:rFonts w:cs="Times New Roman"/>
          <w:szCs w:val="24"/>
        </w:rPr>
        <w:t xml:space="preserve">Matrikelnummer: </w:t>
      </w:r>
      <w:r w:rsidR="002E6BD9" w:rsidRPr="008F61A3">
        <w:rPr>
          <w:rFonts w:cs="Times New Roman"/>
          <w:szCs w:val="24"/>
        </w:rPr>
        <w:tab/>
      </w:r>
      <w:r w:rsidRPr="008F61A3">
        <w:rPr>
          <w:rFonts w:cs="Times New Roman"/>
          <w:szCs w:val="24"/>
        </w:rPr>
        <w:t>393134</w:t>
      </w:r>
    </w:p>
    <w:p w14:paraId="0EF7726E" w14:textId="16CD8341" w:rsidR="00F043F1" w:rsidRPr="008F61A3" w:rsidRDefault="00F043F1" w:rsidP="001F67C3">
      <w:pPr>
        <w:spacing w:line="276" w:lineRule="auto"/>
        <w:ind w:left="2124"/>
        <w:jc w:val="left"/>
        <w:rPr>
          <w:rFonts w:cs="Times New Roman"/>
          <w:szCs w:val="24"/>
        </w:rPr>
      </w:pPr>
      <w:r w:rsidRPr="008F61A3">
        <w:rPr>
          <w:rFonts w:cs="Times New Roman"/>
          <w:szCs w:val="24"/>
        </w:rPr>
        <w:t xml:space="preserve">E-Mailadresse: </w:t>
      </w:r>
      <w:r w:rsidR="002E6BD9" w:rsidRPr="008F61A3">
        <w:rPr>
          <w:rFonts w:cs="Times New Roman"/>
          <w:szCs w:val="24"/>
        </w:rPr>
        <w:tab/>
      </w:r>
      <w:r w:rsidRPr="008F61A3">
        <w:rPr>
          <w:rFonts w:cs="Times New Roman"/>
          <w:szCs w:val="24"/>
        </w:rPr>
        <w:t>antong.yin@</w:t>
      </w:r>
      <w:r w:rsidR="00B73806">
        <w:rPr>
          <w:rFonts w:cs="Times New Roman"/>
          <w:szCs w:val="24"/>
        </w:rPr>
        <w:t>web</w:t>
      </w:r>
      <w:r w:rsidRPr="008F61A3">
        <w:rPr>
          <w:rFonts w:cs="Times New Roman"/>
          <w:szCs w:val="24"/>
        </w:rPr>
        <w:t>.de</w:t>
      </w:r>
    </w:p>
    <w:p w14:paraId="32B0B3BA" w14:textId="5C34F4AA" w:rsidR="00607B89" w:rsidRPr="008F61A3" w:rsidRDefault="00F043F1" w:rsidP="001F67C3">
      <w:pPr>
        <w:spacing w:line="276" w:lineRule="auto"/>
        <w:ind w:left="2124"/>
        <w:rPr>
          <w:rFonts w:cs="Times New Roman"/>
          <w:szCs w:val="24"/>
        </w:rPr>
      </w:pPr>
      <w:r w:rsidRPr="008F61A3">
        <w:rPr>
          <w:rFonts w:cs="Times New Roman"/>
          <w:szCs w:val="24"/>
        </w:rPr>
        <w:t xml:space="preserve">Telefonnummer: </w:t>
      </w:r>
      <w:r w:rsidR="002E6BD9" w:rsidRPr="008F61A3">
        <w:rPr>
          <w:rFonts w:cs="Times New Roman"/>
          <w:szCs w:val="24"/>
        </w:rPr>
        <w:tab/>
      </w:r>
      <w:r w:rsidRPr="008F61A3">
        <w:rPr>
          <w:rFonts w:cs="Times New Roman"/>
          <w:szCs w:val="24"/>
        </w:rPr>
        <w:t>+49</w:t>
      </w:r>
      <w:r w:rsidR="00140954">
        <w:rPr>
          <w:rFonts w:cs="Times New Roman"/>
          <w:szCs w:val="24"/>
        </w:rPr>
        <w:t xml:space="preserve"> </w:t>
      </w:r>
      <w:r w:rsidRPr="008F61A3">
        <w:rPr>
          <w:rFonts w:cs="Times New Roman"/>
          <w:szCs w:val="24"/>
        </w:rPr>
        <w:t>1520</w:t>
      </w:r>
      <w:r w:rsidR="00140954">
        <w:rPr>
          <w:rFonts w:cs="Times New Roman"/>
          <w:szCs w:val="24"/>
        </w:rPr>
        <w:t xml:space="preserve"> </w:t>
      </w:r>
      <w:r w:rsidRPr="008F61A3">
        <w:rPr>
          <w:rFonts w:cs="Times New Roman"/>
          <w:szCs w:val="24"/>
        </w:rPr>
        <w:t>9187784</w:t>
      </w:r>
    </w:p>
    <w:p w14:paraId="3B13B967" w14:textId="33AE5603" w:rsidR="00B532EB" w:rsidRPr="008F61A3" w:rsidRDefault="00B532EB" w:rsidP="00B532EB">
      <w:pPr>
        <w:rPr>
          <w:rFonts w:cs="Times New Roman"/>
        </w:rPr>
      </w:pPr>
    </w:p>
    <w:p w14:paraId="19BDFFC9" w14:textId="471AE29D" w:rsidR="00A728E4" w:rsidRPr="008F61A3" w:rsidRDefault="00A728E4">
      <w:pPr>
        <w:rPr>
          <w:rFonts w:cs="Times New Roman"/>
        </w:rPr>
        <w:sectPr w:rsidR="00A728E4" w:rsidRPr="008F61A3" w:rsidSect="00B532EB">
          <w:headerReference w:type="default" r:id="rId9"/>
          <w:footerReference w:type="default" r:id="rId10"/>
          <w:pgSz w:w="11906" w:h="16838"/>
          <w:pgMar w:top="1417" w:right="1417" w:bottom="1134" w:left="1417" w:header="708" w:footer="708" w:gutter="0"/>
          <w:cols w:space="708"/>
          <w:titlePg/>
          <w:docGrid w:linePitch="360"/>
        </w:sectPr>
      </w:pPr>
    </w:p>
    <w:sdt>
      <w:sdtPr>
        <w:rPr>
          <w:rFonts w:eastAsiaTheme="minorEastAsia" w:cs="Times New Roman"/>
          <w:b w:val="0"/>
          <w:sz w:val="24"/>
          <w:szCs w:val="22"/>
        </w:rPr>
        <w:id w:val="-2068644033"/>
        <w:docPartObj>
          <w:docPartGallery w:val="Table of Contents"/>
          <w:docPartUnique/>
        </w:docPartObj>
      </w:sdtPr>
      <w:sdtEndPr>
        <w:rPr>
          <w:bCs/>
        </w:rPr>
      </w:sdtEndPr>
      <w:sdtContent>
        <w:p w14:paraId="7D55F5E4" w14:textId="1FF516C6" w:rsidR="00676F73" w:rsidRPr="008F61A3" w:rsidRDefault="00B532EB" w:rsidP="003173BC">
          <w:pPr>
            <w:pStyle w:val="Inhaltsverzeichnisberschrift"/>
            <w:numPr>
              <w:ilvl w:val="0"/>
              <w:numId w:val="0"/>
            </w:numPr>
            <w:spacing w:line="360" w:lineRule="auto"/>
            <w:rPr>
              <w:rFonts w:cs="Times New Roman"/>
            </w:rPr>
          </w:pPr>
          <w:r w:rsidRPr="008F61A3">
            <w:rPr>
              <w:rFonts w:cs="Times New Roman"/>
            </w:rPr>
            <w:t>Inhaltsverzeichnis</w:t>
          </w:r>
        </w:p>
        <w:p w14:paraId="2AC77456" w14:textId="62139D29" w:rsidR="001F571C" w:rsidRDefault="001F571C">
          <w:pPr>
            <w:pStyle w:val="Verzeichnis1"/>
            <w:tabs>
              <w:tab w:val="right" w:leader="dot" w:pos="8494"/>
            </w:tabs>
            <w:rPr>
              <w:rFonts w:asciiTheme="minorHAnsi" w:hAnsiTheme="minorHAnsi" w:cstheme="minorBidi"/>
              <w:b w:val="0"/>
              <w:noProof/>
              <w:sz w:val="22"/>
            </w:rPr>
          </w:pPr>
          <w:r>
            <w:rPr>
              <w:szCs w:val="24"/>
            </w:rPr>
            <w:fldChar w:fldCharType="begin"/>
          </w:r>
          <w:r>
            <w:rPr>
              <w:szCs w:val="24"/>
            </w:rPr>
            <w:instrText xml:space="preserve"> TOC \o "1-1" \h \z \t "Überschrift 2;2;Überschrift 3;3;Final Überschrift 3;3" </w:instrText>
          </w:r>
          <w:r>
            <w:rPr>
              <w:szCs w:val="24"/>
            </w:rPr>
            <w:fldChar w:fldCharType="separate"/>
          </w:r>
          <w:hyperlink w:anchor="_Toc88425814" w:history="1">
            <w:r w:rsidRPr="006140B9">
              <w:rPr>
                <w:rStyle w:val="Hyperlink"/>
                <w:noProof/>
              </w:rPr>
              <w:t>Abbildungsverzeichnis</w:t>
            </w:r>
            <w:r>
              <w:rPr>
                <w:noProof/>
                <w:webHidden/>
              </w:rPr>
              <w:tab/>
            </w:r>
            <w:r>
              <w:rPr>
                <w:noProof/>
                <w:webHidden/>
              </w:rPr>
              <w:fldChar w:fldCharType="begin"/>
            </w:r>
            <w:r>
              <w:rPr>
                <w:noProof/>
                <w:webHidden/>
              </w:rPr>
              <w:instrText xml:space="preserve"> PAGEREF _Toc88425814 \h </w:instrText>
            </w:r>
            <w:r>
              <w:rPr>
                <w:noProof/>
                <w:webHidden/>
              </w:rPr>
            </w:r>
            <w:r>
              <w:rPr>
                <w:noProof/>
                <w:webHidden/>
              </w:rPr>
              <w:fldChar w:fldCharType="separate"/>
            </w:r>
            <w:r w:rsidR="00285390">
              <w:rPr>
                <w:noProof/>
                <w:webHidden/>
              </w:rPr>
              <w:t>III</w:t>
            </w:r>
            <w:r>
              <w:rPr>
                <w:noProof/>
                <w:webHidden/>
              </w:rPr>
              <w:fldChar w:fldCharType="end"/>
            </w:r>
          </w:hyperlink>
        </w:p>
        <w:p w14:paraId="40C6C5A8" w14:textId="6B46DFAB" w:rsidR="001F571C" w:rsidRDefault="004F311F">
          <w:pPr>
            <w:pStyle w:val="Verzeichnis1"/>
            <w:tabs>
              <w:tab w:val="right" w:leader="dot" w:pos="8494"/>
            </w:tabs>
            <w:rPr>
              <w:rFonts w:asciiTheme="minorHAnsi" w:hAnsiTheme="minorHAnsi" w:cstheme="minorBidi"/>
              <w:b w:val="0"/>
              <w:noProof/>
              <w:sz w:val="22"/>
            </w:rPr>
          </w:pPr>
          <w:hyperlink w:anchor="_Toc88425815" w:history="1">
            <w:r w:rsidR="001F571C" w:rsidRPr="006140B9">
              <w:rPr>
                <w:rStyle w:val="Hyperlink"/>
                <w:noProof/>
              </w:rPr>
              <w:t>Tabellenverzeichnis</w:t>
            </w:r>
            <w:r w:rsidR="001F571C">
              <w:rPr>
                <w:noProof/>
                <w:webHidden/>
              </w:rPr>
              <w:tab/>
            </w:r>
            <w:r w:rsidR="001F571C">
              <w:rPr>
                <w:noProof/>
                <w:webHidden/>
              </w:rPr>
              <w:fldChar w:fldCharType="begin"/>
            </w:r>
            <w:r w:rsidR="001F571C">
              <w:rPr>
                <w:noProof/>
                <w:webHidden/>
              </w:rPr>
              <w:instrText xml:space="preserve"> PAGEREF _Toc88425815 \h </w:instrText>
            </w:r>
            <w:r w:rsidR="001F571C">
              <w:rPr>
                <w:noProof/>
                <w:webHidden/>
              </w:rPr>
            </w:r>
            <w:r w:rsidR="001F571C">
              <w:rPr>
                <w:noProof/>
                <w:webHidden/>
              </w:rPr>
              <w:fldChar w:fldCharType="separate"/>
            </w:r>
            <w:r w:rsidR="00285390">
              <w:rPr>
                <w:noProof/>
                <w:webHidden/>
              </w:rPr>
              <w:t>IV</w:t>
            </w:r>
            <w:r w:rsidR="001F571C">
              <w:rPr>
                <w:noProof/>
                <w:webHidden/>
              </w:rPr>
              <w:fldChar w:fldCharType="end"/>
            </w:r>
          </w:hyperlink>
        </w:p>
        <w:p w14:paraId="2499A3A3" w14:textId="1E2A26F1" w:rsidR="001F571C" w:rsidRDefault="004F311F">
          <w:pPr>
            <w:pStyle w:val="Verzeichnis1"/>
            <w:tabs>
              <w:tab w:val="right" w:leader="dot" w:pos="8494"/>
            </w:tabs>
            <w:rPr>
              <w:rFonts w:asciiTheme="minorHAnsi" w:hAnsiTheme="minorHAnsi" w:cstheme="minorBidi"/>
              <w:b w:val="0"/>
              <w:noProof/>
              <w:sz w:val="22"/>
            </w:rPr>
          </w:pPr>
          <w:hyperlink w:anchor="_Toc88425816" w:history="1">
            <w:r w:rsidR="001F571C" w:rsidRPr="006140B9">
              <w:rPr>
                <w:rStyle w:val="Hyperlink"/>
                <w:noProof/>
              </w:rPr>
              <w:t>Abkürzungs- und Symbolverzeichnis</w:t>
            </w:r>
            <w:r w:rsidR="001F571C">
              <w:rPr>
                <w:noProof/>
                <w:webHidden/>
              </w:rPr>
              <w:tab/>
            </w:r>
            <w:r w:rsidR="001F571C">
              <w:rPr>
                <w:noProof/>
                <w:webHidden/>
              </w:rPr>
              <w:fldChar w:fldCharType="begin"/>
            </w:r>
            <w:r w:rsidR="001F571C">
              <w:rPr>
                <w:noProof/>
                <w:webHidden/>
              </w:rPr>
              <w:instrText xml:space="preserve"> PAGEREF _Toc88425816 \h </w:instrText>
            </w:r>
            <w:r w:rsidR="001F571C">
              <w:rPr>
                <w:noProof/>
                <w:webHidden/>
              </w:rPr>
            </w:r>
            <w:r w:rsidR="001F571C">
              <w:rPr>
                <w:noProof/>
                <w:webHidden/>
              </w:rPr>
              <w:fldChar w:fldCharType="separate"/>
            </w:r>
            <w:r w:rsidR="00285390">
              <w:rPr>
                <w:noProof/>
                <w:webHidden/>
              </w:rPr>
              <w:t>V</w:t>
            </w:r>
            <w:r w:rsidR="001F571C">
              <w:rPr>
                <w:noProof/>
                <w:webHidden/>
              </w:rPr>
              <w:fldChar w:fldCharType="end"/>
            </w:r>
          </w:hyperlink>
        </w:p>
        <w:p w14:paraId="35276361" w14:textId="645425ED" w:rsidR="001F571C" w:rsidRDefault="004F311F">
          <w:pPr>
            <w:pStyle w:val="Verzeichnis1"/>
            <w:tabs>
              <w:tab w:val="left" w:pos="440"/>
              <w:tab w:val="right" w:leader="dot" w:pos="8494"/>
            </w:tabs>
            <w:rPr>
              <w:rFonts w:asciiTheme="minorHAnsi" w:hAnsiTheme="minorHAnsi" w:cstheme="minorBidi"/>
              <w:b w:val="0"/>
              <w:noProof/>
              <w:sz w:val="22"/>
            </w:rPr>
          </w:pPr>
          <w:hyperlink w:anchor="_Toc88425817" w:history="1">
            <w:r w:rsidR="001F571C" w:rsidRPr="006140B9">
              <w:rPr>
                <w:rStyle w:val="Hyperlink"/>
                <w:noProof/>
              </w:rPr>
              <w:t>1.</w:t>
            </w:r>
            <w:r w:rsidR="001F571C">
              <w:rPr>
                <w:rFonts w:asciiTheme="minorHAnsi" w:hAnsiTheme="minorHAnsi" w:cstheme="minorBidi"/>
                <w:b w:val="0"/>
                <w:noProof/>
                <w:sz w:val="22"/>
              </w:rPr>
              <w:tab/>
            </w:r>
            <w:r w:rsidR="001F571C" w:rsidRPr="006140B9">
              <w:rPr>
                <w:rStyle w:val="Hyperlink"/>
                <w:noProof/>
              </w:rPr>
              <w:t>Einleitung</w:t>
            </w:r>
            <w:r w:rsidR="001F571C">
              <w:rPr>
                <w:noProof/>
                <w:webHidden/>
              </w:rPr>
              <w:tab/>
            </w:r>
            <w:r w:rsidR="001F571C">
              <w:rPr>
                <w:noProof/>
                <w:webHidden/>
              </w:rPr>
              <w:fldChar w:fldCharType="begin"/>
            </w:r>
            <w:r w:rsidR="001F571C">
              <w:rPr>
                <w:noProof/>
                <w:webHidden/>
              </w:rPr>
              <w:instrText xml:space="preserve"> PAGEREF _Toc88425817 \h </w:instrText>
            </w:r>
            <w:r w:rsidR="001F571C">
              <w:rPr>
                <w:noProof/>
                <w:webHidden/>
              </w:rPr>
            </w:r>
            <w:r w:rsidR="001F571C">
              <w:rPr>
                <w:noProof/>
                <w:webHidden/>
              </w:rPr>
              <w:fldChar w:fldCharType="separate"/>
            </w:r>
            <w:r w:rsidR="00285390">
              <w:rPr>
                <w:noProof/>
                <w:webHidden/>
              </w:rPr>
              <w:t>1</w:t>
            </w:r>
            <w:r w:rsidR="001F571C">
              <w:rPr>
                <w:noProof/>
                <w:webHidden/>
              </w:rPr>
              <w:fldChar w:fldCharType="end"/>
            </w:r>
          </w:hyperlink>
        </w:p>
        <w:p w14:paraId="431C5ECC" w14:textId="2BCCE986" w:rsidR="001F571C" w:rsidRDefault="004F311F">
          <w:pPr>
            <w:pStyle w:val="Verzeichnis1"/>
            <w:tabs>
              <w:tab w:val="left" w:pos="440"/>
              <w:tab w:val="right" w:leader="dot" w:pos="8494"/>
            </w:tabs>
            <w:rPr>
              <w:rFonts w:asciiTheme="minorHAnsi" w:hAnsiTheme="minorHAnsi" w:cstheme="minorBidi"/>
              <w:b w:val="0"/>
              <w:noProof/>
              <w:sz w:val="22"/>
            </w:rPr>
          </w:pPr>
          <w:hyperlink w:anchor="_Toc88425818" w:history="1">
            <w:r w:rsidR="001F571C" w:rsidRPr="006140B9">
              <w:rPr>
                <w:rStyle w:val="Hyperlink"/>
                <w:noProof/>
              </w:rPr>
              <w:t>2.</w:t>
            </w:r>
            <w:r w:rsidR="001F571C">
              <w:rPr>
                <w:rFonts w:asciiTheme="minorHAnsi" w:hAnsiTheme="minorHAnsi" w:cstheme="minorBidi"/>
                <w:b w:val="0"/>
                <w:noProof/>
                <w:sz w:val="22"/>
              </w:rPr>
              <w:tab/>
            </w:r>
            <w:r w:rsidR="001F571C" w:rsidRPr="006140B9">
              <w:rPr>
                <w:rStyle w:val="Hyperlink"/>
                <w:noProof/>
              </w:rPr>
              <w:t>Literaturübersicht</w:t>
            </w:r>
            <w:r w:rsidR="001F571C">
              <w:rPr>
                <w:noProof/>
                <w:webHidden/>
              </w:rPr>
              <w:tab/>
            </w:r>
            <w:r w:rsidR="001F571C">
              <w:rPr>
                <w:noProof/>
                <w:webHidden/>
              </w:rPr>
              <w:fldChar w:fldCharType="begin"/>
            </w:r>
            <w:r w:rsidR="001F571C">
              <w:rPr>
                <w:noProof/>
                <w:webHidden/>
              </w:rPr>
              <w:instrText xml:space="preserve"> PAGEREF _Toc88425818 \h </w:instrText>
            </w:r>
            <w:r w:rsidR="001F571C">
              <w:rPr>
                <w:noProof/>
                <w:webHidden/>
              </w:rPr>
            </w:r>
            <w:r w:rsidR="001F571C">
              <w:rPr>
                <w:noProof/>
                <w:webHidden/>
              </w:rPr>
              <w:fldChar w:fldCharType="separate"/>
            </w:r>
            <w:r w:rsidR="00285390">
              <w:rPr>
                <w:noProof/>
                <w:webHidden/>
              </w:rPr>
              <w:t>2</w:t>
            </w:r>
            <w:r w:rsidR="001F571C">
              <w:rPr>
                <w:noProof/>
                <w:webHidden/>
              </w:rPr>
              <w:fldChar w:fldCharType="end"/>
            </w:r>
          </w:hyperlink>
        </w:p>
        <w:p w14:paraId="326D9ACB" w14:textId="581777BE" w:rsidR="001F571C" w:rsidRDefault="004F311F">
          <w:pPr>
            <w:pStyle w:val="Verzeichnis2"/>
            <w:tabs>
              <w:tab w:val="left" w:pos="880"/>
              <w:tab w:val="right" w:leader="dot" w:pos="8494"/>
            </w:tabs>
            <w:rPr>
              <w:rFonts w:asciiTheme="minorHAnsi" w:hAnsiTheme="minorHAnsi" w:cstheme="minorBidi"/>
              <w:noProof/>
              <w:sz w:val="22"/>
            </w:rPr>
          </w:pPr>
          <w:hyperlink w:anchor="_Toc88425819" w:history="1">
            <w:r w:rsidR="001F571C" w:rsidRPr="006140B9">
              <w:rPr>
                <w:rStyle w:val="Hyperlink"/>
                <w:noProof/>
              </w:rPr>
              <w:t>2.1</w:t>
            </w:r>
            <w:r w:rsidR="001F571C">
              <w:rPr>
                <w:rFonts w:asciiTheme="minorHAnsi" w:hAnsiTheme="minorHAnsi" w:cstheme="minorBidi"/>
                <w:noProof/>
                <w:sz w:val="22"/>
              </w:rPr>
              <w:tab/>
            </w:r>
            <w:r w:rsidR="001F571C" w:rsidRPr="006140B9">
              <w:rPr>
                <w:rStyle w:val="Hyperlink"/>
                <w:noProof/>
              </w:rPr>
              <w:t>Definition und Merkmale von Kleinstunternehmen</w:t>
            </w:r>
            <w:r w:rsidR="001F571C">
              <w:rPr>
                <w:noProof/>
                <w:webHidden/>
              </w:rPr>
              <w:tab/>
            </w:r>
            <w:r w:rsidR="001F571C">
              <w:rPr>
                <w:noProof/>
                <w:webHidden/>
              </w:rPr>
              <w:fldChar w:fldCharType="begin"/>
            </w:r>
            <w:r w:rsidR="001F571C">
              <w:rPr>
                <w:noProof/>
                <w:webHidden/>
              </w:rPr>
              <w:instrText xml:space="preserve"> PAGEREF _Toc88425819 \h </w:instrText>
            </w:r>
            <w:r w:rsidR="001F571C">
              <w:rPr>
                <w:noProof/>
                <w:webHidden/>
              </w:rPr>
            </w:r>
            <w:r w:rsidR="001F571C">
              <w:rPr>
                <w:noProof/>
                <w:webHidden/>
              </w:rPr>
              <w:fldChar w:fldCharType="separate"/>
            </w:r>
            <w:r w:rsidR="00285390">
              <w:rPr>
                <w:noProof/>
                <w:webHidden/>
              </w:rPr>
              <w:t>2</w:t>
            </w:r>
            <w:r w:rsidR="001F571C">
              <w:rPr>
                <w:noProof/>
                <w:webHidden/>
              </w:rPr>
              <w:fldChar w:fldCharType="end"/>
            </w:r>
          </w:hyperlink>
        </w:p>
        <w:p w14:paraId="31D819B1" w14:textId="6472C8A0" w:rsidR="001F571C" w:rsidRDefault="004F311F">
          <w:pPr>
            <w:pStyle w:val="Verzeichnis2"/>
            <w:tabs>
              <w:tab w:val="left" w:pos="880"/>
              <w:tab w:val="right" w:leader="dot" w:pos="8494"/>
            </w:tabs>
            <w:rPr>
              <w:rFonts w:asciiTheme="minorHAnsi" w:hAnsiTheme="minorHAnsi" w:cstheme="minorBidi"/>
              <w:noProof/>
              <w:sz w:val="22"/>
            </w:rPr>
          </w:pPr>
          <w:hyperlink w:anchor="_Toc88425820" w:history="1">
            <w:r w:rsidR="001F571C" w:rsidRPr="006140B9">
              <w:rPr>
                <w:rStyle w:val="Hyperlink"/>
                <w:noProof/>
              </w:rPr>
              <w:t>2.2</w:t>
            </w:r>
            <w:r w:rsidR="001F571C">
              <w:rPr>
                <w:rFonts w:asciiTheme="minorHAnsi" w:hAnsiTheme="minorHAnsi" w:cstheme="minorBidi"/>
                <w:noProof/>
                <w:sz w:val="22"/>
              </w:rPr>
              <w:tab/>
            </w:r>
            <w:r w:rsidR="001F571C" w:rsidRPr="006140B9">
              <w:rPr>
                <w:rStyle w:val="Hyperlink"/>
                <w:noProof/>
              </w:rPr>
              <w:t>Literatur zur Finanzierung von Kleinstunternehmen</w:t>
            </w:r>
            <w:r w:rsidR="001F571C">
              <w:rPr>
                <w:noProof/>
                <w:webHidden/>
              </w:rPr>
              <w:tab/>
            </w:r>
            <w:r w:rsidR="001F571C">
              <w:rPr>
                <w:noProof/>
                <w:webHidden/>
              </w:rPr>
              <w:fldChar w:fldCharType="begin"/>
            </w:r>
            <w:r w:rsidR="001F571C">
              <w:rPr>
                <w:noProof/>
                <w:webHidden/>
              </w:rPr>
              <w:instrText xml:space="preserve"> PAGEREF _Toc88425820 \h </w:instrText>
            </w:r>
            <w:r w:rsidR="001F571C">
              <w:rPr>
                <w:noProof/>
                <w:webHidden/>
              </w:rPr>
            </w:r>
            <w:r w:rsidR="001F571C">
              <w:rPr>
                <w:noProof/>
                <w:webHidden/>
              </w:rPr>
              <w:fldChar w:fldCharType="separate"/>
            </w:r>
            <w:r w:rsidR="00285390">
              <w:rPr>
                <w:noProof/>
                <w:webHidden/>
              </w:rPr>
              <w:t>2</w:t>
            </w:r>
            <w:r w:rsidR="001F571C">
              <w:rPr>
                <w:noProof/>
                <w:webHidden/>
              </w:rPr>
              <w:fldChar w:fldCharType="end"/>
            </w:r>
          </w:hyperlink>
        </w:p>
        <w:p w14:paraId="4A5E5AC4" w14:textId="436EFB9C" w:rsidR="001F571C" w:rsidRDefault="004F311F">
          <w:pPr>
            <w:pStyle w:val="Verzeichnis1"/>
            <w:tabs>
              <w:tab w:val="left" w:pos="440"/>
              <w:tab w:val="right" w:leader="dot" w:pos="8494"/>
            </w:tabs>
            <w:rPr>
              <w:rFonts w:asciiTheme="minorHAnsi" w:hAnsiTheme="minorHAnsi" w:cstheme="minorBidi"/>
              <w:b w:val="0"/>
              <w:noProof/>
              <w:sz w:val="22"/>
            </w:rPr>
          </w:pPr>
          <w:hyperlink w:anchor="_Toc88425821" w:history="1">
            <w:r w:rsidR="001F571C" w:rsidRPr="006140B9">
              <w:rPr>
                <w:rStyle w:val="Hyperlink"/>
                <w:noProof/>
              </w:rPr>
              <w:t>3.</w:t>
            </w:r>
            <w:r w:rsidR="001F571C">
              <w:rPr>
                <w:rFonts w:asciiTheme="minorHAnsi" w:hAnsiTheme="minorHAnsi" w:cstheme="minorBidi"/>
                <w:b w:val="0"/>
                <w:noProof/>
                <w:sz w:val="22"/>
              </w:rPr>
              <w:tab/>
            </w:r>
            <w:r w:rsidR="001F571C" w:rsidRPr="006140B9">
              <w:rPr>
                <w:rStyle w:val="Hyperlink"/>
                <w:noProof/>
              </w:rPr>
              <w:t>Daten und Methodik</w:t>
            </w:r>
            <w:r w:rsidR="001F571C">
              <w:rPr>
                <w:noProof/>
                <w:webHidden/>
              </w:rPr>
              <w:tab/>
            </w:r>
            <w:r w:rsidR="001F571C">
              <w:rPr>
                <w:noProof/>
                <w:webHidden/>
              </w:rPr>
              <w:fldChar w:fldCharType="begin"/>
            </w:r>
            <w:r w:rsidR="001F571C">
              <w:rPr>
                <w:noProof/>
                <w:webHidden/>
              </w:rPr>
              <w:instrText xml:space="preserve"> PAGEREF _Toc88425821 \h </w:instrText>
            </w:r>
            <w:r w:rsidR="001F571C">
              <w:rPr>
                <w:noProof/>
                <w:webHidden/>
              </w:rPr>
            </w:r>
            <w:r w:rsidR="001F571C">
              <w:rPr>
                <w:noProof/>
                <w:webHidden/>
              </w:rPr>
              <w:fldChar w:fldCharType="separate"/>
            </w:r>
            <w:r w:rsidR="00285390">
              <w:rPr>
                <w:noProof/>
                <w:webHidden/>
              </w:rPr>
              <w:t>4</w:t>
            </w:r>
            <w:r w:rsidR="001F571C">
              <w:rPr>
                <w:noProof/>
                <w:webHidden/>
              </w:rPr>
              <w:fldChar w:fldCharType="end"/>
            </w:r>
          </w:hyperlink>
        </w:p>
        <w:p w14:paraId="20CCE546" w14:textId="7C85ED36" w:rsidR="001F571C" w:rsidRDefault="004F311F">
          <w:pPr>
            <w:pStyle w:val="Verzeichnis2"/>
            <w:tabs>
              <w:tab w:val="left" w:pos="880"/>
              <w:tab w:val="right" w:leader="dot" w:pos="8494"/>
            </w:tabs>
            <w:rPr>
              <w:rFonts w:asciiTheme="minorHAnsi" w:hAnsiTheme="minorHAnsi" w:cstheme="minorBidi"/>
              <w:noProof/>
              <w:sz w:val="22"/>
            </w:rPr>
          </w:pPr>
          <w:hyperlink w:anchor="_Toc88425822" w:history="1">
            <w:r w:rsidR="001F571C" w:rsidRPr="006140B9">
              <w:rPr>
                <w:rStyle w:val="Hyperlink"/>
                <w:noProof/>
              </w:rPr>
              <w:t>3.1</w:t>
            </w:r>
            <w:r w:rsidR="001F571C">
              <w:rPr>
                <w:rFonts w:asciiTheme="minorHAnsi" w:hAnsiTheme="minorHAnsi" w:cstheme="minorBidi"/>
                <w:noProof/>
                <w:sz w:val="22"/>
              </w:rPr>
              <w:tab/>
            </w:r>
            <w:r w:rsidR="001F571C" w:rsidRPr="006140B9">
              <w:rPr>
                <w:rStyle w:val="Hyperlink"/>
                <w:noProof/>
              </w:rPr>
              <w:t>Datenquelle und Aufbau der Stichprobe</w:t>
            </w:r>
            <w:r w:rsidR="001F571C">
              <w:rPr>
                <w:noProof/>
                <w:webHidden/>
              </w:rPr>
              <w:tab/>
            </w:r>
            <w:r w:rsidR="001F571C">
              <w:rPr>
                <w:noProof/>
                <w:webHidden/>
              </w:rPr>
              <w:fldChar w:fldCharType="begin"/>
            </w:r>
            <w:r w:rsidR="001F571C">
              <w:rPr>
                <w:noProof/>
                <w:webHidden/>
              </w:rPr>
              <w:instrText xml:space="preserve"> PAGEREF _Toc88425822 \h </w:instrText>
            </w:r>
            <w:r w:rsidR="001F571C">
              <w:rPr>
                <w:noProof/>
                <w:webHidden/>
              </w:rPr>
            </w:r>
            <w:r w:rsidR="001F571C">
              <w:rPr>
                <w:noProof/>
                <w:webHidden/>
              </w:rPr>
              <w:fldChar w:fldCharType="separate"/>
            </w:r>
            <w:r w:rsidR="00285390">
              <w:rPr>
                <w:noProof/>
                <w:webHidden/>
              </w:rPr>
              <w:t>4</w:t>
            </w:r>
            <w:r w:rsidR="001F571C">
              <w:rPr>
                <w:noProof/>
                <w:webHidden/>
              </w:rPr>
              <w:fldChar w:fldCharType="end"/>
            </w:r>
          </w:hyperlink>
        </w:p>
        <w:p w14:paraId="6F8480A0" w14:textId="07DEE264" w:rsidR="001F571C" w:rsidRDefault="004F311F">
          <w:pPr>
            <w:pStyle w:val="Verzeichnis3"/>
            <w:tabs>
              <w:tab w:val="left" w:pos="1320"/>
              <w:tab w:val="right" w:leader="dot" w:pos="8494"/>
            </w:tabs>
            <w:rPr>
              <w:rFonts w:asciiTheme="minorHAnsi" w:hAnsiTheme="minorHAnsi" w:cstheme="minorBidi"/>
              <w:noProof/>
              <w:sz w:val="22"/>
            </w:rPr>
          </w:pPr>
          <w:hyperlink w:anchor="_Toc88425823" w:history="1">
            <w:r w:rsidR="001F571C" w:rsidRPr="006140B9">
              <w:rPr>
                <w:rStyle w:val="Hyperlink"/>
                <w:noProof/>
              </w:rPr>
              <w:t>3.1.1</w:t>
            </w:r>
            <w:r w:rsidR="001F571C">
              <w:rPr>
                <w:rFonts w:asciiTheme="minorHAnsi" w:hAnsiTheme="minorHAnsi" w:cstheme="minorBidi"/>
                <w:noProof/>
                <w:sz w:val="22"/>
              </w:rPr>
              <w:tab/>
            </w:r>
            <w:r w:rsidR="001F571C" w:rsidRPr="006140B9">
              <w:rPr>
                <w:rStyle w:val="Hyperlink"/>
                <w:noProof/>
              </w:rPr>
              <w:t>SAFE Datensatz</w:t>
            </w:r>
            <w:r w:rsidR="001F571C">
              <w:rPr>
                <w:noProof/>
                <w:webHidden/>
              </w:rPr>
              <w:tab/>
            </w:r>
            <w:r w:rsidR="001F571C">
              <w:rPr>
                <w:noProof/>
                <w:webHidden/>
              </w:rPr>
              <w:fldChar w:fldCharType="begin"/>
            </w:r>
            <w:r w:rsidR="001F571C">
              <w:rPr>
                <w:noProof/>
                <w:webHidden/>
              </w:rPr>
              <w:instrText xml:space="preserve"> PAGEREF _Toc88425823 \h </w:instrText>
            </w:r>
            <w:r w:rsidR="001F571C">
              <w:rPr>
                <w:noProof/>
                <w:webHidden/>
              </w:rPr>
            </w:r>
            <w:r w:rsidR="001F571C">
              <w:rPr>
                <w:noProof/>
                <w:webHidden/>
              </w:rPr>
              <w:fldChar w:fldCharType="separate"/>
            </w:r>
            <w:r w:rsidR="00285390">
              <w:rPr>
                <w:noProof/>
                <w:webHidden/>
              </w:rPr>
              <w:t>4</w:t>
            </w:r>
            <w:r w:rsidR="001F571C">
              <w:rPr>
                <w:noProof/>
                <w:webHidden/>
              </w:rPr>
              <w:fldChar w:fldCharType="end"/>
            </w:r>
          </w:hyperlink>
        </w:p>
        <w:p w14:paraId="49475DEE" w14:textId="673EEA54" w:rsidR="001F571C" w:rsidRDefault="004F311F">
          <w:pPr>
            <w:pStyle w:val="Verzeichnis3"/>
            <w:tabs>
              <w:tab w:val="left" w:pos="1320"/>
              <w:tab w:val="right" w:leader="dot" w:pos="8494"/>
            </w:tabs>
            <w:rPr>
              <w:rFonts w:asciiTheme="minorHAnsi" w:hAnsiTheme="minorHAnsi" w:cstheme="minorBidi"/>
              <w:noProof/>
              <w:sz w:val="22"/>
            </w:rPr>
          </w:pPr>
          <w:hyperlink w:anchor="_Toc88425824" w:history="1">
            <w:r w:rsidR="001F571C" w:rsidRPr="006140B9">
              <w:rPr>
                <w:rStyle w:val="Hyperlink"/>
                <w:noProof/>
              </w:rPr>
              <w:t>3.1.2</w:t>
            </w:r>
            <w:r w:rsidR="001F571C">
              <w:rPr>
                <w:rFonts w:asciiTheme="minorHAnsi" w:hAnsiTheme="minorHAnsi" w:cstheme="minorBidi"/>
                <w:noProof/>
                <w:sz w:val="22"/>
              </w:rPr>
              <w:tab/>
            </w:r>
            <w:r w:rsidR="001F571C" w:rsidRPr="006140B9">
              <w:rPr>
                <w:rStyle w:val="Hyperlink"/>
                <w:noProof/>
              </w:rPr>
              <w:t>Auswahl des Stichprobenzeitraums</w:t>
            </w:r>
            <w:r w:rsidR="001F571C">
              <w:rPr>
                <w:noProof/>
                <w:webHidden/>
              </w:rPr>
              <w:tab/>
            </w:r>
            <w:r w:rsidR="001F571C">
              <w:rPr>
                <w:noProof/>
                <w:webHidden/>
              </w:rPr>
              <w:fldChar w:fldCharType="begin"/>
            </w:r>
            <w:r w:rsidR="001F571C">
              <w:rPr>
                <w:noProof/>
                <w:webHidden/>
              </w:rPr>
              <w:instrText xml:space="preserve"> PAGEREF _Toc88425824 \h </w:instrText>
            </w:r>
            <w:r w:rsidR="001F571C">
              <w:rPr>
                <w:noProof/>
                <w:webHidden/>
              </w:rPr>
            </w:r>
            <w:r w:rsidR="001F571C">
              <w:rPr>
                <w:noProof/>
                <w:webHidden/>
              </w:rPr>
              <w:fldChar w:fldCharType="separate"/>
            </w:r>
            <w:r w:rsidR="00285390">
              <w:rPr>
                <w:noProof/>
                <w:webHidden/>
              </w:rPr>
              <w:t>6</w:t>
            </w:r>
            <w:r w:rsidR="001F571C">
              <w:rPr>
                <w:noProof/>
                <w:webHidden/>
              </w:rPr>
              <w:fldChar w:fldCharType="end"/>
            </w:r>
          </w:hyperlink>
        </w:p>
        <w:p w14:paraId="51EB4B34" w14:textId="54C0ABFA" w:rsidR="001F571C" w:rsidRDefault="004F311F">
          <w:pPr>
            <w:pStyle w:val="Verzeichnis3"/>
            <w:tabs>
              <w:tab w:val="left" w:pos="1320"/>
              <w:tab w:val="right" w:leader="dot" w:pos="8494"/>
            </w:tabs>
            <w:rPr>
              <w:rFonts w:asciiTheme="minorHAnsi" w:hAnsiTheme="minorHAnsi" w:cstheme="minorBidi"/>
              <w:noProof/>
              <w:sz w:val="22"/>
            </w:rPr>
          </w:pPr>
          <w:hyperlink w:anchor="_Toc88425825" w:history="1">
            <w:r w:rsidR="001F571C" w:rsidRPr="006140B9">
              <w:rPr>
                <w:rStyle w:val="Hyperlink"/>
                <w:noProof/>
              </w:rPr>
              <w:t>3.1.3</w:t>
            </w:r>
            <w:r w:rsidR="001F571C">
              <w:rPr>
                <w:rFonts w:asciiTheme="minorHAnsi" w:hAnsiTheme="minorHAnsi" w:cstheme="minorBidi"/>
                <w:noProof/>
                <w:sz w:val="22"/>
              </w:rPr>
              <w:tab/>
            </w:r>
            <w:r w:rsidR="001F571C" w:rsidRPr="006140B9">
              <w:rPr>
                <w:rStyle w:val="Hyperlink"/>
                <w:noProof/>
              </w:rPr>
              <w:t>Aufbau der Stichprobe und deskriptive Statistiken</w:t>
            </w:r>
            <w:r w:rsidR="001F571C">
              <w:rPr>
                <w:noProof/>
                <w:webHidden/>
              </w:rPr>
              <w:tab/>
            </w:r>
            <w:r w:rsidR="001F571C">
              <w:rPr>
                <w:noProof/>
                <w:webHidden/>
              </w:rPr>
              <w:fldChar w:fldCharType="begin"/>
            </w:r>
            <w:r w:rsidR="001F571C">
              <w:rPr>
                <w:noProof/>
                <w:webHidden/>
              </w:rPr>
              <w:instrText xml:space="preserve"> PAGEREF _Toc88425825 \h </w:instrText>
            </w:r>
            <w:r w:rsidR="001F571C">
              <w:rPr>
                <w:noProof/>
                <w:webHidden/>
              </w:rPr>
            </w:r>
            <w:r w:rsidR="001F571C">
              <w:rPr>
                <w:noProof/>
                <w:webHidden/>
              </w:rPr>
              <w:fldChar w:fldCharType="separate"/>
            </w:r>
            <w:r w:rsidR="00285390">
              <w:rPr>
                <w:noProof/>
                <w:webHidden/>
              </w:rPr>
              <w:t>6</w:t>
            </w:r>
            <w:r w:rsidR="001F571C">
              <w:rPr>
                <w:noProof/>
                <w:webHidden/>
              </w:rPr>
              <w:fldChar w:fldCharType="end"/>
            </w:r>
          </w:hyperlink>
        </w:p>
        <w:p w14:paraId="4AB0D844" w14:textId="5533DCA6" w:rsidR="001F571C" w:rsidRDefault="004F311F">
          <w:pPr>
            <w:pStyle w:val="Verzeichnis2"/>
            <w:tabs>
              <w:tab w:val="left" w:pos="880"/>
              <w:tab w:val="right" w:leader="dot" w:pos="8494"/>
            </w:tabs>
            <w:rPr>
              <w:rFonts w:asciiTheme="minorHAnsi" w:hAnsiTheme="minorHAnsi" w:cstheme="minorBidi"/>
              <w:noProof/>
              <w:sz w:val="22"/>
            </w:rPr>
          </w:pPr>
          <w:hyperlink w:anchor="_Toc88425826" w:history="1">
            <w:r w:rsidR="001F571C" w:rsidRPr="006140B9">
              <w:rPr>
                <w:rStyle w:val="Hyperlink"/>
                <w:noProof/>
              </w:rPr>
              <w:t>3.2</w:t>
            </w:r>
            <w:r w:rsidR="001F571C">
              <w:rPr>
                <w:rFonts w:asciiTheme="minorHAnsi" w:hAnsiTheme="minorHAnsi" w:cstheme="minorBidi"/>
                <w:noProof/>
                <w:sz w:val="22"/>
              </w:rPr>
              <w:tab/>
            </w:r>
            <w:r w:rsidR="001F571C" w:rsidRPr="006140B9">
              <w:rPr>
                <w:rStyle w:val="Hyperlink"/>
                <w:noProof/>
              </w:rPr>
              <w:t>Clusteranalyse</w:t>
            </w:r>
            <w:r w:rsidR="001F571C">
              <w:rPr>
                <w:noProof/>
                <w:webHidden/>
              </w:rPr>
              <w:tab/>
            </w:r>
            <w:r w:rsidR="001F571C">
              <w:rPr>
                <w:noProof/>
                <w:webHidden/>
              </w:rPr>
              <w:fldChar w:fldCharType="begin"/>
            </w:r>
            <w:r w:rsidR="001F571C">
              <w:rPr>
                <w:noProof/>
                <w:webHidden/>
              </w:rPr>
              <w:instrText xml:space="preserve"> PAGEREF _Toc88425826 \h </w:instrText>
            </w:r>
            <w:r w:rsidR="001F571C">
              <w:rPr>
                <w:noProof/>
                <w:webHidden/>
              </w:rPr>
            </w:r>
            <w:r w:rsidR="001F571C">
              <w:rPr>
                <w:noProof/>
                <w:webHidden/>
              </w:rPr>
              <w:fldChar w:fldCharType="separate"/>
            </w:r>
            <w:r w:rsidR="00285390">
              <w:rPr>
                <w:noProof/>
                <w:webHidden/>
              </w:rPr>
              <w:t>8</w:t>
            </w:r>
            <w:r w:rsidR="001F571C">
              <w:rPr>
                <w:noProof/>
                <w:webHidden/>
              </w:rPr>
              <w:fldChar w:fldCharType="end"/>
            </w:r>
          </w:hyperlink>
        </w:p>
        <w:p w14:paraId="7D658264" w14:textId="65C89CA0" w:rsidR="001F571C" w:rsidRDefault="004F311F">
          <w:pPr>
            <w:pStyle w:val="Verzeichnis3"/>
            <w:tabs>
              <w:tab w:val="left" w:pos="1320"/>
              <w:tab w:val="right" w:leader="dot" w:pos="8494"/>
            </w:tabs>
            <w:rPr>
              <w:rFonts w:asciiTheme="minorHAnsi" w:hAnsiTheme="minorHAnsi" w:cstheme="minorBidi"/>
              <w:noProof/>
              <w:sz w:val="22"/>
            </w:rPr>
          </w:pPr>
          <w:hyperlink w:anchor="_Toc88425827" w:history="1">
            <w:r w:rsidR="001F571C" w:rsidRPr="006140B9">
              <w:rPr>
                <w:rStyle w:val="Hyperlink"/>
                <w:noProof/>
              </w:rPr>
              <w:t>3.2.1</w:t>
            </w:r>
            <w:r w:rsidR="001F571C">
              <w:rPr>
                <w:rFonts w:asciiTheme="minorHAnsi" w:hAnsiTheme="minorHAnsi" w:cstheme="minorBidi"/>
                <w:noProof/>
                <w:sz w:val="22"/>
              </w:rPr>
              <w:tab/>
            </w:r>
            <w:r w:rsidR="001F571C" w:rsidRPr="006140B9">
              <w:rPr>
                <w:rStyle w:val="Hyperlink"/>
                <w:noProof/>
              </w:rPr>
              <w:t>Auswahl des Distanz- / Ähnlichkeitsmaßes</w:t>
            </w:r>
            <w:r w:rsidR="001F571C">
              <w:rPr>
                <w:noProof/>
                <w:webHidden/>
              </w:rPr>
              <w:tab/>
            </w:r>
            <w:r w:rsidR="001F571C">
              <w:rPr>
                <w:noProof/>
                <w:webHidden/>
              </w:rPr>
              <w:fldChar w:fldCharType="begin"/>
            </w:r>
            <w:r w:rsidR="001F571C">
              <w:rPr>
                <w:noProof/>
                <w:webHidden/>
              </w:rPr>
              <w:instrText xml:space="preserve"> PAGEREF _Toc88425827 \h </w:instrText>
            </w:r>
            <w:r w:rsidR="001F571C">
              <w:rPr>
                <w:noProof/>
                <w:webHidden/>
              </w:rPr>
            </w:r>
            <w:r w:rsidR="001F571C">
              <w:rPr>
                <w:noProof/>
                <w:webHidden/>
              </w:rPr>
              <w:fldChar w:fldCharType="separate"/>
            </w:r>
            <w:r w:rsidR="00285390">
              <w:rPr>
                <w:noProof/>
                <w:webHidden/>
              </w:rPr>
              <w:t>8</w:t>
            </w:r>
            <w:r w:rsidR="001F571C">
              <w:rPr>
                <w:noProof/>
                <w:webHidden/>
              </w:rPr>
              <w:fldChar w:fldCharType="end"/>
            </w:r>
          </w:hyperlink>
        </w:p>
        <w:p w14:paraId="3A48206D" w14:textId="5E137908" w:rsidR="001F571C" w:rsidRDefault="004F311F">
          <w:pPr>
            <w:pStyle w:val="Verzeichnis3"/>
            <w:tabs>
              <w:tab w:val="left" w:pos="1320"/>
              <w:tab w:val="right" w:leader="dot" w:pos="8494"/>
            </w:tabs>
            <w:rPr>
              <w:rFonts w:asciiTheme="minorHAnsi" w:hAnsiTheme="minorHAnsi" w:cstheme="minorBidi"/>
              <w:noProof/>
              <w:sz w:val="22"/>
            </w:rPr>
          </w:pPr>
          <w:hyperlink w:anchor="_Toc88425828" w:history="1">
            <w:r w:rsidR="001F571C" w:rsidRPr="006140B9">
              <w:rPr>
                <w:rStyle w:val="Hyperlink"/>
                <w:noProof/>
              </w:rPr>
              <w:t>3.2.2</w:t>
            </w:r>
            <w:r w:rsidR="001F571C">
              <w:rPr>
                <w:rFonts w:asciiTheme="minorHAnsi" w:hAnsiTheme="minorHAnsi" w:cstheme="minorBidi"/>
                <w:noProof/>
                <w:sz w:val="22"/>
              </w:rPr>
              <w:tab/>
            </w:r>
            <w:r w:rsidR="001F571C" w:rsidRPr="006140B9">
              <w:rPr>
                <w:rStyle w:val="Hyperlink"/>
                <w:noProof/>
              </w:rPr>
              <w:t>Auswahl des Clusterverfahrens</w:t>
            </w:r>
            <w:r w:rsidR="001F571C">
              <w:rPr>
                <w:noProof/>
                <w:webHidden/>
              </w:rPr>
              <w:tab/>
            </w:r>
            <w:r w:rsidR="001F571C">
              <w:rPr>
                <w:noProof/>
                <w:webHidden/>
              </w:rPr>
              <w:fldChar w:fldCharType="begin"/>
            </w:r>
            <w:r w:rsidR="001F571C">
              <w:rPr>
                <w:noProof/>
                <w:webHidden/>
              </w:rPr>
              <w:instrText xml:space="preserve"> PAGEREF _Toc88425828 \h </w:instrText>
            </w:r>
            <w:r w:rsidR="001F571C">
              <w:rPr>
                <w:noProof/>
                <w:webHidden/>
              </w:rPr>
            </w:r>
            <w:r w:rsidR="001F571C">
              <w:rPr>
                <w:noProof/>
                <w:webHidden/>
              </w:rPr>
              <w:fldChar w:fldCharType="separate"/>
            </w:r>
            <w:r w:rsidR="00285390">
              <w:rPr>
                <w:noProof/>
                <w:webHidden/>
              </w:rPr>
              <w:t>11</w:t>
            </w:r>
            <w:r w:rsidR="001F571C">
              <w:rPr>
                <w:noProof/>
                <w:webHidden/>
              </w:rPr>
              <w:fldChar w:fldCharType="end"/>
            </w:r>
          </w:hyperlink>
        </w:p>
        <w:p w14:paraId="7C10D73A" w14:textId="0BB036C9" w:rsidR="001F571C" w:rsidRDefault="004F311F">
          <w:pPr>
            <w:pStyle w:val="Verzeichnis3"/>
            <w:tabs>
              <w:tab w:val="left" w:pos="1320"/>
              <w:tab w:val="right" w:leader="dot" w:pos="8494"/>
            </w:tabs>
            <w:rPr>
              <w:rFonts w:asciiTheme="minorHAnsi" w:hAnsiTheme="minorHAnsi" w:cstheme="minorBidi"/>
              <w:noProof/>
              <w:sz w:val="22"/>
            </w:rPr>
          </w:pPr>
          <w:hyperlink w:anchor="_Toc88425829" w:history="1">
            <w:r w:rsidR="001F571C" w:rsidRPr="006140B9">
              <w:rPr>
                <w:rStyle w:val="Hyperlink"/>
                <w:noProof/>
              </w:rPr>
              <w:t>3.2.3</w:t>
            </w:r>
            <w:r w:rsidR="001F571C">
              <w:rPr>
                <w:rFonts w:asciiTheme="minorHAnsi" w:hAnsiTheme="minorHAnsi" w:cstheme="minorBidi"/>
                <w:noProof/>
                <w:sz w:val="22"/>
              </w:rPr>
              <w:tab/>
            </w:r>
            <w:r w:rsidR="001F571C" w:rsidRPr="006140B9">
              <w:rPr>
                <w:rStyle w:val="Hyperlink"/>
                <w:noProof/>
              </w:rPr>
              <w:t>Bestimmung der optimalen Clusterzahl</w:t>
            </w:r>
            <w:r w:rsidR="001F571C">
              <w:rPr>
                <w:noProof/>
                <w:webHidden/>
              </w:rPr>
              <w:tab/>
            </w:r>
            <w:r w:rsidR="001F571C">
              <w:rPr>
                <w:noProof/>
                <w:webHidden/>
              </w:rPr>
              <w:fldChar w:fldCharType="begin"/>
            </w:r>
            <w:r w:rsidR="001F571C">
              <w:rPr>
                <w:noProof/>
                <w:webHidden/>
              </w:rPr>
              <w:instrText xml:space="preserve"> PAGEREF _Toc88425829 \h </w:instrText>
            </w:r>
            <w:r w:rsidR="001F571C">
              <w:rPr>
                <w:noProof/>
                <w:webHidden/>
              </w:rPr>
            </w:r>
            <w:r w:rsidR="001F571C">
              <w:rPr>
                <w:noProof/>
                <w:webHidden/>
              </w:rPr>
              <w:fldChar w:fldCharType="separate"/>
            </w:r>
            <w:r w:rsidR="00285390">
              <w:rPr>
                <w:noProof/>
                <w:webHidden/>
              </w:rPr>
              <w:t>13</w:t>
            </w:r>
            <w:r w:rsidR="001F571C">
              <w:rPr>
                <w:noProof/>
                <w:webHidden/>
              </w:rPr>
              <w:fldChar w:fldCharType="end"/>
            </w:r>
          </w:hyperlink>
        </w:p>
        <w:p w14:paraId="2D1DBFE9" w14:textId="6212E0D4" w:rsidR="001F571C" w:rsidRDefault="004F311F">
          <w:pPr>
            <w:pStyle w:val="Verzeichnis3"/>
            <w:tabs>
              <w:tab w:val="left" w:pos="1320"/>
              <w:tab w:val="right" w:leader="dot" w:pos="8494"/>
            </w:tabs>
            <w:rPr>
              <w:rFonts w:asciiTheme="minorHAnsi" w:hAnsiTheme="minorHAnsi" w:cstheme="minorBidi"/>
              <w:noProof/>
              <w:sz w:val="22"/>
            </w:rPr>
          </w:pPr>
          <w:hyperlink w:anchor="_Toc88425830" w:history="1">
            <w:r w:rsidR="001F571C" w:rsidRPr="006140B9">
              <w:rPr>
                <w:rStyle w:val="Hyperlink"/>
                <w:noProof/>
              </w:rPr>
              <w:t>3.2.4</w:t>
            </w:r>
            <w:r w:rsidR="001F571C">
              <w:rPr>
                <w:rFonts w:asciiTheme="minorHAnsi" w:hAnsiTheme="minorHAnsi" w:cstheme="minorBidi"/>
                <w:noProof/>
                <w:sz w:val="22"/>
              </w:rPr>
              <w:tab/>
            </w:r>
            <w:r w:rsidR="001F571C" w:rsidRPr="006140B9">
              <w:rPr>
                <w:rStyle w:val="Hyperlink"/>
                <w:noProof/>
              </w:rPr>
              <w:t>Weitere Teststatistiken</w:t>
            </w:r>
            <w:r w:rsidR="001F571C">
              <w:rPr>
                <w:noProof/>
                <w:webHidden/>
              </w:rPr>
              <w:tab/>
            </w:r>
            <w:r w:rsidR="001F571C">
              <w:rPr>
                <w:noProof/>
                <w:webHidden/>
              </w:rPr>
              <w:fldChar w:fldCharType="begin"/>
            </w:r>
            <w:r w:rsidR="001F571C">
              <w:rPr>
                <w:noProof/>
                <w:webHidden/>
              </w:rPr>
              <w:instrText xml:space="preserve"> PAGEREF _Toc88425830 \h </w:instrText>
            </w:r>
            <w:r w:rsidR="001F571C">
              <w:rPr>
                <w:noProof/>
                <w:webHidden/>
              </w:rPr>
            </w:r>
            <w:r w:rsidR="001F571C">
              <w:rPr>
                <w:noProof/>
                <w:webHidden/>
              </w:rPr>
              <w:fldChar w:fldCharType="separate"/>
            </w:r>
            <w:r w:rsidR="00285390">
              <w:rPr>
                <w:noProof/>
                <w:webHidden/>
              </w:rPr>
              <w:t>14</w:t>
            </w:r>
            <w:r w:rsidR="001F571C">
              <w:rPr>
                <w:noProof/>
                <w:webHidden/>
              </w:rPr>
              <w:fldChar w:fldCharType="end"/>
            </w:r>
          </w:hyperlink>
        </w:p>
        <w:p w14:paraId="69582097" w14:textId="2AA9F8FE" w:rsidR="001F571C" w:rsidRDefault="004F311F">
          <w:pPr>
            <w:pStyle w:val="Verzeichnis2"/>
            <w:tabs>
              <w:tab w:val="left" w:pos="880"/>
              <w:tab w:val="right" w:leader="dot" w:pos="8494"/>
            </w:tabs>
            <w:rPr>
              <w:rFonts w:asciiTheme="minorHAnsi" w:hAnsiTheme="minorHAnsi" w:cstheme="minorBidi"/>
              <w:noProof/>
              <w:sz w:val="22"/>
            </w:rPr>
          </w:pPr>
          <w:hyperlink w:anchor="_Toc88425831" w:history="1">
            <w:r w:rsidR="001F571C" w:rsidRPr="006140B9">
              <w:rPr>
                <w:rStyle w:val="Hyperlink"/>
                <w:noProof/>
              </w:rPr>
              <w:t>3.3</w:t>
            </w:r>
            <w:r w:rsidR="001F571C">
              <w:rPr>
                <w:rFonts w:asciiTheme="minorHAnsi" w:hAnsiTheme="minorHAnsi" w:cstheme="minorBidi"/>
                <w:noProof/>
                <w:sz w:val="22"/>
              </w:rPr>
              <w:tab/>
            </w:r>
            <w:r w:rsidR="001F571C" w:rsidRPr="006140B9">
              <w:rPr>
                <w:rStyle w:val="Hyperlink"/>
                <w:noProof/>
              </w:rPr>
              <w:t>Regressionsanalyse</w:t>
            </w:r>
            <w:r w:rsidR="001F571C">
              <w:rPr>
                <w:noProof/>
                <w:webHidden/>
              </w:rPr>
              <w:tab/>
            </w:r>
            <w:r w:rsidR="001F571C">
              <w:rPr>
                <w:noProof/>
                <w:webHidden/>
              </w:rPr>
              <w:fldChar w:fldCharType="begin"/>
            </w:r>
            <w:r w:rsidR="001F571C">
              <w:rPr>
                <w:noProof/>
                <w:webHidden/>
              </w:rPr>
              <w:instrText xml:space="preserve"> PAGEREF _Toc88425831 \h </w:instrText>
            </w:r>
            <w:r w:rsidR="001F571C">
              <w:rPr>
                <w:noProof/>
                <w:webHidden/>
              </w:rPr>
            </w:r>
            <w:r w:rsidR="001F571C">
              <w:rPr>
                <w:noProof/>
                <w:webHidden/>
              </w:rPr>
              <w:fldChar w:fldCharType="separate"/>
            </w:r>
            <w:r w:rsidR="00285390">
              <w:rPr>
                <w:noProof/>
                <w:webHidden/>
              </w:rPr>
              <w:t>14</w:t>
            </w:r>
            <w:r w:rsidR="001F571C">
              <w:rPr>
                <w:noProof/>
                <w:webHidden/>
              </w:rPr>
              <w:fldChar w:fldCharType="end"/>
            </w:r>
          </w:hyperlink>
        </w:p>
        <w:p w14:paraId="74E71D9D" w14:textId="0D53D5AB" w:rsidR="001F571C" w:rsidRDefault="004F311F">
          <w:pPr>
            <w:pStyle w:val="Verzeichnis3"/>
            <w:tabs>
              <w:tab w:val="left" w:pos="1320"/>
              <w:tab w:val="right" w:leader="dot" w:pos="8494"/>
            </w:tabs>
            <w:rPr>
              <w:rFonts w:asciiTheme="minorHAnsi" w:hAnsiTheme="minorHAnsi" w:cstheme="minorBidi"/>
              <w:noProof/>
              <w:sz w:val="22"/>
            </w:rPr>
          </w:pPr>
          <w:hyperlink w:anchor="_Toc88425832" w:history="1">
            <w:r w:rsidR="001F571C" w:rsidRPr="006140B9">
              <w:rPr>
                <w:rStyle w:val="Hyperlink"/>
                <w:noProof/>
              </w:rPr>
              <w:t>3.3.1</w:t>
            </w:r>
            <w:r w:rsidR="001F571C">
              <w:rPr>
                <w:rFonts w:asciiTheme="minorHAnsi" w:hAnsiTheme="minorHAnsi" w:cstheme="minorBidi"/>
                <w:noProof/>
                <w:sz w:val="22"/>
              </w:rPr>
              <w:tab/>
            </w:r>
            <w:r w:rsidR="001F571C" w:rsidRPr="006140B9">
              <w:rPr>
                <w:rStyle w:val="Hyperlink"/>
                <w:noProof/>
              </w:rPr>
              <w:t>Probit- und Logit-Modelle</w:t>
            </w:r>
            <w:r w:rsidR="001F571C">
              <w:rPr>
                <w:noProof/>
                <w:webHidden/>
              </w:rPr>
              <w:tab/>
            </w:r>
            <w:r w:rsidR="001F571C">
              <w:rPr>
                <w:noProof/>
                <w:webHidden/>
              </w:rPr>
              <w:fldChar w:fldCharType="begin"/>
            </w:r>
            <w:r w:rsidR="001F571C">
              <w:rPr>
                <w:noProof/>
                <w:webHidden/>
              </w:rPr>
              <w:instrText xml:space="preserve"> PAGEREF _Toc88425832 \h </w:instrText>
            </w:r>
            <w:r w:rsidR="001F571C">
              <w:rPr>
                <w:noProof/>
                <w:webHidden/>
              </w:rPr>
            </w:r>
            <w:r w:rsidR="001F571C">
              <w:rPr>
                <w:noProof/>
                <w:webHidden/>
              </w:rPr>
              <w:fldChar w:fldCharType="separate"/>
            </w:r>
            <w:r w:rsidR="00285390">
              <w:rPr>
                <w:noProof/>
                <w:webHidden/>
              </w:rPr>
              <w:t>14</w:t>
            </w:r>
            <w:r w:rsidR="001F571C">
              <w:rPr>
                <w:noProof/>
                <w:webHidden/>
              </w:rPr>
              <w:fldChar w:fldCharType="end"/>
            </w:r>
          </w:hyperlink>
        </w:p>
        <w:p w14:paraId="61680B4A" w14:textId="7146A2CA" w:rsidR="001F571C" w:rsidRDefault="004F311F">
          <w:pPr>
            <w:pStyle w:val="Verzeichnis3"/>
            <w:tabs>
              <w:tab w:val="left" w:pos="1320"/>
              <w:tab w:val="right" w:leader="dot" w:pos="8494"/>
            </w:tabs>
            <w:rPr>
              <w:rFonts w:asciiTheme="minorHAnsi" w:hAnsiTheme="minorHAnsi" w:cstheme="minorBidi"/>
              <w:noProof/>
              <w:sz w:val="22"/>
            </w:rPr>
          </w:pPr>
          <w:hyperlink w:anchor="_Toc88425833" w:history="1">
            <w:r w:rsidR="001F571C" w:rsidRPr="006140B9">
              <w:rPr>
                <w:rStyle w:val="Hyperlink"/>
                <w:noProof/>
              </w:rPr>
              <w:t>3.3.2</w:t>
            </w:r>
            <w:r w:rsidR="001F571C">
              <w:rPr>
                <w:rFonts w:asciiTheme="minorHAnsi" w:hAnsiTheme="minorHAnsi" w:cstheme="minorBidi"/>
                <w:noProof/>
                <w:sz w:val="22"/>
              </w:rPr>
              <w:tab/>
            </w:r>
            <w:r w:rsidR="001F571C" w:rsidRPr="006140B9">
              <w:rPr>
                <w:rStyle w:val="Hyperlink"/>
                <w:noProof/>
              </w:rPr>
              <w:t>Interpretation der Ausgabe</w:t>
            </w:r>
            <w:r w:rsidR="001F571C">
              <w:rPr>
                <w:noProof/>
                <w:webHidden/>
              </w:rPr>
              <w:tab/>
            </w:r>
            <w:r w:rsidR="001F571C">
              <w:rPr>
                <w:noProof/>
                <w:webHidden/>
              </w:rPr>
              <w:fldChar w:fldCharType="begin"/>
            </w:r>
            <w:r w:rsidR="001F571C">
              <w:rPr>
                <w:noProof/>
                <w:webHidden/>
              </w:rPr>
              <w:instrText xml:space="preserve"> PAGEREF _Toc88425833 \h </w:instrText>
            </w:r>
            <w:r w:rsidR="001F571C">
              <w:rPr>
                <w:noProof/>
                <w:webHidden/>
              </w:rPr>
            </w:r>
            <w:r w:rsidR="001F571C">
              <w:rPr>
                <w:noProof/>
                <w:webHidden/>
              </w:rPr>
              <w:fldChar w:fldCharType="separate"/>
            </w:r>
            <w:r w:rsidR="00285390">
              <w:rPr>
                <w:noProof/>
                <w:webHidden/>
              </w:rPr>
              <w:t>15</w:t>
            </w:r>
            <w:r w:rsidR="001F571C">
              <w:rPr>
                <w:noProof/>
                <w:webHidden/>
              </w:rPr>
              <w:fldChar w:fldCharType="end"/>
            </w:r>
          </w:hyperlink>
        </w:p>
        <w:p w14:paraId="6F860E71" w14:textId="5A4DED7B" w:rsidR="001F571C" w:rsidRDefault="004F311F">
          <w:pPr>
            <w:pStyle w:val="Verzeichnis3"/>
            <w:tabs>
              <w:tab w:val="left" w:pos="1320"/>
              <w:tab w:val="right" w:leader="dot" w:pos="8494"/>
            </w:tabs>
            <w:rPr>
              <w:rFonts w:asciiTheme="minorHAnsi" w:hAnsiTheme="minorHAnsi" w:cstheme="minorBidi"/>
              <w:noProof/>
              <w:sz w:val="22"/>
            </w:rPr>
          </w:pPr>
          <w:hyperlink w:anchor="_Toc88425834" w:history="1">
            <w:r w:rsidR="001F571C" w:rsidRPr="006140B9">
              <w:rPr>
                <w:rStyle w:val="Hyperlink"/>
                <w:noProof/>
              </w:rPr>
              <w:t>3.3.3</w:t>
            </w:r>
            <w:r w:rsidR="001F571C">
              <w:rPr>
                <w:rFonts w:asciiTheme="minorHAnsi" w:hAnsiTheme="minorHAnsi" w:cstheme="minorBidi"/>
                <w:noProof/>
                <w:sz w:val="22"/>
              </w:rPr>
              <w:tab/>
            </w:r>
            <w:r w:rsidR="001F571C" w:rsidRPr="006140B9">
              <w:rPr>
                <w:rStyle w:val="Hyperlink"/>
                <w:noProof/>
              </w:rPr>
              <w:t>Zusätzliche Robustheitstests</w:t>
            </w:r>
            <w:r w:rsidR="001F571C">
              <w:rPr>
                <w:noProof/>
                <w:webHidden/>
              </w:rPr>
              <w:tab/>
            </w:r>
            <w:r w:rsidR="001F571C">
              <w:rPr>
                <w:noProof/>
                <w:webHidden/>
              </w:rPr>
              <w:fldChar w:fldCharType="begin"/>
            </w:r>
            <w:r w:rsidR="001F571C">
              <w:rPr>
                <w:noProof/>
                <w:webHidden/>
              </w:rPr>
              <w:instrText xml:space="preserve"> PAGEREF _Toc88425834 \h </w:instrText>
            </w:r>
            <w:r w:rsidR="001F571C">
              <w:rPr>
                <w:noProof/>
                <w:webHidden/>
              </w:rPr>
            </w:r>
            <w:r w:rsidR="001F571C">
              <w:rPr>
                <w:noProof/>
                <w:webHidden/>
              </w:rPr>
              <w:fldChar w:fldCharType="separate"/>
            </w:r>
            <w:r w:rsidR="00285390">
              <w:rPr>
                <w:noProof/>
                <w:webHidden/>
              </w:rPr>
              <w:t>16</w:t>
            </w:r>
            <w:r w:rsidR="001F571C">
              <w:rPr>
                <w:noProof/>
                <w:webHidden/>
              </w:rPr>
              <w:fldChar w:fldCharType="end"/>
            </w:r>
          </w:hyperlink>
        </w:p>
        <w:p w14:paraId="04E4E8DC" w14:textId="5FBD1C2A" w:rsidR="001F571C" w:rsidRDefault="004F311F">
          <w:pPr>
            <w:pStyle w:val="Verzeichnis3"/>
            <w:tabs>
              <w:tab w:val="left" w:pos="1320"/>
              <w:tab w:val="right" w:leader="dot" w:pos="8494"/>
            </w:tabs>
            <w:rPr>
              <w:rFonts w:asciiTheme="minorHAnsi" w:hAnsiTheme="minorHAnsi" w:cstheme="minorBidi"/>
              <w:noProof/>
              <w:sz w:val="22"/>
            </w:rPr>
          </w:pPr>
          <w:hyperlink w:anchor="_Toc88425835" w:history="1">
            <w:r w:rsidR="001F571C" w:rsidRPr="006140B9">
              <w:rPr>
                <w:rStyle w:val="Hyperlink"/>
                <w:noProof/>
              </w:rPr>
              <w:t>3.3.4</w:t>
            </w:r>
            <w:r w:rsidR="001F571C">
              <w:rPr>
                <w:rFonts w:asciiTheme="minorHAnsi" w:hAnsiTheme="minorHAnsi" w:cstheme="minorBidi"/>
                <w:noProof/>
                <w:sz w:val="22"/>
              </w:rPr>
              <w:tab/>
            </w:r>
            <w:r w:rsidR="001F571C" w:rsidRPr="006140B9">
              <w:rPr>
                <w:rStyle w:val="Hyperlink"/>
                <w:noProof/>
              </w:rPr>
              <w:t>Regressionsvariablen</w:t>
            </w:r>
            <w:r w:rsidR="001F571C">
              <w:rPr>
                <w:noProof/>
                <w:webHidden/>
              </w:rPr>
              <w:tab/>
            </w:r>
            <w:r w:rsidR="001F571C">
              <w:rPr>
                <w:noProof/>
                <w:webHidden/>
              </w:rPr>
              <w:fldChar w:fldCharType="begin"/>
            </w:r>
            <w:r w:rsidR="001F571C">
              <w:rPr>
                <w:noProof/>
                <w:webHidden/>
              </w:rPr>
              <w:instrText xml:space="preserve"> PAGEREF _Toc88425835 \h </w:instrText>
            </w:r>
            <w:r w:rsidR="001F571C">
              <w:rPr>
                <w:noProof/>
                <w:webHidden/>
              </w:rPr>
            </w:r>
            <w:r w:rsidR="001F571C">
              <w:rPr>
                <w:noProof/>
                <w:webHidden/>
              </w:rPr>
              <w:fldChar w:fldCharType="separate"/>
            </w:r>
            <w:r w:rsidR="00285390">
              <w:rPr>
                <w:noProof/>
                <w:webHidden/>
              </w:rPr>
              <w:t>17</w:t>
            </w:r>
            <w:r w:rsidR="001F571C">
              <w:rPr>
                <w:noProof/>
                <w:webHidden/>
              </w:rPr>
              <w:fldChar w:fldCharType="end"/>
            </w:r>
          </w:hyperlink>
        </w:p>
        <w:p w14:paraId="5CC5F14C" w14:textId="7833A086" w:rsidR="001F571C" w:rsidRDefault="004F311F">
          <w:pPr>
            <w:pStyle w:val="Verzeichnis1"/>
            <w:tabs>
              <w:tab w:val="left" w:pos="440"/>
              <w:tab w:val="right" w:leader="dot" w:pos="8494"/>
            </w:tabs>
            <w:rPr>
              <w:rFonts w:asciiTheme="minorHAnsi" w:hAnsiTheme="minorHAnsi" w:cstheme="minorBidi"/>
              <w:b w:val="0"/>
              <w:noProof/>
              <w:sz w:val="22"/>
            </w:rPr>
          </w:pPr>
          <w:hyperlink w:anchor="_Toc88425836" w:history="1">
            <w:r w:rsidR="001F571C" w:rsidRPr="006140B9">
              <w:rPr>
                <w:rStyle w:val="Hyperlink"/>
                <w:noProof/>
              </w:rPr>
              <w:t>4.</w:t>
            </w:r>
            <w:r w:rsidR="001F571C">
              <w:rPr>
                <w:rFonts w:asciiTheme="minorHAnsi" w:hAnsiTheme="minorHAnsi" w:cstheme="minorBidi"/>
                <w:b w:val="0"/>
                <w:noProof/>
                <w:sz w:val="22"/>
              </w:rPr>
              <w:tab/>
            </w:r>
            <w:r w:rsidR="001F571C" w:rsidRPr="006140B9">
              <w:rPr>
                <w:rStyle w:val="Hyperlink"/>
                <w:noProof/>
              </w:rPr>
              <w:t>Finanzierungsmuster und Hypothesen</w:t>
            </w:r>
            <w:r w:rsidR="001F571C">
              <w:rPr>
                <w:noProof/>
                <w:webHidden/>
              </w:rPr>
              <w:tab/>
            </w:r>
            <w:r w:rsidR="001F571C">
              <w:rPr>
                <w:noProof/>
                <w:webHidden/>
              </w:rPr>
              <w:fldChar w:fldCharType="begin"/>
            </w:r>
            <w:r w:rsidR="001F571C">
              <w:rPr>
                <w:noProof/>
                <w:webHidden/>
              </w:rPr>
              <w:instrText xml:space="preserve"> PAGEREF _Toc88425836 \h </w:instrText>
            </w:r>
            <w:r w:rsidR="001F571C">
              <w:rPr>
                <w:noProof/>
                <w:webHidden/>
              </w:rPr>
            </w:r>
            <w:r w:rsidR="001F571C">
              <w:rPr>
                <w:noProof/>
                <w:webHidden/>
              </w:rPr>
              <w:fldChar w:fldCharType="separate"/>
            </w:r>
            <w:r w:rsidR="00285390">
              <w:rPr>
                <w:noProof/>
                <w:webHidden/>
              </w:rPr>
              <w:t>19</w:t>
            </w:r>
            <w:r w:rsidR="001F571C">
              <w:rPr>
                <w:noProof/>
                <w:webHidden/>
              </w:rPr>
              <w:fldChar w:fldCharType="end"/>
            </w:r>
          </w:hyperlink>
        </w:p>
        <w:p w14:paraId="30C6E559" w14:textId="3B2A26FD" w:rsidR="001F571C" w:rsidRDefault="004F311F">
          <w:pPr>
            <w:pStyle w:val="Verzeichnis2"/>
            <w:tabs>
              <w:tab w:val="left" w:pos="880"/>
              <w:tab w:val="right" w:leader="dot" w:pos="8494"/>
            </w:tabs>
            <w:rPr>
              <w:rFonts w:asciiTheme="minorHAnsi" w:hAnsiTheme="minorHAnsi" w:cstheme="minorBidi"/>
              <w:noProof/>
              <w:sz w:val="22"/>
            </w:rPr>
          </w:pPr>
          <w:hyperlink w:anchor="_Toc88425837" w:history="1">
            <w:r w:rsidR="001F571C" w:rsidRPr="006140B9">
              <w:rPr>
                <w:rStyle w:val="Hyperlink"/>
                <w:noProof/>
              </w:rPr>
              <w:t>4.1</w:t>
            </w:r>
            <w:r w:rsidR="001F571C">
              <w:rPr>
                <w:rFonts w:asciiTheme="minorHAnsi" w:hAnsiTheme="minorHAnsi" w:cstheme="minorBidi"/>
                <w:noProof/>
                <w:sz w:val="22"/>
              </w:rPr>
              <w:tab/>
            </w:r>
            <w:r w:rsidR="001F571C" w:rsidRPr="006140B9">
              <w:rPr>
                <w:rStyle w:val="Hyperlink"/>
                <w:noProof/>
              </w:rPr>
              <w:t>Ergebnisse der Clusteranalyse und daraus abgeleitete Finanzierungsmuster</w:t>
            </w:r>
            <w:r w:rsidR="001F571C">
              <w:rPr>
                <w:noProof/>
                <w:webHidden/>
              </w:rPr>
              <w:tab/>
            </w:r>
            <w:r w:rsidR="001F571C">
              <w:rPr>
                <w:noProof/>
                <w:webHidden/>
              </w:rPr>
              <w:fldChar w:fldCharType="begin"/>
            </w:r>
            <w:r w:rsidR="001F571C">
              <w:rPr>
                <w:noProof/>
                <w:webHidden/>
              </w:rPr>
              <w:instrText xml:space="preserve"> PAGEREF _Toc88425837 \h </w:instrText>
            </w:r>
            <w:r w:rsidR="001F571C">
              <w:rPr>
                <w:noProof/>
                <w:webHidden/>
              </w:rPr>
            </w:r>
            <w:r w:rsidR="001F571C">
              <w:rPr>
                <w:noProof/>
                <w:webHidden/>
              </w:rPr>
              <w:fldChar w:fldCharType="separate"/>
            </w:r>
            <w:r w:rsidR="00285390">
              <w:rPr>
                <w:noProof/>
                <w:webHidden/>
              </w:rPr>
              <w:t>19</w:t>
            </w:r>
            <w:r w:rsidR="001F571C">
              <w:rPr>
                <w:noProof/>
                <w:webHidden/>
              </w:rPr>
              <w:fldChar w:fldCharType="end"/>
            </w:r>
          </w:hyperlink>
        </w:p>
        <w:p w14:paraId="59596105" w14:textId="7219BFC3" w:rsidR="001F571C" w:rsidRDefault="004F311F">
          <w:pPr>
            <w:pStyle w:val="Verzeichnis2"/>
            <w:tabs>
              <w:tab w:val="left" w:pos="880"/>
              <w:tab w:val="right" w:leader="dot" w:pos="8494"/>
            </w:tabs>
            <w:rPr>
              <w:rFonts w:asciiTheme="minorHAnsi" w:hAnsiTheme="minorHAnsi" w:cstheme="minorBidi"/>
              <w:noProof/>
              <w:sz w:val="22"/>
            </w:rPr>
          </w:pPr>
          <w:hyperlink w:anchor="_Toc88425838" w:history="1">
            <w:r w:rsidR="001F571C" w:rsidRPr="006140B9">
              <w:rPr>
                <w:rStyle w:val="Hyperlink"/>
                <w:noProof/>
              </w:rPr>
              <w:t>4.2</w:t>
            </w:r>
            <w:r w:rsidR="001F571C">
              <w:rPr>
                <w:rFonts w:asciiTheme="minorHAnsi" w:hAnsiTheme="minorHAnsi" w:cstheme="minorBidi"/>
                <w:noProof/>
                <w:sz w:val="22"/>
              </w:rPr>
              <w:tab/>
            </w:r>
            <w:r w:rsidR="001F571C" w:rsidRPr="006140B9">
              <w:rPr>
                <w:rStyle w:val="Hyperlink"/>
                <w:noProof/>
              </w:rPr>
              <w:t>Hypothesen</w:t>
            </w:r>
            <w:r w:rsidR="001F571C">
              <w:rPr>
                <w:noProof/>
                <w:webHidden/>
              </w:rPr>
              <w:tab/>
            </w:r>
            <w:r w:rsidR="001F571C">
              <w:rPr>
                <w:noProof/>
                <w:webHidden/>
              </w:rPr>
              <w:fldChar w:fldCharType="begin"/>
            </w:r>
            <w:r w:rsidR="001F571C">
              <w:rPr>
                <w:noProof/>
                <w:webHidden/>
              </w:rPr>
              <w:instrText xml:space="preserve"> PAGEREF _Toc88425838 \h </w:instrText>
            </w:r>
            <w:r w:rsidR="001F571C">
              <w:rPr>
                <w:noProof/>
                <w:webHidden/>
              </w:rPr>
            </w:r>
            <w:r w:rsidR="001F571C">
              <w:rPr>
                <w:noProof/>
                <w:webHidden/>
              </w:rPr>
              <w:fldChar w:fldCharType="separate"/>
            </w:r>
            <w:r w:rsidR="00285390">
              <w:rPr>
                <w:noProof/>
                <w:webHidden/>
              </w:rPr>
              <w:t>22</w:t>
            </w:r>
            <w:r w:rsidR="001F571C">
              <w:rPr>
                <w:noProof/>
                <w:webHidden/>
              </w:rPr>
              <w:fldChar w:fldCharType="end"/>
            </w:r>
          </w:hyperlink>
        </w:p>
        <w:p w14:paraId="54EBE6EA" w14:textId="57C75BB9" w:rsidR="001F571C" w:rsidRDefault="004F311F">
          <w:pPr>
            <w:pStyle w:val="Verzeichnis1"/>
            <w:tabs>
              <w:tab w:val="left" w:pos="440"/>
              <w:tab w:val="right" w:leader="dot" w:pos="8494"/>
            </w:tabs>
            <w:rPr>
              <w:rFonts w:asciiTheme="minorHAnsi" w:hAnsiTheme="minorHAnsi" w:cstheme="minorBidi"/>
              <w:b w:val="0"/>
              <w:noProof/>
              <w:sz w:val="22"/>
            </w:rPr>
          </w:pPr>
          <w:hyperlink w:anchor="_Toc88425839" w:history="1">
            <w:r w:rsidR="001F571C" w:rsidRPr="006140B9">
              <w:rPr>
                <w:rStyle w:val="Hyperlink"/>
                <w:noProof/>
              </w:rPr>
              <w:t>5.</w:t>
            </w:r>
            <w:r w:rsidR="001F571C">
              <w:rPr>
                <w:rFonts w:asciiTheme="minorHAnsi" w:hAnsiTheme="minorHAnsi" w:cstheme="minorBidi"/>
                <w:b w:val="0"/>
                <w:noProof/>
                <w:sz w:val="22"/>
              </w:rPr>
              <w:tab/>
            </w:r>
            <w:r w:rsidR="001F571C" w:rsidRPr="006140B9">
              <w:rPr>
                <w:rStyle w:val="Hyperlink"/>
                <w:noProof/>
              </w:rPr>
              <w:t>Regressionsergebnisse</w:t>
            </w:r>
            <w:r w:rsidR="001F571C">
              <w:rPr>
                <w:noProof/>
                <w:webHidden/>
              </w:rPr>
              <w:tab/>
            </w:r>
            <w:r w:rsidR="001F571C">
              <w:rPr>
                <w:noProof/>
                <w:webHidden/>
              </w:rPr>
              <w:fldChar w:fldCharType="begin"/>
            </w:r>
            <w:r w:rsidR="001F571C">
              <w:rPr>
                <w:noProof/>
                <w:webHidden/>
              </w:rPr>
              <w:instrText xml:space="preserve"> PAGEREF _Toc88425839 \h </w:instrText>
            </w:r>
            <w:r w:rsidR="001F571C">
              <w:rPr>
                <w:noProof/>
                <w:webHidden/>
              </w:rPr>
            </w:r>
            <w:r w:rsidR="001F571C">
              <w:rPr>
                <w:noProof/>
                <w:webHidden/>
              </w:rPr>
              <w:fldChar w:fldCharType="separate"/>
            </w:r>
            <w:r w:rsidR="00285390">
              <w:rPr>
                <w:noProof/>
                <w:webHidden/>
              </w:rPr>
              <w:t>25</w:t>
            </w:r>
            <w:r w:rsidR="001F571C">
              <w:rPr>
                <w:noProof/>
                <w:webHidden/>
              </w:rPr>
              <w:fldChar w:fldCharType="end"/>
            </w:r>
          </w:hyperlink>
        </w:p>
        <w:p w14:paraId="790680A3" w14:textId="0041B648" w:rsidR="001F571C" w:rsidRDefault="004F311F">
          <w:pPr>
            <w:pStyle w:val="Verzeichnis2"/>
            <w:tabs>
              <w:tab w:val="left" w:pos="880"/>
              <w:tab w:val="right" w:leader="dot" w:pos="8494"/>
            </w:tabs>
            <w:rPr>
              <w:rFonts w:asciiTheme="minorHAnsi" w:hAnsiTheme="minorHAnsi" w:cstheme="minorBidi"/>
              <w:noProof/>
              <w:sz w:val="22"/>
            </w:rPr>
          </w:pPr>
          <w:hyperlink w:anchor="_Toc88425840" w:history="1">
            <w:r w:rsidR="001F571C" w:rsidRPr="006140B9">
              <w:rPr>
                <w:rStyle w:val="Hyperlink"/>
                <w:noProof/>
              </w:rPr>
              <w:t>5.1</w:t>
            </w:r>
            <w:r w:rsidR="001F571C">
              <w:rPr>
                <w:rFonts w:asciiTheme="minorHAnsi" w:hAnsiTheme="minorHAnsi" w:cstheme="minorBidi"/>
                <w:noProof/>
                <w:sz w:val="22"/>
              </w:rPr>
              <w:tab/>
            </w:r>
            <w:r w:rsidR="001F571C" w:rsidRPr="006140B9">
              <w:rPr>
                <w:rStyle w:val="Hyperlink"/>
                <w:noProof/>
              </w:rPr>
              <w:t>Hauptergebnisse</w:t>
            </w:r>
            <w:r w:rsidR="001F571C">
              <w:rPr>
                <w:noProof/>
                <w:webHidden/>
              </w:rPr>
              <w:tab/>
            </w:r>
            <w:r w:rsidR="001F571C">
              <w:rPr>
                <w:noProof/>
                <w:webHidden/>
              </w:rPr>
              <w:fldChar w:fldCharType="begin"/>
            </w:r>
            <w:r w:rsidR="001F571C">
              <w:rPr>
                <w:noProof/>
                <w:webHidden/>
              </w:rPr>
              <w:instrText xml:space="preserve"> PAGEREF _Toc88425840 \h </w:instrText>
            </w:r>
            <w:r w:rsidR="001F571C">
              <w:rPr>
                <w:noProof/>
                <w:webHidden/>
              </w:rPr>
            </w:r>
            <w:r w:rsidR="001F571C">
              <w:rPr>
                <w:noProof/>
                <w:webHidden/>
              </w:rPr>
              <w:fldChar w:fldCharType="separate"/>
            </w:r>
            <w:r w:rsidR="00285390">
              <w:rPr>
                <w:noProof/>
                <w:webHidden/>
              </w:rPr>
              <w:t>25</w:t>
            </w:r>
            <w:r w:rsidR="001F571C">
              <w:rPr>
                <w:noProof/>
                <w:webHidden/>
              </w:rPr>
              <w:fldChar w:fldCharType="end"/>
            </w:r>
          </w:hyperlink>
        </w:p>
        <w:p w14:paraId="0981E10F" w14:textId="6FE98AC1" w:rsidR="001F571C" w:rsidRDefault="004F311F">
          <w:pPr>
            <w:pStyle w:val="Verzeichnis2"/>
            <w:tabs>
              <w:tab w:val="left" w:pos="880"/>
              <w:tab w:val="right" w:leader="dot" w:pos="8494"/>
            </w:tabs>
            <w:rPr>
              <w:rFonts w:asciiTheme="minorHAnsi" w:hAnsiTheme="minorHAnsi" w:cstheme="minorBidi"/>
              <w:noProof/>
              <w:sz w:val="22"/>
            </w:rPr>
          </w:pPr>
          <w:hyperlink w:anchor="_Toc88425841" w:history="1">
            <w:r w:rsidR="001F571C" w:rsidRPr="006140B9">
              <w:rPr>
                <w:rStyle w:val="Hyperlink"/>
                <w:noProof/>
              </w:rPr>
              <w:t>5.2</w:t>
            </w:r>
            <w:r w:rsidR="001F571C">
              <w:rPr>
                <w:rFonts w:asciiTheme="minorHAnsi" w:hAnsiTheme="minorHAnsi" w:cstheme="minorBidi"/>
                <w:noProof/>
                <w:sz w:val="22"/>
              </w:rPr>
              <w:tab/>
            </w:r>
            <w:r w:rsidR="001F571C" w:rsidRPr="006140B9">
              <w:rPr>
                <w:rStyle w:val="Hyperlink"/>
                <w:noProof/>
              </w:rPr>
              <w:t>Weitere Regressionsergebnisse</w:t>
            </w:r>
            <w:r w:rsidR="001F571C">
              <w:rPr>
                <w:noProof/>
                <w:webHidden/>
              </w:rPr>
              <w:tab/>
            </w:r>
            <w:r w:rsidR="001F571C">
              <w:rPr>
                <w:noProof/>
                <w:webHidden/>
              </w:rPr>
              <w:fldChar w:fldCharType="begin"/>
            </w:r>
            <w:r w:rsidR="001F571C">
              <w:rPr>
                <w:noProof/>
                <w:webHidden/>
              </w:rPr>
              <w:instrText xml:space="preserve"> PAGEREF _Toc88425841 \h </w:instrText>
            </w:r>
            <w:r w:rsidR="001F571C">
              <w:rPr>
                <w:noProof/>
                <w:webHidden/>
              </w:rPr>
            </w:r>
            <w:r w:rsidR="001F571C">
              <w:rPr>
                <w:noProof/>
                <w:webHidden/>
              </w:rPr>
              <w:fldChar w:fldCharType="separate"/>
            </w:r>
            <w:r w:rsidR="00285390">
              <w:rPr>
                <w:noProof/>
                <w:webHidden/>
              </w:rPr>
              <w:t>27</w:t>
            </w:r>
            <w:r w:rsidR="001F571C">
              <w:rPr>
                <w:noProof/>
                <w:webHidden/>
              </w:rPr>
              <w:fldChar w:fldCharType="end"/>
            </w:r>
          </w:hyperlink>
        </w:p>
        <w:p w14:paraId="56A3A908" w14:textId="71E5C7CF" w:rsidR="001F571C" w:rsidRDefault="004F311F">
          <w:pPr>
            <w:pStyle w:val="Verzeichnis2"/>
            <w:tabs>
              <w:tab w:val="left" w:pos="880"/>
              <w:tab w:val="right" w:leader="dot" w:pos="8494"/>
            </w:tabs>
            <w:rPr>
              <w:rFonts w:asciiTheme="minorHAnsi" w:hAnsiTheme="minorHAnsi" w:cstheme="minorBidi"/>
              <w:noProof/>
              <w:sz w:val="22"/>
            </w:rPr>
          </w:pPr>
          <w:hyperlink w:anchor="_Toc88425842" w:history="1">
            <w:r w:rsidR="001F571C" w:rsidRPr="006140B9">
              <w:rPr>
                <w:rStyle w:val="Hyperlink"/>
                <w:noProof/>
              </w:rPr>
              <w:t>5.3</w:t>
            </w:r>
            <w:r w:rsidR="001F571C">
              <w:rPr>
                <w:rFonts w:asciiTheme="minorHAnsi" w:hAnsiTheme="minorHAnsi" w:cstheme="minorBidi"/>
                <w:noProof/>
                <w:sz w:val="22"/>
              </w:rPr>
              <w:tab/>
            </w:r>
            <w:r w:rsidR="001F571C" w:rsidRPr="006140B9">
              <w:rPr>
                <w:rStyle w:val="Hyperlink"/>
                <w:noProof/>
              </w:rPr>
              <w:t>Ergebnisse der Robustheitstests</w:t>
            </w:r>
            <w:r w:rsidR="001F571C">
              <w:rPr>
                <w:noProof/>
                <w:webHidden/>
              </w:rPr>
              <w:tab/>
            </w:r>
            <w:r w:rsidR="001F571C">
              <w:rPr>
                <w:noProof/>
                <w:webHidden/>
              </w:rPr>
              <w:fldChar w:fldCharType="begin"/>
            </w:r>
            <w:r w:rsidR="001F571C">
              <w:rPr>
                <w:noProof/>
                <w:webHidden/>
              </w:rPr>
              <w:instrText xml:space="preserve"> PAGEREF _Toc88425842 \h </w:instrText>
            </w:r>
            <w:r w:rsidR="001F571C">
              <w:rPr>
                <w:noProof/>
                <w:webHidden/>
              </w:rPr>
            </w:r>
            <w:r w:rsidR="001F571C">
              <w:rPr>
                <w:noProof/>
                <w:webHidden/>
              </w:rPr>
              <w:fldChar w:fldCharType="separate"/>
            </w:r>
            <w:r w:rsidR="00285390">
              <w:rPr>
                <w:noProof/>
                <w:webHidden/>
              </w:rPr>
              <w:t>28</w:t>
            </w:r>
            <w:r w:rsidR="001F571C">
              <w:rPr>
                <w:noProof/>
                <w:webHidden/>
              </w:rPr>
              <w:fldChar w:fldCharType="end"/>
            </w:r>
          </w:hyperlink>
        </w:p>
        <w:p w14:paraId="5F9874AA" w14:textId="099A3A4B" w:rsidR="001F571C" w:rsidRDefault="004F311F">
          <w:pPr>
            <w:pStyle w:val="Verzeichnis1"/>
            <w:tabs>
              <w:tab w:val="left" w:pos="440"/>
              <w:tab w:val="right" w:leader="dot" w:pos="8494"/>
            </w:tabs>
            <w:rPr>
              <w:rFonts w:asciiTheme="minorHAnsi" w:hAnsiTheme="minorHAnsi" w:cstheme="minorBidi"/>
              <w:b w:val="0"/>
              <w:noProof/>
              <w:sz w:val="22"/>
            </w:rPr>
          </w:pPr>
          <w:hyperlink w:anchor="_Toc88425843" w:history="1">
            <w:r w:rsidR="001F571C" w:rsidRPr="006140B9">
              <w:rPr>
                <w:rStyle w:val="Hyperlink"/>
                <w:noProof/>
              </w:rPr>
              <w:t>6.</w:t>
            </w:r>
            <w:r w:rsidR="001F571C">
              <w:rPr>
                <w:rFonts w:asciiTheme="minorHAnsi" w:hAnsiTheme="minorHAnsi" w:cstheme="minorBidi"/>
                <w:b w:val="0"/>
                <w:noProof/>
                <w:sz w:val="22"/>
              </w:rPr>
              <w:tab/>
            </w:r>
            <w:r w:rsidR="001F571C" w:rsidRPr="006140B9">
              <w:rPr>
                <w:rStyle w:val="Hyperlink"/>
                <w:noProof/>
              </w:rPr>
              <w:t>Diskussion der Ergebnisse</w:t>
            </w:r>
            <w:r w:rsidR="001F571C">
              <w:rPr>
                <w:noProof/>
                <w:webHidden/>
              </w:rPr>
              <w:tab/>
            </w:r>
            <w:r w:rsidR="001F571C">
              <w:rPr>
                <w:noProof/>
                <w:webHidden/>
              </w:rPr>
              <w:fldChar w:fldCharType="begin"/>
            </w:r>
            <w:r w:rsidR="001F571C">
              <w:rPr>
                <w:noProof/>
                <w:webHidden/>
              </w:rPr>
              <w:instrText xml:space="preserve"> PAGEREF _Toc88425843 \h </w:instrText>
            </w:r>
            <w:r w:rsidR="001F571C">
              <w:rPr>
                <w:noProof/>
                <w:webHidden/>
              </w:rPr>
            </w:r>
            <w:r w:rsidR="001F571C">
              <w:rPr>
                <w:noProof/>
                <w:webHidden/>
              </w:rPr>
              <w:fldChar w:fldCharType="separate"/>
            </w:r>
            <w:r w:rsidR="00285390">
              <w:rPr>
                <w:noProof/>
                <w:webHidden/>
              </w:rPr>
              <w:t>29</w:t>
            </w:r>
            <w:r w:rsidR="001F571C">
              <w:rPr>
                <w:noProof/>
                <w:webHidden/>
              </w:rPr>
              <w:fldChar w:fldCharType="end"/>
            </w:r>
          </w:hyperlink>
        </w:p>
        <w:p w14:paraId="76C09903" w14:textId="2F4A0F06" w:rsidR="001F571C" w:rsidRDefault="004F311F">
          <w:pPr>
            <w:pStyle w:val="Verzeichnis2"/>
            <w:tabs>
              <w:tab w:val="left" w:pos="880"/>
              <w:tab w:val="right" w:leader="dot" w:pos="8494"/>
            </w:tabs>
            <w:rPr>
              <w:rFonts w:asciiTheme="minorHAnsi" w:hAnsiTheme="minorHAnsi" w:cstheme="minorBidi"/>
              <w:noProof/>
              <w:sz w:val="22"/>
            </w:rPr>
          </w:pPr>
          <w:hyperlink w:anchor="_Toc88425844" w:history="1">
            <w:r w:rsidR="001F571C" w:rsidRPr="006140B9">
              <w:rPr>
                <w:rStyle w:val="Hyperlink"/>
                <w:noProof/>
              </w:rPr>
              <w:t>6.1</w:t>
            </w:r>
            <w:r w:rsidR="001F571C">
              <w:rPr>
                <w:rFonts w:asciiTheme="minorHAnsi" w:hAnsiTheme="minorHAnsi" w:cstheme="minorBidi"/>
                <w:noProof/>
                <w:sz w:val="22"/>
              </w:rPr>
              <w:tab/>
            </w:r>
            <w:r w:rsidR="001F571C" w:rsidRPr="006140B9">
              <w:rPr>
                <w:rStyle w:val="Hyperlink"/>
                <w:noProof/>
              </w:rPr>
              <w:t>Interpretation der Ergebnisse</w:t>
            </w:r>
            <w:r w:rsidR="001F571C">
              <w:rPr>
                <w:noProof/>
                <w:webHidden/>
              </w:rPr>
              <w:tab/>
            </w:r>
            <w:r w:rsidR="001F571C">
              <w:rPr>
                <w:noProof/>
                <w:webHidden/>
              </w:rPr>
              <w:fldChar w:fldCharType="begin"/>
            </w:r>
            <w:r w:rsidR="001F571C">
              <w:rPr>
                <w:noProof/>
                <w:webHidden/>
              </w:rPr>
              <w:instrText xml:space="preserve"> PAGEREF _Toc88425844 \h </w:instrText>
            </w:r>
            <w:r w:rsidR="001F571C">
              <w:rPr>
                <w:noProof/>
                <w:webHidden/>
              </w:rPr>
            </w:r>
            <w:r w:rsidR="001F571C">
              <w:rPr>
                <w:noProof/>
                <w:webHidden/>
              </w:rPr>
              <w:fldChar w:fldCharType="separate"/>
            </w:r>
            <w:r w:rsidR="00285390">
              <w:rPr>
                <w:noProof/>
                <w:webHidden/>
              </w:rPr>
              <w:t>29</w:t>
            </w:r>
            <w:r w:rsidR="001F571C">
              <w:rPr>
                <w:noProof/>
                <w:webHidden/>
              </w:rPr>
              <w:fldChar w:fldCharType="end"/>
            </w:r>
          </w:hyperlink>
        </w:p>
        <w:p w14:paraId="55BB0093" w14:textId="77D3A359" w:rsidR="001F571C" w:rsidRDefault="004F311F">
          <w:pPr>
            <w:pStyle w:val="Verzeichnis2"/>
            <w:tabs>
              <w:tab w:val="left" w:pos="880"/>
              <w:tab w:val="right" w:leader="dot" w:pos="8494"/>
            </w:tabs>
            <w:rPr>
              <w:rFonts w:asciiTheme="minorHAnsi" w:hAnsiTheme="minorHAnsi" w:cstheme="minorBidi"/>
              <w:noProof/>
              <w:sz w:val="22"/>
            </w:rPr>
          </w:pPr>
          <w:hyperlink w:anchor="_Toc88425845" w:history="1">
            <w:r w:rsidR="001F571C" w:rsidRPr="006140B9">
              <w:rPr>
                <w:rStyle w:val="Hyperlink"/>
                <w:noProof/>
              </w:rPr>
              <w:t>6.2</w:t>
            </w:r>
            <w:r w:rsidR="001F571C">
              <w:rPr>
                <w:rFonts w:asciiTheme="minorHAnsi" w:hAnsiTheme="minorHAnsi" w:cstheme="minorBidi"/>
                <w:noProof/>
                <w:sz w:val="22"/>
              </w:rPr>
              <w:tab/>
            </w:r>
            <w:r w:rsidR="001F571C" w:rsidRPr="006140B9">
              <w:rPr>
                <w:rStyle w:val="Hyperlink"/>
                <w:noProof/>
              </w:rPr>
              <w:t>Limitationen und Ausblick</w:t>
            </w:r>
            <w:r w:rsidR="001F571C">
              <w:rPr>
                <w:noProof/>
                <w:webHidden/>
              </w:rPr>
              <w:tab/>
            </w:r>
            <w:r w:rsidR="001F571C">
              <w:rPr>
                <w:noProof/>
                <w:webHidden/>
              </w:rPr>
              <w:fldChar w:fldCharType="begin"/>
            </w:r>
            <w:r w:rsidR="001F571C">
              <w:rPr>
                <w:noProof/>
                <w:webHidden/>
              </w:rPr>
              <w:instrText xml:space="preserve"> PAGEREF _Toc88425845 \h </w:instrText>
            </w:r>
            <w:r w:rsidR="001F571C">
              <w:rPr>
                <w:noProof/>
                <w:webHidden/>
              </w:rPr>
            </w:r>
            <w:r w:rsidR="001F571C">
              <w:rPr>
                <w:noProof/>
                <w:webHidden/>
              </w:rPr>
              <w:fldChar w:fldCharType="separate"/>
            </w:r>
            <w:r w:rsidR="00285390">
              <w:rPr>
                <w:noProof/>
                <w:webHidden/>
              </w:rPr>
              <w:t>31</w:t>
            </w:r>
            <w:r w:rsidR="001F571C">
              <w:rPr>
                <w:noProof/>
                <w:webHidden/>
              </w:rPr>
              <w:fldChar w:fldCharType="end"/>
            </w:r>
          </w:hyperlink>
        </w:p>
        <w:p w14:paraId="0211E43E" w14:textId="4E09D1BD" w:rsidR="001F571C" w:rsidRDefault="004F311F">
          <w:pPr>
            <w:pStyle w:val="Verzeichnis1"/>
            <w:tabs>
              <w:tab w:val="left" w:pos="440"/>
              <w:tab w:val="right" w:leader="dot" w:pos="8494"/>
            </w:tabs>
            <w:rPr>
              <w:rFonts w:asciiTheme="minorHAnsi" w:hAnsiTheme="minorHAnsi" w:cstheme="minorBidi"/>
              <w:b w:val="0"/>
              <w:noProof/>
              <w:sz w:val="22"/>
            </w:rPr>
          </w:pPr>
          <w:hyperlink w:anchor="_Toc88425846" w:history="1">
            <w:r w:rsidR="001F571C" w:rsidRPr="006140B9">
              <w:rPr>
                <w:rStyle w:val="Hyperlink"/>
                <w:noProof/>
              </w:rPr>
              <w:t>7.</w:t>
            </w:r>
            <w:r w:rsidR="001F571C">
              <w:rPr>
                <w:rFonts w:asciiTheme="minorHAnsi" w:hAnsiTheme="minorHAnsi" w:cstheme="minorBidi"/>
                <w:b w:val="0"/>
                <w:noProof/>
                <w:sz w:val="22"/>
              </w:rPr>
              <w:tab/>
            </w:r>
            <w:r w:rsidR="001F571C" w:rsidRPr="006140B9">
              <w:rPr>
                <w:rStyle w:val="Hyperlink"/>
                <w:noProof/>
              </w:rPr>
              <w:t>Zusammenfassung und Fazit</w:t>
            </w:r>
            <w:r w:rsidR="001F571C">
              <w:rPr>
                <w:noProof/>
                <w:webHidden/>
              </w:rPr>
              <w:tab/>
            </w:r>
            <w:r w:rsidR="001F571C">
              <w:rPr>
                <w:noProof/>
                <w:webHidden/>
              </w:rPr>
              <w:fldChar w:fldCharType="begin"/>
            </w:r>
            <w:r w:rsidR="001F571C">
              <w:rPr>
                <w:noProof/>
                <w:webHidden/>
              </w:rPr>
              <w:instrText xml:space="preserve"> PAGEREF _Toc88425846 \h </w:instrText>
            </w:r>
            <w:r w:rsidR="001F571C">
              <w:rPr>
                <w:noProof/>
                <w:webHidden/>
              </w:rPr>
            </w:r>
            <w:r w:rsidR="001F571C">
              <w:rPr>
                <w:noProof/>
                <w:webHidden/>
              </w:rPr>
              <w:fldChar w:fldCharType="separate"/>
            </w:r>
            <w:r w:rsidR="00285390">
              <w:rPr>
                <w:noProof/>
                <w:webHidden/>
              </w:rPr>
              <w:t>33</w:t>
            </w:r>
            <w:r w:rsidR="001F571C">
              <w:rPr>
                <w:noProof/>
                <w:webHidden/>
              </w:rPr>
              <w:fldChar w:fldCharType="end"/>
            </w:r>
          </w:hyperlink>
        </w:p>
        <w:p w14:paraId="036DD407" w14:textId="0CA45263" w:rsidR="001F571C" w:rsidRDefault="004F311F">
          <w:pPr>
            <w:pStyle w:val="Verzeichnis1"/>
            <w:tabs>
              <w:tab w:val="right" w:leader="dot" w:pos="8494"/>
            </w:tabs>
            <w:rPr>
              <w:rFonts w:asciiTheme="minorHAnsi" w:hAnsiTheme="minorHAnsi" w:cstheme="minorBidi"/>
              <w:b w:val="0"/>
              <w:noProof/>
              <w:sz w:val="22"/>
            </w:rPr>
          </w:pPr>
          <w:hyperlink w:anchor="_Toc88425847" w:history="1">
            <w:r w:rsidR="001F571C" w:rsidRPr="006140B9">
              <w:rPr>
                <w:rStyle w:val="Hyperlink"/>
                <w:noProof/>
                <w:lang w:val="en-US"/>
              </w:rPr>
              <w:t>Literaturverzeichnis</w:t>
            </w:r>
            <w:r w:rsidR="001F571C">
              <w:rPr>
                <w:noProof/>
                <w:webHidden/>
              </w:rPr>
              <w:tab/>
            </w:r>
            <w:r w:rsidR="001F571C">
              <w:rPr>
                <w:noProof/>
                <w:webHidden/>
              </w:rPr>
              <w:fldChar w:fldCharType="begin"/>
            </w:r>
            <w:r w:rsidR="001F571C">
              <w:rPr>
                <w:noProof/>
                <w:webHidden/>
              </w:rPr>
              <w:instrText xml:space="preserve"> PAGEREF _Toc88425847 \h </w:instrText>
            </w:r>
            <w:r w:rsidR="001F571C">
              <w:rPr>
                <w:noProof/>
                <w:webHidden/>
              </w:rPr>
            </w:r>
            <w:r w:rsidR="001F571C">
              <w:rPr>
                <w:noProof/>
                <w:webHidden/>
              </w:rPr>
              <w:fldChar w:fldCharType="separate"/>
            </w:r>
            <w:r w:rsidR="00285390">
              <w:rPr>
                <w:noProof/>
                <w:webHidden/>
              </w:rPr>
              <w:t>34</w:t>
            </w:r>
            <w:r w:rsidR="001F571C">
              <w:rPr>
                <w:noProof/>
                <w:webHidden/>
              </w:rPr>
              <w:fldChar w:fldCharType="end"/>
            </w:r>
          </w:hyperlink>
        </w:p>
        <w:p w14:paraId="276BB82F" w14:textId="768A01A4" w:rsidR="001F571C" w:rsidRDefault="004F311F">
          <w:pPr>
            <w:pStyle w:val="Verzeichnis1"/>
            <w:tabs>
              <w:tab w:val="right" w:leader="dot" w:pos="8494"/>
            </w:tabs>
            <w:rPr>
              <w:rFonts w:asciiTheme="minorHAnsi" w:hAnsiTheme="minorHAnsi" w:cstheme="minorBidi"/>
              <w:b w:val="0"/>
              <w:noProof/>
              <w:sz w:val="22"/>
            </w:rPr>
          </w:pPr>
          <w:hyperlink w:anchor="_Toc88425848" w:history="1">
            <w:r w:rsidR="001F571C" w:rsidRPr="006140B9">
              <w:rPr>
                <w:rStyle w:val="Hyperlink"/>
                <w:noProof/>
                <w:lang w:val="en-US"/>
              </w:rPr>
              <w:t>Anhang</w:t>
            </w:r>
            <w:r w:rsidR="001F571C">
              <w:rPr>
                <w:noProof/>
                <w:webHidden/>
              </w:rPr>
              <w:tab/>
            </w:r>
            <w:r w:rsidR="001F571C">
              <w:rPr>
                <w:noProof/>
                <w:webHidden/>
              </w:rPr>
              <w:fldChar w:fldCharType="begin"/>
            </w:r>
            <w:r w:rsidR="001F571C">
              <w:rPr>
                <w:noProof/>
                <w:webHidden/>
              </w:rPr>
              <w:instrText xml:space="preserve"> PAGEREF _Toc88425848 \h </w:instrText>
            </w:r>
            <w:r w:rsidR="001F571C">
              <w:rPr>
                <w:noProof/>
                <w:webHidden/>
              </w:rPr>
            </w:r>
            <w:r w:rsidR="001F571C">
              <w:rPr>
                <w:noProof/>
                <w:webHidden/>
              </w:rPr>
              <w:fldChar w:fldCharType="separate"/>
            </w:r>
            <w:r w:rsidR="00285390">
              <w:rPr>
                <w:noProof/>
                <w:webHidden/>
              </w:rPr>
              <w:t>39</w:t>
            </w:r>
            <w:r w:rsidR="001F571C">
              <w:rPr>
                <w:noProof/>
                <w:webHidden/>
              </w:rPr>
              <w:fldChar w:fldCharType="end"/>
            </w:r>
          </w:hyperlink>
        </w:p>
        <w:p w14:paraId="6A85B0EA" w14:textId="3F61DE56" w:rsidR="001F571C" w:rsidRDefault="004F311F">
          <w:pPr>
            <w:pStyle w:val="Verzeichnis1"/>
            <w:tabs>
              <w:tab w:val="left" w:pos="440"/>
              <w:tab w:val="right" w:leader="dot" w:pos="8494"/>
            </w:tabs>
            <w:rPr>
              <w:rFonts w:asciiTheme="minorHAnsi" w:hAnsiTheme="minorHAnsi" w:cstheme="minorBidi"/>
              <w:b w:val="0"/>
              <w:noProof/>
              <w:sz w:val="22"/>
            </w:rPr>
          </w:pPr>
          <w:hyperlink w:anchor="_Toc88425849" w:history="1">
            <w:r w:rsidR="001F571C" w:rsidRPr="006140B9">
              <w:rPr>
                <w:rStyle w:val="Hyperlink"/>
                <w:bCs/>
                <w:noProof/>
              </w:rPr>
              <w:t>A</w:t>
            </w:r>
            <w:r w:rsidR="001F571C">
              <w:rPr>
                <w:rFonts w:asciiTheme="minorHAnsi" w:hAnsiTheme="minorHAnsi" w:cstheme="minorBidi"/>
                <w:b w:val="0"/>
                <w:noProof/>
                <w:sz w:val="22"/>
              </w:rPr>
              <w:tab/>
            </w:r>
            <w:r w:rsidR="001F571C" w:rsidRPr="006140B9">
              <w:rPr>
                <w:rStyle w:val="Hyperlink"/>
                <w:bCs/>
                <w:noProof/>
              </w:rPr>
              <w:t>Abbildungen</w:t>
            </w:r>
            <w:r w:rsidR="001F571C">
              <w:rPr>
                <w:noProof/>
                <w:webHidden/>
              </w:rPr>
              <w:tab/>
            </w:r>
            <w:r w:rsidR="001F571C">
              <w:rPr>
                <w:noProof/>
                <w:webHidden/>
              </w:rPr>
              <w:fldChar w:fldCharType="begin"/>
            </w:r>
            <w:r w:rsidR="001F571C">
              <w:rPr>
                <w:noProof/>
                <w:webHidden/>
              </w:rPr>
              <w:instrText xml:space="preserve"> PAGEREF _Toc88425849 \h </w:instrText>
            </w:r>
            <w:r w:rsidR="001F571C">
              <w:rPr>
                <w:noProof/>
                <w:webHidden/>
              </w:rPr>
            </w:r>
            <w:r w:rsidR="001F571C">
              <w:rPr>
                <w:noProof/>
                <w:webHidden/>
              </w:rPr>
              <w:fldChar w:fldCharType="separate"/>
            </w:r>
            <w:r w:rsidR="00285390">
              <w:rPr>
                <w:noProof/>
                <w:webHidden/>
              </w:rPr>
              <w:t>40</w:t>
            </w:r>
            <w:r w:rsidR="001F571C">
              <w:rPr>
                <w:noProof/>
                <w:webHidden/>
              </w:rPr>
              <w:fldChar w:fldCharType="end"/>
            </w:r>
          </w:hyperlink>
        </w:p>
        <w:p w14:paraId="25E0E766" w14:textId="6E097938" w:rsidR="001F571C" w:rsidRDefault="004F311F">
          <w:pPr>
            <w:pStyle w:val="Verzeichnis1"/>
            <w:tabs>
              <w:tab w:val="left" w:pos="440"/>
              <w:tab w:val="right" w:leader="dot" w:pos="8494"/>
            </w:tabs>
            <w:rPr>
              <w:rFonts w:asciiTheme="minorHAnsi" w:hAnsiTheme="minorHAnsi" w:cstheme="minorBidi"/>
              <w:b w:val="0"/>
              <w:noProof/>
              <w:sz w:val="22"/>
            </w:rPr>
          </w:pPr>
          <w:hyperlink w:anchor="_Toc88425850" w:history="1">
            <w:r w:rsidR="001F571C" w:rsidRPr="006140B9">
              <w:rPr>
                <w:rStyle w:val="Hyperlink"/>
                <w:bCs/>
                <w:noProof/>
              </w:rPr>
              <w:t>B</w:t>
            </w:r>
            <w:r w:rsidR="001F571C">
              <w:rPr>
                <w:rFonts w:asciiTheme="minorHAnsi" w:hAnsiTheme="minorHAnsi" w:cstheme="minorBidi"/>
                <w:b w:val="0"/>
                <w:noProof/>
                <w:sz w:val="22"/>
              </w:rPr>
              <w:tab/>
            </w:r>
            <w:r w:rsidR="001F571C" w:rsidRPr="006140B9">
              <w:rPr>
                <w:rStyle w:val="Hyperlink"/>
                <w:bCs/>
                <w:noProof/>
              </w:rPr>
              <w:t>Tabellen</w:t>
            </w:r>
            <w:r w:rsidR="001F571C">
              <w:rPr>
                <w:noProof/>
                <w:webHidden/>
              </w:rPr>
              <w:tab/>
            </w:r>
            <w:r w:rsidR="001F571C">
              <w:rPr>
                <w:noProof/>
                <w:webHidden/>
              </w:rPr>
              <w:fldChar w:fldCharType="begin"/>
            </w:r>
            <w:r w:rsidR="001F571C">
              <w:rPr>
                <w:noProof/>
                <w:webHidden/>
              </w:rPr>
              <w:instrText xml:space="preserve"> PAGEREF _Toc88425850 \h </w:instrText>
            </w:r>
            <w:r w:rsidR="001F571C">
              <w:rPr>
                <w:noProof/>
                <w:webHidden/>
              </w:rPr>
            </w:r>
            <w:r w:rsidR="001F571C">
              <w:rPr>
                <w:noProof/>
                <w:webHidden/>
              </w:rPr>
              <w:fldChar w:fldCharType="separate"/>
            </w:r>
            <w:r w:rsidR="00285390">
              <w:rPr>
                <w:noProof/>
                <w:webHidden/>
              </w:rPr>
              <w:t>43</w:t>
            </w:r>
            <w:r w:rsidR="001F571C">
              <w:rPr>
                <w:noProof/>
                <w:webHidden/>
              </w:rPr>
              <w:fldChar w:fldCharType="end"/>
            </w:r>
          </w:hyperlink>
        </w:p>
        <w:p w14:paraId="401A02E1" w14:textId="4684A410" w:rsidR="001F571C" w:rsidRDefault="004F311F">
          <w:pPr>
            <w:pStyle w:val="Verzeichnis1"/>
            <w:tabs>
              <w:tab w:val="left" w:pos="440"/>
              <w:tab w:val="right" w:leader="dot" w:pos="8494"/>
            </w:tabs>
            <w:rPr>
              <w:rFonts w:asciiTheme="minorHAnsi" w:hAnsiTheme="minorHAnsi" w:cstheme="minorBidi"/>
              <w:b w:val="0"/>
              <w:noProof/>
              <w:sz w:val="22"/>
            </w:rPr>
          </w:pPr>
          <w:hyperlink w:anchor="_Toc88425851" w:history="1">
            <w:r w:rsidR="001F571C" w:rsidRPr="006140B9">
              <w:rPr>
                <w:rStyle w:val="Hyperlink"/>
                <w:noProof/>
              </w:rPr>
              <w:t>A</w:t>
            </w:r>
            <w:r w:rsidR="001F571C">
              <w:rPr>
                <w:rFonts w:asciiTheme="minorHAnsi" w:hAnsiTheme="minorHAnsi" w:cstheme="minorBidi"/>
                <w:b w:val="0"/>
                <w:noProof/>
                <w:sz w:val="22"/>
              </w:rPr>
              <w:tab/>
            </w:r>
            <w:r w:rsidR="001F571C" w:rsidRPr="006140B9">
              <w:rPr>
                <w:rStyle w:val="Hyperlink"/>
                <w:noProof/>
              </w:rPr>
              <w:t>Eidesstattliche Erklärung</w:t>
            </w:r>
            <w:r w:rsidR="001F571C">
              <w:rPr>
                <w:noProof/>
                <w:webHidden/>
              </w:rPr>
              <w:tab/>
            </w:r>
            <w:r w:rsidR="001F571C">
              <w:rPr>
                <w:noProof/>
                <w:webHidden/>
              </w:rPr>
              <w:fldChar w:fldCharType="begin"/>
            </w:r>
            <w:r w:rsidR="001F571C">
              <w:rPr>
                <w:noProof/>
                <w:webHidden/>
              </w:rPr>
              <w:instrText xml:space="preserve"> PAGEREF _Toc88425851 \h </w:instrText>
            </w:r>
            <w:r w:rsidR="001F571C">
              <w:rPr>
                <w:noProof/>
                <w:webHidden/>
              </w:rPr>
            </w:r>
            <w:r w:rsidR="001F571C">
              <w:rPr>
                <w:noProof/>
                <w:webHidden/>
              </w:rPr>
              <w:fldChar w:fldCharType="separate"/>
            </w:r>
            <w:r w:rsidR="00285390">
              <w:rPr>
                <w:noProof/>
                <w:webHidden/>
              </w:rPr>
              <w:t>51</w:t>
            </w:r>
            <w:r w:rsidR="001F571C">
              <w:rPr>
                <w:noProof/>
                <w:webHidden/>
              </w:rPr>
              <w:fldChar w:fldCharType="end"/>
            </w:r>
          </w:hyperlink>
        </w:p>
        <w:p w14:paraId="4CF4D6AF" w14:textId="40ED4EE0" w:rsidR="00B532EB" w:rsidRPr="008F61A3" w:rsidRDefault="001F571C" w:rsidP="00676F73">
          <w:pPr>
            <w:rPr>
              <w:rFonts w:cs="Times New Roman"/>
            </w:rPr>
          </w:pPr>
          <w:r>
            <w:rPr>
              <w:rFonts w:cs="Times New Roman"/>
              <w:szCs w:val="24"/>
            </w:rPr>
            <w:fldChar w:fldCharType="end"/>
          </w:r>
        </w:p>
      </w:sdtContent>
    </w:sdt>
    <w:p w14:paraId="5335A2D3" w14:textId="375F4CA4" w:rsidR="0091146A" w:rsidRDefault="00B532EB">
      <w:pPr>
        <w:rPr>
          <w:rFonts w:cs="Times New Roman"/>
        </w:rPr>
      </w:pPr>
      <w:r w:rsidRPr="008F61A3">
        <w:rPr>
          <w:rFonts w:cs="Times New Roman"/>
        </w:rPr>
        <w:br w:type="page"/>
      </w:r>
    </w:p>
    <w:p w14:paraId="6A398428" w14:textId="56F01A79" w:rsidR="0091146A" w:rsidRPr="008F61A3" w:rsidRDefault="0091146A" w:rsidP="0091146A">
      <w:pPr>
        <w:pStyle w:val="berschrift1"/>
        <w:numPr>
          <w:ilvl w:val="0"/>
          <w:numId w:val="0"/>
        </w:numPr>
      </w:pPr>
      <w:bookmarkStart w:id="0" w:name="_Toc88425814"/>
      <w:r>
        <w:lastRenderedPageBreak/>
        <w:t>Abbildungs</w:t>
      </w:r>
      <w:r w:rsidRPr="008F61A3">
        <w:t>verzeichnis</w:t>
      </w:r>
      <w:bookmarkEnd w:id="0"/>
    </w:p>
    <w:p w14:paraId="316B4B9B" w14:textId="20D2A255" w:rsidR="008F698E" w:rsidRDefault="0091146A">
      <w:pPr>
        <w:pStyle w:val="Abbildungsverzeichnis"/>
        <w:tabs>
          <w:tab w:val="left" w:pos="1760"/>
          <w:tab w:val="right" w:leader="dot" w:pos="8494"/>
        </w:tabs>
        <w:rPr>
          <w:rFonts w:asciiTheme="minorHAnsi" w:hAnsiTheme="minorHAnsi"/>
          <w:noProof/>
          <w:sz w:val="22"/>
        </w:rPr>
      </w:pPr>
      <w:r>
        <w:rPr>
          <w:rFonts w:cs="Times New Roman"/>
        </w:rPr>
        <w:fldChar w:fldCharType="begin"/>
      </w:r>
      <w:r>
        <w:rPr>
          <w:rFonts w:cs="Times New Roman"/>
        </w:rPr>
        <w:instrText xml:space="preserve"> TOC \h \z \c "Abbildung" </w:instrText>
      </w:r>
      <w:r>
        <w:rPr>
          <w:rFonts w:cs="Times New Roman"/>
        </w:rPr>
        <w:fldChar w:fldCharType="separate"/>
      </w:r>
      <w:hyperlink w:anchor="_Toc88422976" w:history="1">
        <w:r w:rsidR="008F698E" w:rsidRPr="00C7766E">
          <w:rPr>
            <w:rStyle w:val="Hyperlink"/>
            <w:b/>
            <w:bCs/>
            <w:noProof/>
          </w:rPr>
          <w:t xml:space="preserve">Abbildung 1: </w:t>
        </w:r>
        <w:r w:rsidR="008F698E">
          <w:rPr>
            <w:rFonts w:asciiTheme="minorHAnsi" w:hAnsiTheme="minorHAnsi"/>
            <w:noProof/>
            <w:sz w:val="22"/>
          </w:rPr>
          <w:tab/>
        </w:r>
        <w:r w:rsidR="008F698E" w:rsidRPr="00C7766E">
          <w:rPr>
            <w:rStyle w:val="Hyperlink"/>
            <w:noProof/>
          </w:rPr>
          <w:t xml:space="preserve">2 x 2 Kontingenztabelle zweier Objekte </w:t>
        </w:r>
        <m:oMath>
          <m:r>
            <w:rPr>
              <w:rStyle w:val="Hyperlink"/>
              <w:rFonts w:ascii="Cambria Math" w:hAnsi="Cambria Math"/>
              <w:noProof/>
            </w:rPr>
            <m:t>i</m:t>
          </m:r>
        </m:oMath>
        <w:r w:rsidR="008F698E" w:rsidRPr="00C7766E">
          <w:rPr>
            <w:rStyle w:val="Hyperlink"/>
            <w:noProof/>
          </w:rPr>
          <w:t xml:space="preserve"> und </w:t>
        </w:r>
        <m:oMath>
          <m:r>
            <w:rPr>
              <w:rStyle w:val="Hyperlink"/>
              <w:rFonts w:ascii="Cambria Math" w:hAnsi="Cambria Math"/>
              <w:noProof/>
            </w:rPr>
            <m:t>j</m:t>
          </m:r>
        </m:oMath>
        <w:r w:rsidR="008F698E">
          <w:rPr>
            <w:noProof/>
            <w:webHidden/>
          </w:rPr>
          <w:tab/>
        </w:r>
        <w:r w:rsidR="008F698E">
          <w:rPr>
            <w:noProof/>
            <w:webHidden/>
          </w:rPr>
          <w:fldChar w:fldCharType="begin"/>
        </w:r>
        <w:r w:rsidR="008F698E">
          <w:rPr>
            <w:noProof/>
            <w:webHidden/>
          </w:rPr>
          <w:instrText xml:space="preserve"> PAGEREF _Toc88422976 \h </w:instrText>
        </w:r>
        <w:r w:rsidR="008F698E">
          <w:rPr>
            <w:noProof/>
            <w:webHidden/>
          </w:rPr>
        </w:r>
        <w:r w:rsidR="008F698E">
          <w:rPr>
            <w:noProof/>
            <w:webHidden/>
          </w:rPr>
          <w:fldChar w:fldCharType="separate"/>
        </w:r>
        <w:r w:rsidR="00285390">
          <w:rPr>
            <w:noProof/>
            <w:webHidden/>
          </w:rPr>
          <w:t>9</w:t>
        </w:r>
        <w:r w:rsidR="008F698E">
          <w:rPr>
            <w:noProof/>
            <w:webHidden/>
          </w:rPr>
          <w:fldChar w:fldCharType="end"/>
        </w:r>
      </w:hyperlink>
    </w:p>
    <w:p w14:paraId="7C4046C8" w14:textId="5ED69806" w:rsidR="008F698E" w:rsidRDefault="004F311F">
      <w:pPr>
        <w:pStyle w:val="Abbildungsverzeichnis"/>
        <w:tabs>
          <w:tab w:val="left" w:pos="1760"/>
          <w:tab w:val="right" w:leader="dot" w:pos="8494"/>
        </w:tabs>
        <w:rPr>
          <w:rFonts w:asciiTheme="minorHAnsi" w:hAnsiTheme="minorHAnsi"/>
          <w:noProof/>
          <w:sz w:val="22"/>
        </w:rPr>
      </w:pPr>
      <w:hyperlink w:anchor="_Toc88422977" w:history="1">
        <w:r w:rsidR="008F698E" w:rsidRPr="00C7766E">
          <w:rPr>
            <w:rStyle w:val="Hyperlink"/>
            <w:b/>
            <w:bCs/>
            <w:noProof/>
          </w:rPr>
          <w:t>Abbildung 2</w:t>
        </w:r>
        <w:r w:rsidR="008F698E" w:rsidRPr="00C7766E">
          <w:rPr>
            <w:rStyle w:val="Hyperlink"/>
            <w:noProof/>
          </w:rPr>
          <w:t>:</w:t>
        </w:r>
        <w:r w:rsidR="008F698E">
          <w:rPr>
            <w:rFonts w:asciiTheme="minorHAnsi" w:hAnsiTheme="minorHAnsi"/>
            <w:noProof/>
            <w:sz w:val="22"/>
          </w:rPr>
          <w:tab/>
        </w:r>
        <w:r w:rsidR="008F698E" w:rsidRPr="00C7766E">
          <w:rPr>
            <w:rStyle w:val="Hyperlink"/>
            <w:noProof/>
          </w:rPr>
          <w:t xml:space="preserve">Anzahl der Unternehmen in der Stichprobe nach </w:t>
        </w:r>
        <w:r w:rsidR="00965003">
          <w:rPr>
            <w:rStyle w:val="Hyperlink"/>
            <w:noProof/>
          </w:rPr>
          <w:tab/>
        </w:r>
        <w:r w:rsidR="00965003">
          <w:rPr>
            <w:rStyle w:val="Hyperlink"/>
            <w:noProof/>
          </w:rPr>
          <w:tab/>
        </w:r>
        <w:r w:rsidR="008F698E" w:rsidRPr="00C7766E">
          <w:rPr>
            <w:rStyle w:val="Hyperlink"/>
            <w:noProof/>
          </w:rPr>
          <w:t>Unternehmensgröße</w:t>
        </w:r>
        <w:r w:rsidR="008F698E">
          <w:rPr>
            <w:noProof/>
            <w:webHidden/>
          </w:rPr>
          <w:tab/>
        </w:r>
        <w:r w:rsidR="008F698E">
          <w:rPr>
            <w:noProof/>
            <w:webHidden/>
          </w:rPr>
          <w:fldChar w:fldCharType="begin"/>
        </w:r>
        <w:r w:rsidR="008F698E">
          <w:rPr>
            <w:noProof/>
            <w:webHidden/>
          </w:rPr>
          <w:instrText xml:space="preserve"> PAGEREF _Toc88422977 \h </w:instrText>
        </w:r>
        <w:r w:rsidR="008F698E">
          <w:rPr>
            <w:noProof/>
            <w:webHidden/>
          </w:rPr>
        </w:r>
        <w:r w:rsidR="008F698E">
          <w:rPr>
            <w:noProof/>
            <w:webHidden/>
          </w:rPr>
          <w:fldChar w:fldCharType="separate"/>
        </w:r>
        <w:r w:rsidR="00285390">
          <w:rPr>
            <w:noProof/>
            <w:webHidden/>
          </w:rPr>
          <w:t>41</w:t>
        </w:r>
        <w:r w:rsidR="008F698E">
          <w:rPr>
            <w:noProof/>
            <w:webHidden/>
          </w:rPr>
          <w:fldChar w:fldCharType="end"/>
        </w:r>
      </w:hyperlink>
    </w:p>
    <w:p w14:paraId="48E85FD1" w14:textId="469DA55A" w:rsidR="008F698E" w:rsidRDefault="004F311F">
      <w:pPr>
        <w:pStyle w:val="Abbildungsverzeichnis"/>
        <w:tabs>
          <w:tab w:val="left" w:pos="1760"/>
          <w:tab w:val="right" w:leader="dot" w:pos="8494"/>
        </w:tabs>
        <w:rPr>
          <w:rFonts w:asciiTheme="minorHAnsi" w:hAnsiTheme="minorHAnsi"/>
          <w:noProof/>
          <w:sz w:val="22"/>
        </w:rPr>
      </w:pPr>
      <w:hyperlink w:anchor="_Toc88422978" w:history="1">
        <w:r w:rsidR="008F698E" w:rsidRPr="00C7766E">
          <w:rPr>
            <w:rStyle w:val="Hyperlink"/>
            <w:b/>
            <w:bCs/>
            <w:noProof/>
          </w:rPr>
          <w:t>Abbildung 3:</w:t>
        </w:r>
        <w:r w:rsidR="008F698E" w:rsidRPr="00C7766E">
          <w:rPr>
            <w:rStyle w:val="Hyperlink"/>
            <w:noProof/>
          </w:rPr>
          <w:t xml:space="preserve"> </w:t>
        </w:r>
        <w:r w:rsidR="008F698E">
          <w:rPr>
            <w:rFonts w:asciiTheme="minorHAnsi" w:hAnsiTheme="minorHAnsi"/>
            <w:noProof/>
            <w:sz w:val="22"/>
          </w:rPr>
          <w:tab/>
        </w:r>
        <w:r w:rsidR="008F698E" w:rsidRPr="00C7766E">
          <w:rPr>
            <w:rStyle w:val="Hyperlink"/>
            <w:noProof/>
            <w:spacing w:val="-2"/>
          </w:rPr>
          <w:t xml:space="preserve">Anzahl der KMUs in der EU-28 inkl. UK nach </w:t>
        </w:r>
        <w:r w:rsidR="00965003">
          <w:rPr>
            <w:rStyle w:val="Hyperlink"/>
            <w:noProof/>
            <w:spacing w:val="-2"/>
          </w:rPr>
          <w:tab/>
        </w:r>
        <w:r w:rsidR="00965003">
          <w:rPr>
            <w:rStyle w:val="Hyperlink"/>
            <w:noProof/>
            <w:spacing w:val="-2"/>
          </w:rPr>
          <w:tab/>
        </w:r>
        <w:r w:rsidR="008F698E" w:rsidRPr="00C7766E">
          <w:rPr>
            <w:rStyle w:val="Hyperlink"/>
            <w:noProof/>
            <w:spacing w:val="-2"/>
          </w:rPr>
          <w:t>Unternehmensgröße, 2019</w:t>
        </w:r>
        <w:r w:rsidR="008F698E">
          <w:rPr>
            <w:noProof/>
            <w:webHidden/>
          </w:rPr>
          <w:tab/>
        </w:r>
        <w:r w:rsidR="008F698E">
          <w:rPr>
            <w:noProof/>
            <w:webHidden/>
          </w:rPr>
          <w:fldChar w:fldCharType="begin"/>
        </w:r>
        <w:r w:rsidR="008F698E">
          <w:rPr>
            <w:noProof/>
            <w:webHidden/>
          </w:rPr>
          <w:instrText xml:space="preserve"> PAGEREF _Toc88422978 \h </w:instrText>
        </w:r>
        <w:r w:rsidR="008F698E">
          <w:rPr>
            <w:noProof/>
            <w:webHidden/>
          </w:rPr>
        </w:r>
        <w:r w:rsidR="008F698E">
          <w:rPr>
            <w:noProof/>
            <w:webHidden/>
          </w:rPr>
          <w:fldChar w:fldCharType="separate"/>
        </w:r>
        <w:r w:rsidR="00285390">
          <w:rPr>
            <w:noProof/>
            <w:webHidden/>
          </w:rPr>
          <w:t>41</w:t>
        </w:r>
        <w:r w:rsidR="008F698E">
          <w:rPr>
            <w:noProof/>
            <w:webHidden/>
          </w:rPr>
          <w:fldChar w:fldCharType="end"/>
        </w:r>
      </w:hyperlink>
    </w:p>
    <w:p w14:paraId="15B0A3D4" w14:textId="49790230" w:rsidR="008F698E" w:rsidRDefault="004F311F">
      <w:pPr>
        <w:pStyle w:val="Abbildungsverzeichnis"/>
        <w:tabs>
          <w:tab w:val="left" w:pos="1760"/>
          <w:tab w:val="right" w:leader="dot" w:pos="8494"/>
        </w:tabs>
        <w:rPr>
          <w:rFonts w:asciiTheme="minorHAnsi" w:hAnsiTheme="minorHAnsi"/>
          <w:noProof/>
          <w:sz w:val="22"/>
        </w:rPr>
      </w:pPr>
      <w:hyperlink w:anchor="_Toc88422979" w:history="1">
        <w:r w:rsidR="008F698E" w:rsidRPr="00C7766E">
          <w:rPr>
            <w:rStyle w:val="Hyperlink"/>
            <w:b/>
            <w:bCs/>
            <w:noProof/>
          </w:rPr>
          <w:t>Abbildung 4:</w:t>
        </w:r>
        <w:r w:rsidR="008F698E" w:rsidRPr="00C7766E">
          <w:rPr>
            <w:rStyle w:val="Hyperlink"/>
            <w:noProof/>
          </w:rPr>
          <w:t xml:space="preserve"> </w:t>
        </w:r>
        <w:r w:rsidR="008F698E">
          <w:rPr>
            <w:rFonts w:asciiTheme="minorHAnsi" w:hAnsiTheme="minorHAnsi"/>
            <w:noProof/>
            <w:sz w:val="22"/>
          </w:rPr>
          <w:tab/>
        </w:r>
        <w:r w:rsidR="008F698E" w:rsidRPr="00C7766E">
          <w:rPr>
            <w:rStyle w:val="Hyperlink"/>
            <w:noProof/>
          </w:rPr>
          <w:t xml:space="preserve">Scree-Plot zur Bestimmung der optimalen Clusterzahl </w:t>
        </w:r>
        <w:r w:rsidR="00965003">
          <w:rPr>
            <w:rStyle w:val="Hyperlink"/>
            <w:noProof/>
          </w:rPr>
          <w:tab/>
        </w:r>
        <w:r w:rsidR="00965003">
          <w:rPr>
            <w:rStyle w:val="Hyperlink"/>
            <w:noProof/>
          </w:rPr>
          <w:tab/>
        </w:r>
        <w:r w:rsidR="008F698E" w:rsidRPr="00C7766E">
          <w:rPr>
            <w:rStyle w:val="Hyperlink"/>
            <w:noProof/>
          </w:rPr>
          <w:t>(Elbow-Kriterium)</w:t>
        </w:r>
        <w:r w:rsidR="008F698E">
          <w:rPr>
            <w:noProof/>
            <w:webHidden/>
          </w:rPr>
          <w:tab/>
        </w:r>
        <w:r w:rsidR="008F698E">
          <w:rPr>
            <w:noProof/>
            <w:webHidden/>
          </w:rPr>
          <w:fldChar w:fldCharType="begin"/>
        </w:r>
        <w:r w:rsidR="008F698E">
          <w:rPr>
            <w:noProof/>
            <w:webHidden/>
          </w:rPr>
          <w:instrText xml:space="preserve"> PAGEREF _Toc88422979 \h </w:instrText>
        </w:r>
        <w:r w:rsidR="008F698E">
          <w:rPr>
            <w:noProof/>
            <w:webHidden/>
          </w:rPr>
        </w:r>
        <w:r w:rsidR="008F698E">
          <w:rPr>
            <w:noProof/>
            <w:webHidden/>
          </w:rPr>
          <w:fldChar w:fldCharType="separate"/>
        </w:r>
        <w:r w:rsidR="00285390">
          <w:rPr>
            <w:noProof/>
            <w:webHidden/>
          </w:rPr>
          <w:t>42</w:t>
        </w:r>
        <w:r w:rsidR="008F698E">
          <w:rPr>
            <w:noProof/>
            <w:webHidden/>
          </w:rPr>
          <w:fldChar w:fldCharType="end"/>
        </w:r>
      </w:hyperlink>
    </w:p>
    <w:p w14:paraId="3489B9C2" w14:textId="6DBD9AA3" w:rsidR="008F698E" w:rsidRDefault="004F311F">
      <w:pPr>
        <w:pStyle w:val="Abbildungsverzeichnis"/>
        <w:tabs>
          <w:tab w:val="left" w:pos="1760"/>
          <w:tab w:val="right" w:leader="dot" w:pos="8494"/>
        </w:tabs>
        <w:rPr>
          <w:rFonts w:asciiTheme="minorHAnsi" w:hAnsiTheme="minorHAnsi"/>
          <w:noProof/>
          <w:sz w:val="22"/>
        </w:rPr>
      </w:pPr>
      <w:hyperlink w:anchor="_Toc88422980" w:history="1">
        <w:r w:rsidR="008F698E" w:rsidRPr="00C7766E">
          <w:rPr>
            <w:rStyle w:val="Hyperlink"/>
            <w:b/>
            <w:bCs/>
            <w:noProof/>
          </w:rPr>
          <w:t>Abbildung 5:</w:t>
        </w:r>
        <w:r w:rsidR="008F698E" w:rsidRPr="00C7766E">
          <w:rPr>
            <w:rStyle w:val="Hyperlink"/>
            <w:noProof/>
          </w:rPr>
          <w:t xml:space="preserve"> </w:t>
        </w:r>
        <w:r w:rsidR="008F698E">
          <w:rPr>
            <w:rFonts w:asciiTheme="minorHAnsi" w:hAnsiTheme="minorHAnsi"/>
            <w:noProof/>
            <w:sz w:val="22"/>
          </w:rPr>
          <w:tab/>
        </w:r>
        <w:r w:rsidR="008F698E" w:rsidRPr="00C7766E">
          <w:rPr>
            <w:rStyle w:val="Hyperlink"/>
            <w:noProof/>
          </w:rPr>
          <w:t xml:space="preserve">Bestimmung der optimalen Clusterzahl nach dem Kriterium </w:t>
        </w:r>
        <w:r w:rsidR="00965003">
          <w:rPr>
            <w:rStyle w:val="Hyperlink"/>
            <w:noProof/>
          </w:rPr>
          <w:tab/>
        </w:r>
        <w:r w:rsidR="00965003">
          <w:rPr>
            <w:rStyle w:val="Hyperlink"/>
            <w:noProof/>
          </w:rPr>
          <w:tab/>
        </w:r>
        <w:r w:rsidR="008F698E" w:rsidRPr="00C7766E">
          <w:rPr>
            <w:rStyle w:val="Hyperlink"/>
            <w:noProof/>
          </w:rPr>
          <w:t>von Ratkowsky-Lance</w:t>
        </w:r>
        <w:r w:rsidR="008F698E">
          <w:rPr>
            <w:noProof/>
            <w:webHidden/>
          </w:rPr>
          <w:tab/>
        </w:r>
        <w:r w:rsidR="008F698E">
          <w:rPr>
            <w:noProof/>
            <w:webHidden/>
          </w:rPr>
          <w:fldChar w:fldCharType="begin"/>
        </w:r>
        <w:r w:rsidR="008F698E">
          <w:rPr>
            <w:noProof/>
            <w:webHidden/>
          </w:rPr>
          <w:instrText xml:space="preserve"> PAGEREF _Toc88422980 \h </w:instrText>
        </w:r>
        <w:r w:rsidR="008F698E">
          <w:rPr>
            <w:noProof/>
            <w:webHidden/>
          </w:rPr>
        </w:r>
        <w:r w:rsidR="008F698E">
          <w:rPr>
            <w:noProof/>
            <w:webHidden/>
          </w:rPr>
          <w:fldChar w:fldCharType="separate"/>
        </w:r>
        <w:r w:rsidR="00285390">
          <w:rPr>
            <w:noProof/>
            <w:webHidden/>
          </w:rPr>
          <w:t>42</w:t>
        </w:r>
        <w:r w:rsidR="008F698E">
          <w:rPr>
            <w:noProof/>
            <w:webHidden/>
          </w:rPr>
          <w:fldChar w:fldCharType="end"/>
        </w:r>
      </w:hyperlink>
    </w:p>
    <w:p w14:paraId="5E0C0DC3" w14:textId="22A814BB" w:rsidR="0091146A" w:rsidRDefault="0091146A">
      <w:pPr>
        <w:spacing w:line="276" w:lineRule="auto"/>
        <w:jc w:val="left"/>
        <w:rPr>
          <w:rFonts w:cs="Times New Roman"/>
        </w:rPr>
      </w:pPr>
      <w:r>
        <w:rPr>
          <w:rFonts w:cs="Times New Roman"/>
        </w:rPr>
        <w:fldChar w:fldCharType="end"/>
      </w:r>
      <w:r>
        <w:rPr>
          <w:rFonts w:cs="Times New Roman"/>
        </w:rPr>
        <w:br w:type="page"/>
      </w:r>
    </w:p>
    <w:p w14:paraId="24AFA2F2" w14:textId="6811E601" w:rsidR="006F762D" w:rsidRPr="008F61A3" w:rsidRDefault="00676F73" w:rsidP="003173BC">
      <w:pPr>
        <w:pStyle w:val="berschrift1"/>
        <w:numPr>
          <w:ilvl w:val="0"/>
          <w:numId w:val="0"/>
        </w:numPr>
      </w:pPr>
      <w:bookmarkStart w:id="1" w:name="_Toc88425815"/>
      <w:r w:rsidRPr="008F61A3">
        <w:lastRenderedPageBreak/>
        <w:t>Tabellenverzeichnis</w:t>
      </w:r>
      <w:bookmarkEnd w:id="1"/>
    </w:p>
    <w:p w14:paraId="7913F87A" w14:textId="0EFDAE6F" w:rsidR="00D42784" w:rsidRDefault="00F2747D" w:rsidP="00D42784">
      <w:pPr>
        <w:pStyle w:val="Abbildungsverzeichnis"/>
        <w:tabs>
          <w:tab w:val="left" w:pos="1418"/>
          <w:tab w:val="right" w:leader="dot" w:pos="8494"/>
        </w:tabs>
        <w:rPr>
          <w:rFonts w:asciiTheme="minorHAnsi" w:hAnsiTheme="minorHAnsi"/>
          <w:noProof/>
          <w:sz w:val="22"/>
        </w:rPr>
      </w:pPr>
      <w:r w:rsidRPr="008F61A3">
        <w:fldChar w:fldCharType="begin"/>
      </w:r>
      <w:r w:rsidRPr="008F61A3">
        <w:instrText xml:space="preserve"> TOC \h \z \c "Tabelle" </w:instrText>
      </w:r>
      <w:r w:rsidRPr="008F61A3">
        <w:fldChar w:fldCharType="separate"/>
      </w:r>
      <w:hyperlink w:anchor="_Toc88423388" w:history="1">
        <w:r w:rsidR="00D42784" w:rsidRPr="000B2E16">
          <w:rPr>
            <w:rStyle w:val="Hyperlink"/>
            <w:b/>
            <w:bCs/>
            <w:noProof/>
          </w:rPr>
          <w:t>Tabelle 1:</w:t>
        </w:r>
        <w:r w:rsidR="00D42784">
          <w:rPr>
            <w:rFonts w:asciiTheme="minorHAnsi" w:hAnsiTheme="minorHAnsi"/>
            <w:noProof/>
            <w:sz w:val="22"/>
          </w:rPr>
          <w:tab/>
        </w:r>
        <w:r w:rsidR="00D42784" w:rsidRPr="000B2E16">
          <w:rPr>
            <w:rStyle w:val="Hyperlink"/>
            <w:noProof/>
          </w:rPr>
          <w:t>Definition der KMUs der EU-Kommission</w:t>
        </w:r>
        <w:r w:rsidR="00D42784">
          <w:rPr>
            <w:noProof/>
            <w:webHidden/>
          </w:rPr>
          <w:tab/>
        </w:r>
        <w:r w:rsidR="00D42784">
          <w:rPr>
            <w:noProof/>
            <w:webHidden/>
          </w:rPr>
          <w:fldChar w:fldCharType="begin"/>
        </w:r>
        <w:r w:rsidR="00D42784">
          <w:rPr>
            <w:noProof/>
            <w:webHidden/>
          </w:rPr>
          <w:instrText xml:space="preserve"> PAGEREF _Toc88423388 \h </w:instrText>
        </w:r>
        <w:r w:rsidR="00D42784">
          <w:rPr>
            <w:noProof/>
            <w:webHidden/>
          </w:rPr>
        </w:r>
        <w:r w:rsidR="00D42784">
          <w:rPr>
            <w:noProof/>
            <w:webHidden/>
          </w:rPr>
          <w:fldChar w:fldCharType="separate"/>
        </w:r>
        <w:r w:rsidR="00285390">
          <w:rPr>
            <w:noProof/>
            <w:webHidden/>
          </w:rPr>
          <w:t>2</w:t>
        </w:r>
        <w:r w:rsidR="00D42784">
          <w:rPr>
            <w:noProof/>
            <w:webHidden/>
          </w:rPr>
          <w:fldChar w:fldCharType="end"/>
        </w:r>
      </w:hyperlink>
    </w:p>
    <w:p w14:paraId="0E305AC2" w14:textId="30DB6039" w:rsidR="00D42784" w:rsidRDefault="004F311F" w:rsidP="00D42784">
      <w:pPr>
        <w:pStyle w:val="Abbildungsverzeichnis"/>
        <w:tabs>
          <w:tab w:val="left" w:pos="1418"/>
          <w:tab w:val="right" w:leader="dot" w:pos="8494"/>
        </w:tabs>
        <w:rPr>
          <w:rFonts w:asciiTheme="minorHAnsi" w:hAnsiTheme="minorHAnsi"/>
          <w:noProof/>
          <w:sz w:val="22"/>
        </w:rPr>
      </w:pPr>
      <w:hyperlink w:anchor="_Toc88423389" w:history="1">
        <w:r w:rsidR="00D42784" w:rsidRPr="000B2E16">
          <w:rPr>
            <w:rStyle w:val="Hyperlink"/>
            <w:b/>
            <w:bCs/>
            <w:noProof/>
          </w:rPr>
          <w:t>Tabelle 2:</w:t>
        </w:r>
        <w:r w:rsidR="00D42784">
          <w:rPr>
            <w:rFonts w:asciiTheme="minorHAnsi" w:hAnsiTheme="minorHAnsi"/>
            <w:noProof/>
            <w:sz w:val="22"/>
          </w:rPr>
          <w:tab/>
        </w:r>
        <w:r w:rsidR="00D42784" w:rsidRPr="000B2E16">
          <w:rPr>
            <w:rStyle w:val="Hyperlink"/>
            <w:noProof/>
            <w:spacing w:val="-4"/>
          </w:rPr>
          <w:t xml:space="preserve">Verteilung der verwendeten Finanzierungsquellen der letzten sechs </w:t>
        </w:r>
        <w:r w:rsidR="004671A4">
          <w:rPr>
            <w:rStyle w:val="Hyperlink"/>
            <w:noProof/>
            <w:spacing w:val="-4"/>
          </w:rPr>
          <w:tab/>
        </w:r>
        <w:r w:rsidR="004671A4">
          <w:rPr>
            <w:rStyle w:val="Hyperlink"/>
            <w:noProof/>
            <w:spacing w:val="-4"/>
          </w:rPr>
          <w:tab/>
        </w:r>
        <w:r w:rsidR="00D42784" w:rsidRPr="000B2E16">
          <w:rPr>
            <w:rStyle w:val="Hyperlink"/>
            <w:noProof/>
            <w:spacing w:val="-4"/>
          </w:rPr>
          <w:t>Monate</w:t>
        </w:r>
        <w:r w:rsidR="00D42784">
          <w:rPr>
            <w:noProof/>
            <w:webHidden/>
          </w:rPr>
          <w:tab/>
        </w:r>
        <w:r w:rsidR="00D42784">
          <w:rPr>
            <w:noProof/>
            <w:webHidden/>
          </w:rPr>
          <w:fldChar w:fldCharType="begin"/>
        </w:r>
        <w:r w:rsidR="00D42784">
          <w:rPr>
            <w:noProof/>
            <w:webHidden/>
          </w:rPr>
          <w:instrText xml:space="preserve"> PAGEREF _Toc88423389 \h </w:instrText>
        </w:r>
        <w:r w:rsidR="00D42784">
          <w:rPr>
            <w:noProof/>
            <w:webHidden/>
          </w:rPr>
        </w:r>
        <w:r w:rsidR="00D42784">
          <w:rPr>
            <w:noProof/>
            <w:webHidden/>
          </w:rPr>
          <w:fldChar w:fldCharType="separate"/>
        </w:r>
        <w:r w:rsidR="00285390">
          <w:rPr>
            <w:noProof/>
            <w:webHidden/>
          </w:rPr>
          <w:t>7</w:t>
        </w:r>
        <w:r w:rsidR="00D42784">
          <w:rPr>
            <w:noProof/>
            <w:webHidden/>
          </w:rPr>
          <w:fldChar w:fldCharType="end"/>
        </w:r>
      </w:hyperlink>
    </w:p>
    <w:p w14:paraId="70167075" w14:textId="0E6DBC99" w:rsidR="00D42784" w:rsidRDefault="004F311F" w:rsidP="00D42784">
      <w:pPr>
        <w:pStyle w:val="Abbildungsverzeichnis"/>
        <w:tabs>
          <w:tab w:val="left" w:pos="1418"/>
          <w:tab w:val="right" w:leader="dot" w:pos="8494"/>
        </w:tabs>
        <w:rPr>
          <w:rFonts w:asciiTheme="minorHAnsi" w:hAnsiTheme="minorHAnsi"/>
          <w:noProof/>
          <w:sz w:val="22"/>
        </w:rPr>
      </w:pPr>
      <w:hyperlink w:anchor="_Toc88423390" w:history="1">
        <w:r w:rsidR="00D42784" w:rsidRPr="000B2E16">
          <w:rPr>
            <w:rStyle w:val="Hyperlink"/>
            <w:b/>
            <w:bCs/>
            <w:noProof/>
          </w:rPr>
          <w:t>Tabelle 3:</w:t>
        </w:r>
        <w:r w:rsidR="00D42784" w:rsidRPr="000B2E16">
          <w:rPr>
            <w:rStyle w:val="Hyperlink"/>
            <w:noProof/>
          </w:rPr>
          <w:t xml:space="preserve"> </w:t>
        </w:r>
        <w:r w:rsidR="00D42784">
          <w:rPr>
            <w:rFonts w:asciiTheme="minorHAnsi" w:hAnsiTheme="minorHAnsi"/>
            <w:noProof/>
            <w:sz w:val="22"/>
          </w:rPr>
          <w:tab/>
        </w:r>
        <w:r w:rsidR="00D42784" w:rsidRPr="000B2E16">
          <w:rPr>
            <w:rStyle w:val="Hyperlink"/>
            <w:noProof/>
          </w:rPr>
          <w:t>Übersicht ausgewählter Ähnlichkeitsmaße für binäre Variablen</w:t>
        </w:r>
        <w:r w:rsidR="00D42784">
          <w:rPr>
            <w:noProof/>
            <w:webHidden/>
          </w:rPr>
          <w:tab/>
        </w:r>
        <w:r w:rsidR="00D42784">
          <w:rPr>
            <w:noProof/>
            <w:webHidden/>
          </w:rPr>
          <w:fldChar w:fldCharType="begin"/>
        </w:r>
        <w:r w:rsidR="00D42784">
          <w:rPr>
            <w:noProof/>
            <w:webHidden/>
          </w:rPr>
          <w:instrText xml:space="preserve"> PAGEREF _Toc88423390 \h </w:instrText>
        </w:r>
        <w:r w:rsidR="00D42784">
          <w:rPr>
            <w:noProof/>
            <w:webHidden/>
          </w:rPr>
        </w:r>
        <w:r w:rsidR="00D42784">
          <w:rPr>
            <w:noProof/>
            <w:webHidden/>
          </w:rPr>
          <w:fldChar w:fldCharType="separate"/>
        </w:r>
        <w:r w:rsidR="00285390">
          <w:rPr>
            <w:noProof/>
            <w:webHidden/>
          </w:rPr>
          <w:t>9</w:t>
        </w:r>
        <w:r w:rsidR="00D42784">
          <w:rPr>
            <w:noProof/>
            <w:webHidden/>
          </w:rPr>
          <w:fldChar w:fldCharType="end"/>
        </w:r>
      </w:hyperlink>
    </w:p>
    <w:p w14:paraId="27E52A3F" w14:textId="5E95D634" w:rsidR="00D42784" w:rsidRDefault="004F311F" w:rsidP="00D42784">
      <w:pPr>
        <w:pStyle w:val="Abbildungsverzeichnis"/>
        <w:tabs>
          <w:tab w:val="left" w:pos="1418"/>
          <w:tab w:val="right" w:leader="dot" w:pos="8494"/>
        </w:tabs>
        <w:rPr>
          <w:rFonts w:asciiTheme="minorHAnsi" w:hAnsiTheme="minorHAnsi"/>
          <w:noProof/>
          <w:sz w:val="22"/>
        </w:rPr>
      </w:pPr>
      <w:hyperlink w:anchor="_Toc88423391" w:history="1">
        <w:r w:rsidR="00D42784" w:rsidRPr="000B2E16">
          <w:rPr>
            <w:rStyle w:val="Hyperlink"/>
            <w:b/>
            <w:bCs/>
            <w:noProof/>
          </w:rPr>
          <w:t>Tabelle 4:</w:t>
        </w:r>
        <w:r w:rsidR="00D42784" w:rsidRPr="000B2E16">
          <w:rPr>
            <w:rStyle w:val="Hyperlink"/>
            <w:noProof/>
          </w:rPr>
          <w:t xml:space="preserve"> </w:t>
        </w:r>
        <w:r w:rsidR="00D42784">
          <w:rPr>
            <w:rFonts w:asciiTheme="minorHAnsi" w:hAnsiTheme="minorHAnsi"/>
            <w:noProof/>
            <w:sz w:val="22"/>
          </w:rPr>
          <w:tab/>
        </w:r>
        <w:r w:rsidR="00D42784" w:rsidRPr="000B2E16">
          <w:rPr>
            <w:rStyle w:val="Hyperlink"/>
            <w:noProof/>
          </w:rPr>
          <w:t>Beschreibung der Regressionsvariablen</w:t>
        </w:r>
        <w:r w:rsidR="00D42784">
          <w:rPr>
            <w:noProof/>
            <w:webHidden/>
          </w:rPr>
          <w:tab/>
        </w:r>
        <w:r w:rsidR="00D42784">
          <w:rPr>
            <w:noProof/>
            <w:webHidden/>
          </w:rPr>
          <w:fldChar w:fldCharType="begin"/>
        </w:r>
        <w:r w:rsidR="00D42784">
          <w:rPr>
            <w:noProof/>
            <w:webHidden/>
          </w:rPr>
          <w:instrText xml:space="preserve"> PAGEREF _Toc88423391 \h </w:instrText>
        </w:r>
        <w:r w:rsidR="00D42784">
          <w:rPr>
            <w:noProof/>
            <w:webHidden/>
          </w:rPr>
        </w:r>
        <w:r w:rsidR="00D42784">
          <w:rPr>
            <w:noProof/>
            <w:webHidden/>
          </w:rPr>
          <w:fldChar w:fldCharType="separate"/>
        </w:r>
        <w:r w:rsidR="00285390">
          <w:rPr>
            <w:noProof/>
            <w:webHidden/>
          </w:rPr>
          <w:t>18</w:t>
        </w:r>
        <w:r w:rsidR="00D42784">
          <w:rPr>
            <w:noProof/>
            <w:webHidden/>
          </w:rPr>
          <w:fldChar w:fldCharType="end"/>
        </w:r>
      </w:hyperlink>
    </w:p>
    <w:p w14:paraId="1D92828A" w14:textId="1132D41F" w:rsidR="00D42784" w:rsidRDefault="004F311F" w:rsidP="00D42784">
      <w:pPr>
        <w:pStyle w:val="Abbildungsverzeichnis"/>
        <w:tabs>
          <w:tab w:val="left" w:pos="1418"/>
          <w:tab w:val="right" w:leader="dot" w:pos="8494"/>
        </w:tabs>
        <w:rPr>
          <w:rFonts w:asciiTheme="minorHAnsi" w:hAnsiTheme="minorHAnsi"/>
          <w:noProof/>
          <w:sz w:val="22"/>
        </w:rPr>
      </w:pPr>
      <w:hyperlink w:anchor="_Toc88423392" w:history="1">
        <w:r w:rsidR="00D42784" w:rsidRPr="000B2E16">
          <w:rPr>
            <w:rStyle w:val="Hyperlink"/>
            <w:b/>
            <w:bCs/>
            <w:noProof/>
          </w:rPr>
          <w:t>Tabelle 5:</w:t>
        </w:r>
        <w:r w:rsidR="00D42784" w:rsidRPr="000B2E16">
          <w:rPr>
            <w:rStyle w:val="Hyperlink"/>
            <w:noProof/>
            <w:spacing w:val="-2"/>
          </w:rPr>
          <w:t xml:space="preserve"> </w:t>
        </w:r>
        <w:r w:rsidR="00D42784">
          <w:rPr>
            <w:rFonts w:asciiTheme="minorHAnsi" w:hAnsiTheme="minorHAnsi"/>
            <w:noProof/>
            <w:sz w:val="22"/>
          </w:rPr>
          <w:tab/>
        </w:r>
        <w:r w:rsidR="00D42784" w:rsidRPr="000B2E16">
          <w:rPr>
            <w:rStyle w:val="Hyperlink"/>
            <w:noProof/>
            <w:spacing w:val="-2"/>
          </w:rPr>
          <w:t xml:space="preserve">Ergebnisse der Clusteranalyse und daraus abgeleitete </w:t>
        </w:r>
        <w:r w:rsidR="00A06A8D">
          <w:rPr>
            <w:rStyle w:val="Hyperlink"/>
            <w:noProof/>
            <w:spacing w:val="-2"/>
          </w:rPr>
          <w:tab/>
        </w:r>
        <w:r w:rsidR="00A06A8D">
          <w:rPr>
            <w:rStyle w:val="Hyperlink"/>
            <w:noProof/>
            <w:spacing w:val="-2"/>
          </w:rPr>
          <w:tab/>
        </w:r>
        <w:r w:rsidR="00D42784" w:rsidRPr="000B2E16">
          <w:rPr>
            <w:rStyle w:val="Hyperlink"/>
            <w:noProof/>
            <w:spacing w:val="-2"/>
          </w:rPr>
          <w:t>Finanzierungsmuster</w:t>
        </w:r>
        <w:r w:rsidR="00D42784">
          <w:rPr>
            <w:noProof/>
            <w:webHidden/>
          </w:rPr>
          <w:tab/>
        </w:r>
        <w:r w:rsidR="00D42784">
          <w:rPr>
            <w:noProof/>
            <w:webHidden/>
          </w:rPr>
          <w:fldChar w:fldCharType="begin"/>
        </w:r>
        <w:r w:rsidR="00D42784">
          <w:rPr>
            <w:noProof/>
            <w:webHidden/>
          </w:rPr>
          <w:instrText xml:space="preserve"> PAGEREF _Toc88423392 \h </w:instrText>
        </w:r>
        <w:r w:rsidR="00D42784">
          <w:rPr>
            <w:noProof/>
            <w:webHidden/>
          </w:rPr>
        </w:r>
        <w:r w:rsidR="00D42784">
          <w:rPr>
            <w:noProof/>
            <w:webHidden/>
          </w:rPr>
          <w:fldChar w:fldCharType="separate"/>
        </w:r>
        <w:r w:rsidR="00285390">
          <w:rPr>
            <w:noProof/>
            <w:webHidden/>
          </w:rPr>
          <w:t>20</w:t>
        </w:r>
        <w:r w:rsidR="00D42784">
          <w:rPr>
            <w:noProof/>
            <w:webHidden/>
          </w:rPr>
          <w:fldChar w:fldCharType="end"/>
        </w:r>
      </w:hyperlink>
    </w:p>
    <w:p w14:paraId="18A69ED5" w14:textId="39CCAF7C" w:rsidR="00D42784" w:rsidRDefault="004F311F" w:rsidP="00D42784">
      <w:pPr>
        <w:pStyle w:val="Abbildungsverzeichnis"/>
        <w:tabs>
          <w:tab w:val="left" w:pos="1418"/>
          <w:tab w:val="right" w:leader="dot" w:pos="8494"/>
        </w:tabs>
        <w:rPr>
          <w:rFonts w:asciiTheme="minorHAnsi" w:hAnsiTheme="minorHAnsi"/>
          <w:noProof/>
          <w:sz w:val="22"/>
        </w:rPr>
      </w:pPr>
      <w:hyperlink w:anchor="_Toc88423393" w:history="1">
        <w:r w:rsidR="00D42784" w:rsidRPr="000B2E16">
          <w:rPr>
            <w:rStyle w:val="Hyperlink"/>
            <w:b/>
            <w:bCs/>
            <w:noProof/>
          </w:rPr>
          <w:t>Tabelle 6:</w:t>
        </w:r>
        <w:r w:rsidR="00D42784" w:rsidRPr="000B2E16">
          <w:rPr>
            <w:rStyle w:val="Hyperlink"/>
            <w:noProof/>
          </w:rPr>
          <w:t xml:space="preserve"> </w:t>
        </w:r>
        <w:r w:rsidR="00D42784">
          <w:rPr>
            <w:rFonts w:asciiTheme="minorHAnsi" w:hAnsiTheme="minorHAnsi"/>
            <w:noProof/>
            <w:sz w:val="22"/>
          </w:rPr>
          <w:tab/>
        </w:r>
        <w:r w:rsidR="00D42784" w:rsidRPr="000B2E16">
          <w:rPr>
            <w:rStyle w:val="Hyperlink"/>
            <w:noProof/>
          </w:rPr>
          <w:t>Ergebnisse des multivariaten Probit-Models</w:t>
        </w:r>
        <w:r w:rsidR="00D42784">
          <w:rPr>
            <w:noProof/>
            <w:webHidden/>
          </w:rPr>
          <w:tab/>
        </w:r>
        <w:r w:rsidR="00D42784">
          <w:rPr>
            <w:noProof/>
            <w:webHidden/>
          </w:rPr>
          <w:fldChar w:fldCharType="begin"/>
        </w:r>
        <w:r w:rsidR="00D42784">
          <w:rPr>
            <w:noProof/>
            <w:webHidden/>
          </w:rPr>
          <w:instrText xml:space="preserve"> PAGEREF _Toc88423393 \h </w:instrText>
        </w:r>
        <w:r w:rsidR="00D42784">
          <w:rPr>
            <w:noProof/>
            <w:webHidden/>
          </w:rPr>
        </w:r>
        <w:r w:rsidR="00D42784">
          <w:rPr>
            <w:noProof/>
            <w:webHidden/>
          </w:rPr>
          <w:fldChar w:fldCharType="separate"/>
        </w:r>
        <w:r w:rsidR="00285390">
          <w:rPr>
            <w:noProof/>
            <w:webHidden/>
          </w:rPr>
          <w:t>26</w:t>
        </w:r>
        <w:r w:rsidR="00D42784">
          <w:rPr>
            <w:noProof/>
            <w:webHidden/>
          </w:rPr>
          <w:fldChar w:fldCharType="end"/>
        </w:r>
      </w:hyperlink>
    </w:p>
    <w:p w14:paraId="4B281BC8" w14:textId="2E2146CC" w:rsidR="00D42784" w:rsidRDefault="004F311F" w:rsidP="00D42784">
      <w:pPr>
        <w:pStyle w:val="Abbildungsverzeichnis"/>
        <w:tabs>
          <w:tab w:val="left" w:pos="1418"/>
          <w:tab w:val="right" w:leader="dot" w:pos="8494"/>
        </w:tabs>
        <w:rPr>
          <w:rFonts w:asciiTheme="minorHAnsi" w:hAnsiTheme="minorHAnsi"/>
          <w:noProof/>
          <w:sz w:val="22"/>
        </w:rPr>
      </w:pPr>
      <w:hyperlink w:anchor="_Toc88423394" w:history="1">
        <w:r w:rsidR="00D42784" w:rsidRPr="000B2E16">
          <w:rPr>
            <w:rStyle w:val="Hyperlink"/>
            <w:b/>
            <w:bCs/>
            <w:noProof/>
          </w:rPr>
          <w:t>Tabelle 7:</w:t>
        </w:r>
        <w:r w:rsidR="00D42784" w:rsidRPr="000B2E16">
          <w:rPr>
            <w:rStyle w:val="Hyperlink"/>
            <w:noProof/>
          </w:rPr>
          <w:t xml:space="preserve"> </w:t>
        </w:r>
        <w:r w:rsidR="00D42784">
          <w:rPr>
            <w:rFonts w:asciiTheme="minorHAnsi" w:hAnsiTheme="minorHAnsi"/>
            <w:noProof/>
            <w:sz w:val="22"/>
          </w:rPr>
          <w:tab/>
        </w:r>
        <w:r w:rsidR="00D42784" w:rsidRPr="000B2E16">
          <w:rPr>
            <w:rStyle w:val="Hyperlink"/>
            <w:noProof/>
          </w:rPr>
          <w:t>Ablauf der Stichprobenauswahl</w:t>
        </w:r>
        <w:r w:rsidR="00D42784">
          <w:rPr>
            <w:noProof/>
            <w:webHidden/>
          </w:rPr>
          <w:tab/>
        </w:r>
        <w:r w:rsidR="00D42784">
          <w:rPr>
            <w:noProof/>
            <w:webHidden/>
          </w:rPr>
          <w:fldChar w:fldCharType="begin"/>
        </w:r>
        <w:r w:rsidR="00D42784">
          <w:rPr>
            <w:noProof/>
            <w:webHidden/>
          </w:rPr>
          <w:instrText xml:space="preserve"> PAGEREF _Toc88423394 \h </w:instrText>
        </w:r>
        <w:r w:rsidR="00D42784">
          <w:rPr>
            <w:noProof/>
            <w:webHidden/>
          </w:rPr>
        </w:r>
        <w:r w:rsidR="00D42784">
          <w:rPr>
            <w:noProof/>
            <w:webHidden/>
          </w:rPr>
          <w:fldChar w:fldCharType="separate"/>
        </w:r>
        <w:r w:rsidR="00285390">
          <w:rPr>
            <w:noProof/>
            <w:webHidden/>
          </w:rPr>
          <w:t>44</w:t>
        </w:r>
        <w:r w:rsidR="00D42784">
          <w:rPr>
            <w:noProof/>
            <w:webHidden/>
          </w:rPr>
          <w:fldChar w:fldCharType="end"/>
        </w:r>
      </w:hyperlink>
    </w:p>
    <w:p w14:paraId="5CBEAFA8" w14:textId="6ABEBDF4" w:rsidR="00D42784" w:rsidRDefault="004F311F" w:rsidP="00D42784">
      <w:pPr>
        <w:pStyle w:val="Abbildungsverzeichnis"/>
        <w:tabs>
          <w:tab w:val="left" w:pos="1418"/>
          <w:tab w:val="right" w:leader="dot" w:pos="8494"/>
        </w:tabs>
        <w:rPr>
          <w:rFonts w:asciiTheme="minorHAnsi" w:hAnsiTheme="minorHAnsi"/>
          <w:noProof/>
          <w:sz w:val="22"/>
        </w:rPr>
      </w:pPr>
      <w:hyperlink w:anchor="_Toc88423395" w:history="1">
        <w:r w:rsidR="00D42784" w:rsidRPr="000B2E16">
          <w:rPr>
            <w:rStyle w:val="Hyperlink"/>
            <w:b/>
            <w:bCs/>
            <w:noProof/>
          </w:rPr>
          <w:t>Tabelle 8:</w:t>
        </w:r>
        <w:r w:rsidR="00D42784" w:rsidRPr="000B2E16">
          <w:rPr>
            <w:rStyle w:val="Hyperlink"/>
            <w:noProof/>
          </w:rPr>
          <w:t xml:space="preserve"> </w:t>
        </w:r>
        <w:r w:rsidR="00D42784">
          <w:rPr>
            <w:rFonts w:asciiTheme="minorHAnsi" w:hAnsiTheme="minorHAnsi"/>
            <w:noProof/>
            <w:sz w:val="22"/>
          </w:rPr>
          <w:tab/>
        </w:r>
        <w:r w:rsidR="00D42784" w:rsidRPr="000B2E16">
          <w:rPr>
            <w:rStyle w:val="Hyperlink"/>
            <w:noProof/>
          </w:rPr>
          <w:t>Anzahl der Unternehmen in der Stichprobe nach Ländern</w:t>
        </w:r>
        <w:r w:rsidR="00D42784">
          <w:rPr>
            <w:noProof/>
            <w:webHidden/>
          </w:rPr>
          <w:tab/>
        </w:r>
        <w:r w:rsidR="00D42784">
          <w:rPr>
            <w:noProof/>
            <w:webHidden/>
          </w:rPr>
          <w:fldChar w:fldCharType="begin"/>
        </w:r>
        <w:r w:rsidR="00D42784">
          <w:rPr>
            <w:noProof/>
            <w:webHidden/>
          </w:rPr>
          <w:instrText xml:space="preserve"> PAGEREF _Toc88423395 \h </w:instrText>
        </w:r>
        <w:r w:rsidR="00D42784">
          <w:rPr>
            <w:noProof/>
            <w:webHidden/>
          </w:rPr>
        </w:r>
        <w:r w:rsidR="00D42784">
          <w:rPr>
            <w:noProof/>
            <w:webHidden/>
          </w:rPr>
          <w:fldChar w:fldCharType="separate"/>
        </w:r>
        <w:r w:rsidR="00285390">
          <w:rPr>
            <w:noProof/>
            <w:webHidden/>
          </w:rPr>
          <w:t>45</w:t>
        </w:r>
        <w:r w:rsidR="00D42784">
          <w:rPr>
            <w:noProof/>
            <w:webHidden/>
          </w:rPr>
          <w:fldChar w:fldCharType="end"/>
        </w:r>
      </w:hyperlink>
    </w:p>
    <w:p w14:paraId="1A659E5E" w14:textId="783C4EC8" w:rsidR="00D42784" w:rsidRDefault="004F311F" w:rsidP="00D42784">
      <w:pPr>
        <w:pStyle w:val="Abbildungsverzeichnis"/>
        <w:tabs>
          <w:tab w:val="left" w:pos="1540"/>
          <w:tab w:val="right" w:leader="dot" w:pos="8494"/>
        </w:tabs>
        <w:ind w:left="1416" w:hanging="1416"/>
        <w:rPr>
          <w:rFonts w:asciiTheme="minorHAnsi" w:hAnsiTheme="minorHAnsi"/>
          <w:noProof/>
          <w:sz w:val="22"/>
        </w:rPr>
      </w:pPr>
      <w:hyperlink w:anchor="_Toc88423396" w:history="1">
        <w:r w:rsidR="00D42784" w:rsidRPr="000B2E16">
          <w:rPr>
            <w:rStyle w:val="Hyperlink"/>
            <w:b/>
            <w:bCs/>
            <w:noProof/>
          </w:rPr>
          <w:t>Tabelle 9:</w:t>
        </w:r>
        <w:r w:rsidR="00D42784" w:rsidRPr="000B2E16">
          <w:rPr>
            <w:rStyle w:val="Hyperlink"/>
            <w:noProof/>
          </w:rPr>
          <w:t xml:space="preserve"> </w:t>
        </w:r>
        <w:r w:rsidR="00D42784">
          <w:rPr>
            <w:rFonts w:asciiTheme="minorHAnsi" w:hAnsiTheme="minorHAnsi"/>
            <w:noProof/>
            <w:sz w:val="22"/>
          </w:rPr>
          <w:tab/>
        </w:r>
        <w:r w:rsidR="00D42784" w:rsidRPr="000B2E16">
          <w:rPr>
            <w:rStyle w:val="Hyperlink"/>
            <w:noProof/>
          </w:rPr>
          <w:t>Korrelationskoeffizienten der Residuen der abhängigen Variablen für die multivariate Probit Regression</w:t>
        </w:r>
        <w:r w:rsidR="00D42784">
          <w:rPr>
            <w:noProof/>
            <w:webHidden/>
          </w:rPr>
          <w:tab/>
        </w:r>
        <w:r w:rsidR="00D42784">
          <w:rPr>
            <w:noProof/>
            <w:webHidden/>
          </w:rPr>
          <w:fldChar w:fldCharType="begin"/>
        </w:r>
        <w:r w:rsidR="00D42784">
          <w:rPr>
            <w:noProof/>
            <w:webHidden/>
          </w:rPr>
          <w:instrText xml:space="preserve"> PAGEREF _Toc88423396 \h </w:instrText>
        </w:r>
        <w:r w:rsidR="00D42784">
          <w:rPr>
            <w:noProof/>
            <w:webHidden/>
          </w:rPr>
        </w:r>
        <w:r w:rsidR="00D42784">
          <w:rPr>
            <w:noProof/>
            <w:webHidden/>
          </w:rPr>
          <w:fldChar w:fldCharType="separate"/>
        </w:r>
        <w:r w:rsidR="00285390">
          <w:rPr>
            <w:noProof/>
            <w:webHidden/>
          </w:rPr>
          <w:t>46</w:t>
        </w:r>
        <w:r w:rsidR="00D42784">
          <w:rPr>
            <w:noProof/>
            <w:webHidden/>
          </w:rPr>
          <w:fldChar w:fldCharType="end"/>
        </w:r>
      </w:hyperlink>
    </w:p>
    <w:p w14:paraId="477949ED" w14:textId="771C3B9A" w:rsidR="00D42784" w:rsidRDefault="004F311F" w:rsidP="00D42784">
      <w:pPr>
        <w:pStyle w:val="Abbildungsverzeichnis"/>
        <w:tabs>
          <w:tab w:val="left" w:pos="1540"/>
          <w:tab w:val="right" w:leader="dot" w:pos="8494"/>
        </w:tabs>
        <w:ind w:left="1416" w:hanging="1416"/>
        <w:rPr>
          <w:rFonts w:asciiTheme="minorHAnsi" w:hAnsiTheme="minorHAnsi"/>
          <w:noProof/>
          <w:sz w:val="22"/>
        </w:rPr>
      </w:pPr>
      <w:hyperlink w:anchor="_Toc88423397" w:history="1">
        <w:r w:rsidR="00D42784" w:rsidRPr="000B2E16">
          <w:rPr>
            <w:rStyle w:val="Hyperlink"/>
            <w:b/>
            <w:bCs/>
            <w:noProof/>
          </w:rPr>
          <w:t>Tabelle 10:</w:t>
        </w:r>
        <w:r w:rsidR="00D42784" w:rsidRPr="000B2E16">
          <w:rPr>
            <w:rStyle w:val="Hyperlink"/>
            <w:noProof/>
          </w:rPr>
          <w:t xml:space="preserve"> </w:t>
        </w:r>
        <w:r w:rsidR="00D42784">
          <w:rPr>
            <w:rFonts w:asciiTheme="minorHAnsi" w:hAnsiTheme="minorHAnsi"/>
            <w:noProof/>
            <w:sz w:val="22"/>
          </w:rPr>
          <w:tab/>
        </w:r>
        <w:r w:rsidR="00D42784" w:rsidRPr="000B2E16">
          <w:rPr>
            <w:rStyle w:val="Hyperlink"/>
            <w:noProof/>
          </w:rPr>
          <w:t>Regressionsergebnisse der unabhängigen univariaten logistischen Regressionen für jede Hypothese</w:t>
        </w:r>
        <w:r w:rsidR="00D42784">
          <w:rPr>
            <w:noProof/>
            <w:webHidden/>
          </w:rPr>
          <w:tab/>
        </w:r>
        <w:r w:rsidR="00D42784">
          <w:rPr>
            <w:noProof/>
            <w:webHidden/>
          </w:rPr>
          <w:fldChar w:fldCharType="begin"/>
        </w:r>
        <w:r w:rsidR="00D42784">
          <w:rPr>
            <w:noProof/>
            <w:webHidden/>
          </w:rPr>
          <w:instrText xml:space="preserve"> PAGEREF _Toc88423397 \h </w:instrText>
        </w:r>
        <w:r w:rsidR="00D42784">
          <w:rPr>
            <w:noProof/>
            <w:webHidden/>
          </w:rPr>
        </w:r>
        <w:r w:rsidR="00D42784">
          <w:rPr>
            <w:noProof/>
            <w:webHidden/>
          </w:rPr>
          <w:fldChar w:fldCharType="separate"/>
        </w:r>
        <w:r w:rsidR="00285390">
          <w:rPr>
            <w:noProof/>
            <w:webHidden/>
          </w:rPr>
          <w:t>47</w:t>
        </w:r>
        <w:r w:rsidR="00D42784">
          <w:rPr>
            <w:noProof/>
            <w:webHidden/>
          </w:rPr>
          <w:fldChar w:fldCharType="end"/>
        </w:r>
      </w:hyperlink>
    </w:p>
    <w:p w14:paraId="1315D168" w14:textId="30446424" w:rsidR="00D42784" w:rsidRDefault="004F311F" w:rsidP="00D42784">
      <w:pPr>
        <w:pStyle w:val="Abbildungsverzeichnis"/>
        <w:tabs>
          <w:tab w:val="left" w:pos="1418"/>
          <w:tab w:val="right" w:leader="dot" w:pos="8494"/>
        </w:tabs>
        <w:rPr>
          <w:rFonts w:asciiTheme="minorHAnsi" w:hAnsiTheme="minorHAnsi"/>
          <w:noProof/>
          <w:sz w:val="22"/>
        </w:rPr>
      </w:pPr>
      <w:hyperlink w:anchor="_Toc88423398" w:history="1">
        <w:r w:rsidR="00D42784" w:rsidRPr="000B2E16">
          <w:rPr>
            <w:rStyle w:val="Hyperlink"/>
            <w:b/>
            <w:bCs/>
            <w:noProof/>
          </w:rPr>
          <w:t xml:space="preserve">Tabelle 11: </w:t>
        </w:r>
        <w:r w:rsidR="00D42784">
          <w:rPr>
            <w:rStyle w:val="Hyperlink"/>
            <w:b/>
            <w:bCs/>
            <w:noProof/>
          </w:rPr>
          <w:tab/>
        </w:r>
        <w:r w:rsidR="00D42784" w:rsidRPr="000B2E16">
          <w:rPr>
            <w:rStyle w:val="Hyperlink"/>
            <w:noProof/>
          </w:rPr>
          <w:t>Regressionsergebnisse der multinomialen logistischen Regressionen</w:t>
        </w:r>
        <w:r w:rsidR="00D42784">
          <w:rPr>
            <w:noProof/>
            <w:webHidden/>
          </w:rPr>
          <w:tab/>
        </w:r>
        <w:r w:rsidR="00D42784">
          <w:rPr>
            <w:noProof/>
            <w:webHidden/>
          </w:rPr>
          <w:fldChar w:fldCharType="begin"/>
        </w:r>
        <w:r w:rsidR="00D42784">
          <w:rPr>
            <w:noProof/>
            <w:webHidden/>
          </w:rPr>
          <w:instrText xml:space="preserve"> PAGEREF _Toc88423398 \h </w:instrText>
        </w:r>
        <w:r w:rsidR="00D42784">
          <w:rPr>
            <w:noProof/>
            <w:webHidden/>
          </w:rPr>
        </w:r>
        <w:r w:rsidR="00D42784">
          <w:rPr>
            <w:noProof/>
            <w:webHidden/>
          </w:rPr>
          <w:fldChar w:fldCharType="separate"/>
        </w:r>
        <w:r w:rsidR="00285390">
          <w:rPr>
            <w:noProof/>
            <w:webHidden/>
          </w:rPr>
          <w:t>49</w:t>
        </w:r>
        <w:r w:rsidR="00D42784">
          <w:rPr>
            <w:noProof/>
            <w:webHidden/>
          </w:rPr>
          <w:fldChar w:fldCharType="end"/>
        </w:r>
      </w:hyperlink>
    </w:p>
    <w:p w14:paraId="7A70431C" w14:textId="470F411F" w:rsidR="002A4ADD" w:rsidRPr="008F61A3" w:rsidRDefault="00F2747D" w:rsidP="006F762D">
      <w:r w:rsidRPr="008F61A3">
        <w:rPr>
          <w:b/>
          <w:bCs/>
          <w:noProof/>
        </w:rPr>
        <w:fldChar w:fldCharType="end"/>
      </w:r>
      <w:r w:rsidR="007742F4" w:rsidRPr="008F61A3">
        <w:t xml:space="preserve"> </w:t>
      </w:r>
      <w:r w:rsidR="002A4ADD" w:rsidRPr="008F61A3">
        <w:br w:type="page"/>
      </w:r>
    </w:p>
    <w:p w14:paraId="75D57302" w14:textId="5415337C" w:rsidR="00676F73" w:rsidRPr="008F61A3" w:rsidRDefault="00676F73" w:rsidP="003173BC">
      <w:pPr>
        <w:pStyle w:val="berschrift1"/>
        <w:numPr>
          <w:ilvl w:val="0"/>
          <w:numId w:val="0"/>
        </w:numPr>
      </w:pPr>
      <w:bookmarkStart w:id="2" w:name="_Toc88425816"/>
      <w:r w:rsidRPr="008F61A3">
        <w:lastRenderedPageBreak/>
        <w:t>Abkürzungs- und Symbolverzeichnis</w:t>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4992"/>
      </w:tblGrid>
      <w:tr w:rsidR="001432CD" w14:paraId="3A648A6E" w14:textId="77777777" w:rsidTr="006947C6">
        <w:tc>
          <w:tcPr>
            <w:tcW w:w="3652" w:type="dxa"/>
          </w:tcPr>
          <w:p w14:paraId="0DE401DB" w14:textId="6ABA92D5" w:rsidR="001432CD" w:rsidRPr="001432CD" w:rsidRDefault="001432CD" w:rsidP="001432CD">
            <w:pPr>
              <w:rPr>
                <w:b/>
                <w:bCs/>
                <w:u w:val="single"/>
              </w:rPr>
            </w:pPr>
            <w:r w:rsidRPr="008F61A3">
              <w:rPr>
                <w:b/>
                <w:bCs/>
                <w:u w:val="single"/>
              </w:rPr>
              <w:t>Abkürzung:</w:t>
            </w:r>
          </w:p>
        </w:tc>
        <w:tc>
          <w:tcPr>
            <w:tcW w:w="4992" w:type="dxa"/>
          </w:tcPr>
          <w:p w14:paraId="7F27F164" w14:textId="3C31F213" w:rsidR="001432CD" w:rsidRPr="001432CD" w:rsidRDefault="001432CD" w:rsidP="001432CD">
            <w:pPr>
              <w:rPr>
                <w:b/>
                <w:bCs/>
                <w:u w:val="single"/>
              </w:rPr>
            </w:pPr>
            <w:r w:rsidRPr="001432CD">
              <w:rPr>
                <w:b/>
                <w:bCs/>
                <w:u w:val="single"/>
              </w:rPr>
              <w:t>Bedeutung:</w:t>
            </w:r>
          </w:p>
        </w:tc>
      </w:tr>
      <w:tr w:rsidR="00FE7673" w14:paraId="14A8152C" w14:textId="77777777" w:rsidTr="006947C6">
        <w:tc>
          <w:tcPr>
            <w:tcW w:w="3652" w:type="dxa"/>
          </w:tcPr>
          <w:p w14:paraId="4F20F6A6" w14:textId="4B59FE68" w:rsidR="00FE7673" w:rsidRDefault="00FE7673" w:rsidP="001432CD">
            <w:r>
              <w:t>BA</w:t>
            </w:r>
          </w:p>
        </w:tc>
        <w:tc>
          <w:tcPr>
            <w:tcW w:w="4992" w:type="dxa"/>
          </w:tcPr>
          <w:p w14:paraId="3EA32AA7" w14:textId="66E721C3" w:rsidR="00FE7673" w:rsidRDefault="00FE7673">
            <w:pPr>
              <w:spacing w:line="276" w:lineRule="auto"/>
              <w:jc w:val="left"/>
            </w:pPr>
            <w:r>
              <w:t>Business Angel</w:t>
            </w:r>
          </w:p>
        </w:tc>
      </w:tr>
      <w:tr w:rsidR="00B060EB" w14:paraId="2F5CA44F" w14:textId="77777777" w:rsidTr="006947C6">
        <w:tc>
          <w:tcPr>
            <w:tcW w:w="3652" w:type="dxa"/>
          </w:tcPr>
          <w:p w14:paraId="114F3C9C" w14:textId="0E9CCD36" w:rsidR="00B060EB" w:rsidRPr="008F61A3" w:rsidRDefault="00B060EB" w:rsidP="001432CD">
            <w:r>
              <w:t>EU</w:t>
            </w:r>
          </w:p>
        </w:tc>
        <w:tc>
          <w:tcPr>
            <w:tcW w:w="4992" w:type="dxa"/>
          </w:tcPr>
          <w:p w14:paraId="27D4F235" w14:textId="39B1E6D1" w:rsidR="00B060EB" w:rsidRPr="001432CD" w:rsidRDefault="00B060EB">
            <w:pPr>
              <w:spacing w:line="276" w:lineRule="auto"/>
              <w:jc w:val="left"/>
            </w:pPr>
            <w:r>
              <w:t>Europäische Union</w:t>
            </w:r>
          </w:p>
        </w:tc>
      </w:tr>
      <w:tr w:rsidR="00792C51" w14:paraId="0C213F6A" w14:textId="77777777" w:rsidTr="006947C6">
        <w:tc>
          <w:tcPr>
            <w:tcW w:w="3652" w:type="dxa"/>
          </w:tcPr>
          <w:p w14:paraId="074E5BBD" w14:textId="5F584AE4" w:rsidR="00792C51" w:rsidRDefault="00792C51" w:rsidP="001432CD">
            <w:r>
              <w:t>EU-Kommission</w:t>
            </w:r>
          </w:p>
        </w:tc>
        <w:tc>
          <w:tcPr>
            <w:tcW w:w="4992" w:type="dxa"/>
          </w:tcPr>
          <w:p w14:paraId="64221F8D" w14:textId="1BD1C744" w:rsidR="00792C51" w:rsidRDefault="00792C51">
            <w:pPr>
              <w:spacing w:line="276" w:lineRule="auto"/>
              <w:jc w:val="left"/>
            </w:pPr>
            <w:r>
              <w:t>Europäische Kommission</w:t>
            </w:r>
          </w:p>
        </w:tc>
      </w:tr>
      <w:tr w:rsidR="001432CD" w14:paraId="56885794" w14:textId="77777777" w:rsidTr="006947C6">
        <w:tc>
          <w:tcPr>
            <w:tcW w:w="3652" w:type="dxa"/>
          </w:tcPr>
          <w:p w14:paraId="3E1F769A" w14:textId="1559B811" w:rsidR="001432CD" w:rsidRDefault="001432CD" w:rsidP="001432CD">
            <w:r w:rsidRPr="008F61A3">
              <w:t>EZB</w:t>
            </w:r>
          </w:p>
        </w:tc>
        <w:tc>
          <w:tcPr>
            <w:tcW w:w="4992" w:type="dxa"/>
          </w:tcPr>
          <w:p w14:paraId="5815C736" w14:textId="10591D52" w:rsidR="001432CD" w:rsidRDefault="001432CD">
            <w:pPr>
              <w:spacing w:line="276" w:lineRule="auto"/>
              <w:jc w:val="left"/>
            </w:pPr>
            <w:r w:rsidRPr="001432CD">
              <w:t>Europäische Zentralbank</w:t>
            </w:r>
          </w:p>
        </w:tc>
      </w:tr>
      <w:tr w:rsidR="001432CD" w14:paraId="693E7BEF" w14:textId="77777777" w:rsidTr="006947C6">
        <w:tc>
          <w:tcPr>
            <w:tcW w:w="3652" w:type="dxa"/>
          </w:tcPr>
          <w:p w14:paraId="6FA2949A" w14:textId="4B23E61A" w:rsidR="001432CD" w:rsidRPr="008F61A3" w:rsidRDefault="001432CD" w:rsidP="001432CD">
            <w:r>
              <w:t>KMU</w:t>
            </w:r>
          </w:p>
        </w:tc>
        <w:tc>
          <w:tcPr>
            <w:tcW w:w="4992" w:type="dxa"/>
          </w:tcPr>
          <w:p w14:paraId="4B2BC557" w14:textId="159F12CC" w:rsidR="001432CD" w:rsidRPr="001432CD" w:rsidRDefault="001432CD">
            <w:pPr>
              <w:spacing w:line="276" w:lineRule="auto"/>
              <w:jc w:val="left"/>
            </w:pPr>
            <w:r>
              <w:t>Kleine und mittlere Unternehmen</w:t>
            </w:r>
          </w:p>
        </w:tc>
      </w:tr>
      <w:tr w:rsidR="001432CD" w14:paraId="706A3B49" w14:textId="77777777" w:rsidTr="006947C6">
        <w:tc>
          <w:tcPr>
            <w:tcW w:w="3652" w:type="dxa"/>
          </w:tcPr>
          <w:p w14:paraId="4794B75C" w14:textId="51D73926" w:rsidR="001432CD" w:rsidRDefault="001432CD" w:rsidP="001432CD">
            <w:r>
              <w:t>NGO</w:t>
            </w:r>
          </w:p>
        </w:tc>
        <w:tc>
          <w:tcPr>
            <w:tcW w:w="4992" w:type="dxa"/>
          </w:tcPr>
          <w:p w14:paraId="2F4B2229" w14:textId="226639FE" w:rsidR="001432CD" w:rsidRDefault="001432CD">
            <w:pPr>
              <w:spacing w:line="276" w:lineRule="auto"/>
              <w:jc w:val="left"/>
            </w:pPr>
            <w:r w:rsidRPr="001432CD">
              <w:t>Non-governmental organization (Nichtregierungsorganisation)</w:t>
            </w:r>
          </w:p>
        </w:tc>
      </w:tr>
      <w:tr w:rsidR="001432CD" w:rsidRPr="00E152C3" w14:paraId="00639776" w14:textId="77777777" w:rsidTr="006947C6">
        <w:tc>
          <w:tcPr>
            <w:tcW w:w="3652" w:type="dxa"/>
          </w:tcPr>
          <w:p w14:paraId="367148CB" w14:textId="5DDFDF45" w:rsidR="001432CD" w:rsidRDefault="001432CD" w:rsidP="001432CD">
            <w:r w:rsidRPr="008F61A3">
              <w:t>SAFE</w:t>
            </w:r>
          </w:p>
        </w:tc>
        <w:tc>
          <w:tcPr>
            <w:tcW w:w="4992" w:type="dxa"/>
          </w:tcPr>
          <w:p w14:paraId="33027587" w14:textId="6059C258" w:rsidR="001432CD" w:rsidRPr="0005763D" w:rsidRDefault="001432CD" w:rsidP="001432CD">
            <w:pPr>
              <w:rPr>
                <w:lang w:val="en-US"/>
              </w:rPr>
            </w:pPr>
            <w:r w:rsidRPr="0005763D">
              <w:rPr>
                <w:lang w:val="en-US"/>
              </w:rPr>
              <w:t>Survey on the access to finance of enterprises</w:t>
            </w:r>
          </w:p>
        </w:tc>
      </w:tr>
      <w:tr w:rsidR="00E51C84" w:rsidRPr="00087892" w14:paraId="3E51DC1F" w14:textId="77777777" w:rsidTr="006947C6">
        <w:tc>
          <w:tcPr>
            <w:tcW w:w="3652" w:type="dxa"/>
          </w:tcPr>
          <w:p w14:paraId="0711B670" w14:textId="27437C96" w:rsidR="00E51C84" w:rsidRPr="008F61A3" w:rsidRDefault="00E51C84" w:rsidP="001432CD">
            <w:r>
              <w:t>u.a.</w:t>
            </w:r>
          </w:p>
        </w:tc>
        <w:tc>
          <w:tcPr>
            <w:tcW w:w="4992" w:type="dxa"/>
          </w:tcPr>
          <w:p w14:paraId="4D909285" w14:textId="43457350" w:rsidR="00E51C84" w:rsidRPr="0005763D" w:rsidRDefault="00E51C84" w:rsidP="001432CD">
            <w:pPr>
              <w:rPr>
                <w:lang w:val="en-US"/>
              </w:rPr>
            </w:pPr>
            <w:r>
              <w:rPr>
                <w:lang w:val="en-US"/>
              </w:rPr>
              <w:t>unter anderem</w:t>
            </w:r>
          </w:p>
        </w:tc>
      </w:tr>
      <w:tr w:rsidR="009F7CB8" w14:paraId="1612027C" w14:textId="77777777" w:rsidTr="006947C6">
        <w:tc>
          <w:tcPr>
            <w:tcW w:w="3652" w:type="dxa"/>
          </w:tcPr>
          <w:p w14:paraId="0E4312B8" w14:textId="5995EBD5" w:rsidR="009F7CB8" w:rsidRPr="001432CD" w:rsidRDefault="00535B3D" w:rsidP="001432CD">
            <w:r>
              <w:t>UK</w:t>
            </w:r>
          </w:p>
        </w:tc>
        <w:tc>
          <w:tcPr>
            <w:tcW w:w="4992" w:type="dxa"/>
          </w:tcPr>
          <w:p w14:paraId="3E31C2FC" w14:textId="6799DFDF" w:rsidR="009F7CB8" w:rsidRPr="001432CD" w:rsidRDefault="00535B3D">
            <w:pPr>
              <w:spacing w:line="276" w:lineRule="auto"/>
              <w:jc w:val="left"/>
            </w:pPr>
            <w:r>
              <w:t>United Kingdom</w:t>
            </w:r>
          </w:p>
        </w:tc>
      </w:tr>
      <w:tr w:rsidR="00225E5C" w14:paraId="32D89BDF" w14:textId="77777777" w:rsidTr="006947C6">
        <w:tc>
          <w:tcPr>
            <w:tcW w:w="3652" w:type="dxa"/>
          </w:tcPr>
          <w:p w14:paraId="0B0817CC" w14:textId="51700814" w:rsidR="00225E5C" w:rsidRDefault="00225E5C" w:rsidP="001432CD">
            <w:r>
              <w:t>VC</w:t>
            </w:r>
          </w:p>
        </w:tc>
        <w:tc>
          <w:tcPr>
            <w:tcW w:w="4992" w:type="dxa"/>
          </w:tcPr>
          <w:p w14:paraId="5085AA07" w14:textId="486E4432" w:rsidR="00225E5C" w:rsidRDefault="00225E5C">
            <w:pPr>
              <w:spacing w:line="276" w:lineRule="auto"/>
              <w:jc w:val="left"/>
            </w:pPr>
            <w:r>
              <w:t>Venture Capital</w:t>
            </w:r>
          </w:p>
        </w:tc>
      </w:tr>
      <w:tr w:rsidR="00FE7673" w14:paraId="1617C93F" w14:textId="77777777" w:rsidTr="006947C6">
        <w:tc>
          <w:tcPr>
            <w:tcW w:w="3652" w:type="dxa"/>
          </w:tcPr>
          <w:p w14:paraId="4C882F88" w14:textId="3568F266" w:rsidR="00FE7673" w:rsidRDefault="00FE7673" w:rsidP="001432CD">
            <w:r>
              <w:t>Vgl.</w:t>
            </w:r>
          </w:p>
        </w:tc>
        <w:tc>
          <w:tcPr>
            <w:tcW w:w="4992" w:type="dxa"/>
          </w:tcPr>
          <w:p w14:paraId="1F944495" w14:textId="061C33A6" w:rsidR="00FE7673" w:rsidRDefault="00FE7673">
            <w:pPr>
              <w:spacing w:line="276" w:lineRule="auto"/>
              <w:jc w:val="left"/>
            </w:pPr>
            <w:r>
              <w:t>Vergleiche</w:t>
            </w:r>
          </w:p>
        </w:tc>
      </w:tr>
      <w:tr w:rsidR="001432CD" w14:paraId="77BE50E1" w14:textId="77777777" w:rsidTr="006947C6">
        <w:tc>
          <w:tcPr>
            <w:tcW w:w="3652" w:type="dxa"/>
          </w:tcPr>
          <w:p w14:paraId="10639852" w14:textId="7555AA5E" w:rsidR="001432CD" w:rsidRPr="001432CD" w:rsidRDefault="00F127B3" w:rsidP="001432CD">
            <w:r>
              <w:t>z.B.</w:t>
            </w:r>
          </w:p>
        </w:tc>
        <w:tc>
          <w:tcPr>
            <w:tcW w:w="4992" w:type="dxa"/>
          </w:tcPr>
          <w:p w14:paraId="57D73FFA" w14:textId="49231DDA" w:rsidR="001432CD" w:rsidRDefault="00334CA3">
            <w:pPr>
              <w:spacing w:line="276" w:lineRule="auto"/>
              <w:jc w:val="left"/>
            </w:pPr>
            <w:r>
              <w:t>z</w:t>
            </w:r>
            <w:r w:rsidR="00F127B3">
              <w:t>um Beispiel</w:t>
            </w:r>
          </w:p>
        </w:tc>
      </w:tr>
    </w:tbl>
    <w:p w14:paraId="5481FBF6" w14:textId="77777777" w:rsidR="00676F73" w:rsidRPr="008F61A3" w:rsidRDefault="00676F73">
      <w:pPr>
        <w:spacing w:line="276" w:lineRule="auto"/>
        <w:jc w:val="left"/>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4992"/>
      </w:tblGrid>
      <w:tr w:rsidR="001432CD" w:rsidRPr="001432CD" w14:paraId="1310FAA4" w14:textId="77777777" w:rsidTr="006947C6">
        <w:tc>
          <w:tcPr>
            <w:tcW w:w="3652" w:type="dxa"/>
          </w:tcPr>
          <w:p w14:paraId="346FD5A0" w14:textId="7177D250" w:rsidR="001432CD" w:rsidRPr="001432CD" w:rsidRDefault="001432CD" w:rsidP="00CE6C0E">
            <w:pPr>
              <w:rPr>
                <w:b/>
                <w:bCs/>
                <w:u w:val="single"/>
              </w:rPr>
            </w:pPr>
            <w:r>
              <w:rPr>
                <w:b/>
                <w:bCs/>
                <w:u w:val="single"/>
              </w:rPr>
              <w:t>Symbol</w:t>
            </w:r>
            <w:r w:rsidRPr="008F61A3">
              <w:rPr>
                <w:b/>
                <w:bCs/>
                <w:u w:val="single"/>
              </w:rPr>
              <w:t>:</w:t>
            </w:r>
          </w:p>
        </w:tc>
        <w:tc>
          <w:tcPr>
            <w:tcW w:w="4992" w:type="dxa"/>
          </w:tcPr>
          <w:p w14:paraId="416321B5" w14:textId="1F3F6E70" w:rsidR="001432CD" w:rsidRPr="001432CD" w:rsidRDefault="001432CD" w:rsidP="00CE6C0E">
            <w:pPr>
              <w:rPr>
                <w:b/>
                <w:bCs/>
                <w:u w:val="single"/>
              </w:rPr>
            </w:pPr>
            <w:r>
              <w:rPr>
                <w:b/>
                <w:bCs/>
                <w:u w:val="single"/>
              </w:rPr>
              <w:t>Erläuterung</w:t>
            </w:r>
            <w:r w:rsidRPr="001432CD">
              <w:rPr>
                <w:b/>
                <w:bCs/>
                <w:u w:val="single"/>
              </w:rPr>
              <w:t>:</w:t>
            </w:r>
          </w:p>
        </w:tc>
      </w:tr>
      <w:tr w:rsidR="001432CD" w14:paraId="0789B786" w14:textId="77777777" w:rsidTr="006947C6">
        <w:tc>
          <w:tcPr>
            <w:tcW w:w="3652" w:type="dxa"/>
          </w:tcPr>
          <w:p w14:paraId="0D6C2FE9" w14:textId="0F18863D" w:rsidR="001432CD" w:rsidRPr="001A34B5" w:rsidRDefault="00F17B12" w:rsidP="00F17B12">
            <w:pPr>
              <w:jc w:val="left"/>
              <w:rPr>
                <w:rFonts w:ascii="Cambria Math" w:hAnsi="Cambria Math"/>
                <w:i/>
                <w:iCs/>
              </w:rPr>
            </w:pPr>
            <w:r w:rsidRPr="001A34B5">
              <w:rPr>
                <w:rFonts w:ascii="Cambria Math" w:hAnsi="Cambria Math" w:cs="Times New Roman"/>
                <w:i/>
                <w:iCs/>
              </w:rPr>
              <w:t>β</w:t>
            </w:r>
          </w:p>
        </w:tc>
        <w:tc>
          <w:tcPr>
            <w:tcW w:w="4992" w:type="dxa"/>
          </w:tcPr>
          <w:p w14:paraId="0A76B851" w14:textId="2618D02A" w:rsidR="001432CD" w:rsidRDefault="00682727" w:rsidP="00CE6C0E">
            <w:pPr>
              <w:spacing w:line="276" w:lineRule="auto"/>
              <w:jc w:val="left"/>
            </w:pPr>
            <w:r>
              <w:t>Regressionskoeffizient</w:t>
            </w:r>
          </w:p>
        </w:tc>
      </w:tr>
      <w:tr w:rsidR="001432CD" w:rsidRPr="001A34B5" w14:paraId="042F256F" w14:textId="77777777" w:rsidTr="006947C6">
        <w:tc>
          <w:tcPr>
            <w:tcW w:w="3652" w:type="dxa"/>
          </w:tcPr>
          <w:p w14:paraId="495236B8" w14:textId="01A54ABC" w:rsidR="001432CD" w:rsidRPr="001A34B5" w:rsidRDefault="001B16CB" w:rsidP="00F17B12">
            <w:pPr>
              <w:jc w:val="left"/>
              <w:rPr>
                <w:rFonts w:ascii="Cambria Math" w:hAnsi="Cambria Math"/>
                <w:i/>
                <w:iCs/>
                <w:lang w:val="en-US"/>
              </w:rPr>
            </w:pPr>
            <w:r>
              <w:rPr>
                <w:rFonts w:ascii="Cambria Math" w:hAnsi="Cambria Math"/>
                <w:i/>
                <w:iCs/>
                <w:lang w:val="en-US"/>
              </w:rPr>
              <w:t xml:space="preserve">d </w:t>
            </w:r>
            <m:oMath>
              <m:r>
                <w:rPr>
                  <w:rFonts w:ascii="Cambria Math" w:hAnsi="Cambria Math"/>
                  <w:lang w:val="en-US"/>
                </w:rPr>
                <m:t>(i,j)</m:t>
              </m:r>
            </m:oMath>
          </w:p>
        </w:tc>
        <w:tc>
          <w:tcPr>
            <w:tcW w:w="4992" w:type="dxa"/>
          </w:tcPr>
          <w:p w14:paraId="7209FCAB" w14:textId="296ADF29" w:rsidR="001432CD" w:rsidRPr="001A34B5" w:rsidRDefault="001A34B5" w:rsidP="00CE6C0E">
            <w:pPr>
              <w:spacing w:line="276" w:lineRule="auto"/>
              <w:jc w:val="left"/>
            </w:pPr>
            <w:r w:rsidRPr="001A34B5">
              <w:t xml:space="preserve">Distanzmaß zwischen zwei </w:t>
            </w:r>
            <w:r>
              <w:t xml:space="preserve">Objekten </w:t>
            </w:r>
            <m:oMath>
              <m:r>
                <w:rPr>
                  <w:rFonts w:ascii="Cambria Math" w:hAnsi="Cambria Math"/>
                </w:rPr>
                <m:t xml:space="preserve">i </m:t>
              </m:r>
            </m:oMath>
            <w:r>
              <w:t>und</w:t>
            </w:r>
            <m:oMath>
              <m:r>
                <w:rPr>
                  <w:rFonts w:ascii="Cambria Math" w:hAnsi="Cambria Math"/>
                </w:rPr>
                <m:t xml:space="preserve"> j</m:t>
              </m:r>
            </m:oMath>
          </w:p>
        </w:tc>
      </w:tr>
      <w:tr w:rsidR="009D0AFF" w:rsidRPr="001A34B5" w14:paraId="5082DE7D" w14:textId="77777777" w:rsidTr="006947C6">
        <w:tc>
          <w:tcPr>
            <w:tcW w:w="3652" w:type="dxa"/>
          </w:tcPr>
          <w:p w14:paraId="25598F26" w14:textId="1308B20F" w:rsidR="009D0AFF" w:rsidRDefault="009D0AFF" w:rsidP="00F17B12">
            <w:pPr>
              <w:jc w:val="left"/>
              <w:rPr>
                <w:rFonts w:ascii="Cambria Math" w:hAnsi="Cambria Math"/>
                <w:i/>
                <w:iCs/>
                <w:lang w:val="en-US"/>
              </w:rPr>
            </w:pPr>
            <w:r>
              <w:rPr>
                <w:rFonts w:ascii="Cambria Math" w:hAnsi="Cambria Math"/>
                <w:i/>
                <w:iCs/>
                <w:lang w:val="en-US"/>
              </w:rPr>
              <w:t>ε</w:t>
            </w:r>
          </w:p>
        </w:tc>
        <w:tc>
          <w:tcPr>
            <w:tcW w:w="4992" w:type="dxa"/>
          </w:tcPr>
          <w:p w14:paraId="77D564A4" w14:textId="2EB93A92" w:rsidR="009D0AFF" w:rsidRPr="001A34B5" w:rsidRDefault="009D0AFF" w:rsidP="00CE6C0E">
            <w:pPr>
              <w:spacing w:line="276" w:lineRule="auto"/>
              <w:jc w:val="left"/>
            </w:pPr>
            <w:r>
              <w:t>Fehlervariable der Regression</w:t>
            </w:r>
          </w:p>
        </w:tc>
      </w:tr>
      <w:tr w:rsidR="003A6841" w:rsidRPr="001A34B5" w14:paraId="3273AC93" w14:textId="77777777" w:rsidTr="006947C6">
        <w:tc>
          <w:tcPr>
            <w:tcW w:w="3652" w:type="dxa"/>
          </w:tcPr>
          <w:p w14:paraId="1EF242B1" w14:textId="1AB0536E" w:rsidR="003A6841" w:rsidRDefault="003A6841" w:rsidP="00F17B12">
            <w:pPr>
              <w:jc w:val="left"/>
              <w:rPr>
                <w:rFonts w:ascii="Cambria Math" w:hAnsi="Cambria Math"/>
                <w:i/>
                <w:iCs/>
                <w:lang w:val="en-US"/>
              </w:rPr>
            </w:pPr>
            <w:r>
              <w:rPr>
                <w:rFonts w:ascii="Cambria Math" w:hAnsi="Cambria Math"/>
                <w:i/>
                <w:iCs/>
                <w:lang w:val="en-US"/>
              </w:rPr>
              <w:t>k</w:t>
            </w:r>
          </w:p>
        </w:tc>
        <w:tc>
          <w:tcPr>
            <w:tcW w:w="4992" w:type="dxa"/>
          </w:tcPr>
          <w:p w14:paraId="4EF54562" w14:textId="4B2AE051" w:rsidR="003A6841" w:rsidRPr="001A34B5" w:rsidRDefault="003A6841" w:rsidP="00CE6C0E">
            <w:pPr>
              <w:spacing w:line="276" w:lineRule="auto"/>
              <w:jc w:val="left"/>
            </w:pPr>
            <w:r>
              <w:t>Anzahl der Cluster</w:t>
            </w:r>
          </w:p>
        </w:tc>
      </w:tr>
      <w:tr w:rsidR="001432CD" w:rsidRPr="001432CD" w14:paraId="70FC8874" w14:textId="77777777" w:rsidTr="006947C6">
        <w:tc>
          <w:tcPr>
            <w:tcW w:w="3652" w:type="dxa"/>
          </w:tcPr>
          <w:p w14:paraId="1FBBC9CD" w14:textId="262DB167" w:rsidR="001432CD" w:rsidRPr="001A34B5" w:rsidRDefault="00F17B12" w:rsidP="00F17B12">
            <w:pPr>
              <w:jc w:val="left"/>
              <w:rPr>
                <w:rFonts w:ascii="Cambria Math" w:hAnsi="Cambria Math"/>
                <w:i/>
                <w:iCs/>
              </w:rPr>
            </w:pPr>
            <w:r w:rsidRPr="001A34B5">
              <w:rPr>
                <w:rFonts w:ascii="Cambria Math" w:hAnsi="Cambria Math"/>
                <w:i/>
                <w:iCs/>
              </w:rPr>
              <w:t>OR</w:t>
            </w:r>
          </w:p>
        </w:tc>
        <w:tc>
          <w:tcPr>
            <w:tcW w:w="4992" w:type="dxa"/>
          </w:tcPr>
          <w:p w14:paraId="023972FA" w14:textId="310507A6" w:rsidR="001432CD" w:rsidRPr="001432CD" w:rsidRDefault="00043864" w:rsidP="001432CD">
            <w:r>
              <w:t>Odds-Ratio</w:t>
            </w:r>
          </w:p>
        </w:tc>
      </w:tr>
      <w:tr w:rsidR="001432CD" w14:paraId="23F75938" w14:textId="77777777" w:rsidTr="006947C6">
        <w:tc>
          <w:tcPr>
            <w:tcW w:w="3652" w:type="dxa"/>
          </w:tcPr>
          <w:p w14:paraId="230BCDB8" w14:textId="2E332B03" w:rsidR="001432CD" w:rsidRPr="001A34B5" w:rsidRDefault="00F17B12" w:rsidP="00F17B12">
            <w:pPr>
              <w:jc w:val="left"/>
              <w:rPr>
                <w:rFonts w:ascii="Cambria Math" w:hAnsi="Cambria Math"/>
                <w:i/>
                <w:iCs/>
              </w:rPr>
            </w:pPr>
            <w:r w:rsidRPr="001A34B5">
              <w:rPr>
                <w:rFonts w:ascii="Cambria Math" w:hAnsi="Cambria Math"/>
                <w:i/>
                <w:iCs/>
              </w:rPr>
              <w:t>p</w:t>
            </w:r>
          </w:p>
        </w:tc>
        <w:tc>
          <w:tcPr>
            <w:tcW w:w="4992" w:type="dxa"/>
          </w:tcPr>
          <w:p w14:paraId="16DFD4E7" w14:textId="0E34B7EC" w:rsidR="001432CD" w:rsidRDefault="001A34B5" w:rsidP="00CE6C0E">
            <w:pPr>
              <w:spacing w:line="276" w:lineRule="auto"/>
              <w:jc w:val="left"/>
            </w:pPr>
            <m:oMath>
              <m:r>
                <w:rPr>
                  <w:rFonts w:ascii="Cambria Math" w:hAnsi="Cambria Math"/>
                </w:rPr>
                <m:t>p</m:t>
              </m:r>
            </m:oMath>
            <w:r w:rsidR="00C47994">
              <w:t>-Wert des Tests</w:t>
            </w:r>
          </w:p>
        </w:tc>
      </w:tr>
      <w:tr w:rsidR="00600BCF" w14:paraId="47E6A4CE" w14:textId="77777777" w:rsidTr="006947C6">
        <w:tc>
          <w:tcPr>
            <w:tcW w:w="3652" w:type="dxa"/>
          </w:tcPr>
          <w:p w14:paraId="60E41F24" w14:textId="4121D864" w:rsidR="00600BCF" w:rsidRPr="001A34B5" w:rsidRDefault="00600BCF" w:rsidP="00600BCF">
            <w:pPr>
              <w:jc w:val="left"/>
              <w:rPr>
                <w:rFonts w:ascii="Cambria Math" w:hAnsi="Cambria Math"/>
                <w:i/>
                <w:iCs/>
              </w:rPr>
            </w:pPr>
            <w:r>
              <w:rPr>
                <w:rFonts w:ascii="Cambria Math" w:hAnsi="Cambria Math"/>
                <w:i/>
                <w:iCs/>
                <w:lang w:val="en-US"/>
              </w:rPr>
              <w:t xml:space="preserve">s </w:t>
            </w:r>
            <m:oMath>
              <m:r>
                <w:rPr>
                  <w:rFonts w:ascii="Cambria Math" w:hAnsi="Cambria Math"/>
                  <w:lang w:val="en-US"/>
                </w:rPr>
                <m:t>(i,j)</m:t>
              </m:r>
            </m:oMath>
          </w:p>
        </w:tc>
        <w:tc>
          <w:tcPr>
            <w:tcW w:w="4992" w:type="dxa"/>
          </w:tcPr>
          <w:p w14:paraId="2A8B952D" w14:textId="0400027D" w:rsidR="00600BCF" w:rsidRDefault="00600BCF" w:rsidP="00600BCF">
            <w:pPr>
              <w:spacing w:line="276" w:lineRule="auto"/>
              <w:jc w:val="left"/>
              <w:rPr>
                <w:rFonts w:ascii="Cambria Math" w:eastAsia="SimSun" w:hAnsi="Cambria Math" w:cs="Times New Roman"/>
                <w:i/>
              </w:rPr>
            </w:pPr>
            <w:r>
              <w:t>Ähnlichkeitsmaß</w:t>
            </w:r>
            <w:r w:rsidRPr="001A34B5">
              <w:t xml:space="preserve"> zwischen zwei </w:t>
            </w:r>
            <w:r>
              <w:t xml:space="preserve">Objekten </w:t>
            </w:r>
            <m:oMath>
              <m:r>
                <w:rPr>
                  <w:rFonts w:ascii="Cambria Math" w:hAnsi="Cambria Math"/>
                </w:rPr>
                <m:t xml:space="preserve">i </m:t>
              </m:r>
            </m:oMath>
            <w:r>
              <w:t>und</w:t>
            </w:r>
            <m:oMath>
              <m:r>
                <w:rPr>
                  <w:rFonts w:ascii="Cambria Math" w:hAnsi="Cambria Math"/>
                </w:rPr>
                <m:t xml:space="preserve"> j</m:t>
              </m:r>
            </m:oMath>
          </w:p>
        </w:tc>
      </w:tr>
      <w:tr w:rsidR="00A75BAB" w14:paraId="57E2FABC" w14:textId="77777777" w:rsidTr="006947C6">
        <w:tc>
          <w:tcPr>
            <w:tcW w:w="3652" w:type="dxa"/>
          </w:tcPr>
          <w:p w14:paraId="067018C0" w14:textId="21A33A88" w:rsidR="00A75BAB" w:rsidRDefault="00A75BAB" w:rsidP="00600BCF">
            <w:pPr>
              <w:jc w:val="left"/>
              <w:rPr>
                <w:rFonts w:ascii="Cambria Math" w:hAnsi="Cambria Math"/>
                <w:i/>
                <w:iCs/>
                <w:lang w:val="en-US"/>
              </w:rPr>
            </w:pPr>
            <w:r>
              <w:rPr>
                <w:rFonts w:ascii="Cambria Math" w:hAnsi="Cambria Math"/>
                <w:i/>
                <w:iCs/>
                <w:lang w:val="en-US"/>
              </w:rPr>
              <w:t>SSB</w:t>
            </w:r>
            <w:r w:rsidRPr="00A75BAB">
              <w:rPr>
                <w:rFonts w:ascii="Cambria Math" w:hAnsi="Cambria Math"/>
                <w:i/>
                <w:iCs/>
                <w:vertAlign w:val="subscript"/>
                <w:lang w:val="en-US"/>
              </w:rPr>
              <w:t>j</w:t>
            </w:r>
          </w:p>
        </w:tc>
        <w:tc>
          <w:tcPr>
            <w:tcW w:w="4992" w:type="dxa"/>
          </w:tcPr>
          <w:p w14:paraId="15722ADC" w14:textId="238D5050" w:rsidR="00A75BAB" w:rsidRDefault="00A75BAB" w:rsidP="00600BCF">
            <w:pPr>
              <w:spacing w:line="276" w:lineRule="auto"/>
              <w:jc w:val="left"/>
            </w:pPr>
            <w:r>
              <w:t xml:space="preserve">Quadratsumme zwischen Clustern für Variable </w:t>
            </w:r>
            <m:oMath>
              <m:r>
                <w:rPr>
                  <w:rFonts w:ascii="Cambria Math" w:hAnsi="Cambria Math" w:cs="Calibri"/>
                </w:rPr>
                <m:t>j</m:t>
              </m:r>
            </m:oMath>
          </w:p>
        </w:tc>
      </w:tr>
      <w:tr w:rsidR="00A75BAB" w14:paraId="793729C7" w14:textId="77777777" w:rsidTr="006947C6">
        <w:tc>
          <w:tcPr>
            <w:tcW w:w="3652" w:type="dxa"/>
          </w:tcPr>
          <w:p w14:paraId="153552B0" w14:textId="78C8BA25" w:rsidR="00A75BAB" w:rsidRDefault="00A75BAB" w:rsidP="00600BCF">
            <w:pPr>
              <w:jc w:val="left"/>
              <w:rPr>
                <w:rFonts w:ascii="Cambria Math" w:hAnsi="Cambria Math"/>
                <w:i/>
                <w:iCs/>
                <w:lang w:val="en-US"/>
              </w:rPr>
            </w:pPr>
            <w:r>
              <w:rPr>
                <w:rFonts w:ascii="Cambria Math" w:hAnsi="Cambria Math"/>
                <w:i/>
                <w:iCs/>
                <w:lang w:val="en-US"/>
              </w:rPr>
              <w:t>SST</w:t>
            </w:r>
            <w:r w:rsidRPr="00A75BAB">
              <w:rPr>
                <w:rFonts w:ascii="Cambria Math" w:hAnsi="Cambria Math"/>
                <w:i/>
                <w:iCs/>
                <w:vertAlign w:val="subscript"/>
                <w:lang w:val="en-US"/>
              </w:rPr>
              <w:t>j</w:t>
            </w:r>
          </w:p>
        </w:tc>
        <w:tc>
          <w:tcPr>
            <w:tcW w:w="4992" w:type="dxa"/>
          </w:tcPr>
          <w:p w14:paraId="39B1E8A7" w14:textId="7F4EC4F5" w:rsidR="00A75BAB" w:rsidRDefault="00A75BAB" w:rsidP="00600BCF">
            <w:pPr>
              <w:spacing w:line="276" w:lineRule="auto"/>
              <w:jc w:val="left"/>
            </w:pPr>
            <w:r>
              <w:t xml:space="preserve">Totale Quadratsumme für Variable </w:t>
            </w:r>
            <m:oMath>
              <m:r>
                <w:rPr>
                  <w:rFonts w:ascii="Cambria Math" w:hAnsi="Cambria Math" w:cs="Calibri"/>
                </w:rPr>
                <m:t>j</m:t>
              </m:r>
            </m:oMath>
            <w:r>
              <w:t xml:space="preserve"> </w:t>
            </w:r>
          </w:p>
        </w:tc>
      </w:tr>
      <w:tr w:rsidR="00F17B12" w14:paraId="79BBB3D2" w14:textId="77777777" w:rsidTr="006947C6">
        <w:tc>
          <w:tcPr>
            <w:tcW w:w="3652" w:type="dxa"/>
          </w:tcPr>
          <w:p w14:paraId="6D575DDA" w14:textId="3C7B23AA" w:rsidR="00F17B12" w:rsidRPr="001A34B5" w:rsidRDefault="001A34B5" w:rsidP="00F17B12">
            <w:pPr>
              <w:jc w:val="left"/>
              <w:rPr>
                <w:rFonts w:ascii="Cambria Math" w:eastAsia="SimSun" w:hAnsi="Cambria Math" w:cs="Times New Roman"/>
                <w:i/>
                <w:iCs/>
              </w:rPr>
            </w:pPr>
            <m:oMath>
              <m:r>
                <m:rPr>
                  <m:scr m:val="double-struck"/>
                </m:rPr>
                <w:rPr>
                  <w:rFonts w:ascii="Cambria Math" w:hAnsi="Cambria Math"/>
                </w:rPr>
                <m:t>R</m:t>
              </m:r>
            </m:oMath>
            <w:r w:rsidR="00F17B12" w:rsidRPr="001A34B5">
              <w:rPr>
                <w:rFonts w:ascii="Cambria Math" w:hAnsi="Cambria Math"/>
                <w:i/>
                <w:iCs/>
                <w:vertAlign w:val="superscript"/>
              </w:rPr>
              <w:t>n</w:t>
            </w:r>
          </w:p>
        </w:tc>
        <w:tc>
          <w:tcPr>
            <w:tcW w:w="4992" w:type="dxa"/>
          </w:tcPr>
          <w:p w14:paraId="4BB855AD" w14:textId="2D62D08D" w:rsidR="00F17B12" w:rsidRDefault="00B40AA8" w:rsidP="00CE6C0E">
            <w:pPr>
              <w:spacing w:line="276" w:lineRule="auto"/>
              <w:jc w:val="left"/>
              <w:rPr>
                <w:rFonts w:eastAsia="SimSun" w:cs="Times New Roman"/>
                <w:i/>
              </w:rPr>
            </w:pPr>
            <w:r>
              <w:t>n-dimensionaler euklidischer Raum</w:t>
            </w:r>
          </w:p>
        </w:tc>
      </w:tr>
      <w:tr w:rsidR="00247EFB" w14:paraId="458EFA63" w14:textId="77777777" w:rsidTr="006947C6">
        <w:tc>
          <w:tcPr>
            <w:tcW w:w="3652" w:type="dxa"/>
          </w:tcPr>
          <w:p w14:paraId="5426826C" w14:textId="0FD3B883" w:rsidR="00247EFB" w:rsidRPr="001A34B5" w:rsidRDefault="00247EFB" w:rsidP="00F17B12">
            <w:pPr>
              <w:jc w:val="left"/>
              <w:rPr>
                <w:rFonts w:eastAsia="SimSun" w:cs="Times New Roman"/>
                <w:iCs/>
              </w:rPr>
            </w:pPr>
            <m:oMath>
              <m:r>
                <w:rPr>
                  <w:rFonts w:ascii="Cambria Math" w:hAnsi="Cambria Math"/>
                </w:rPr>
                <m:t>Y</m:t>
              </m:r>
            </m:oMath>
            <w:r>
              <w:t xml:space="preserve"> </w:t>
            </w:r>
          </w:p>
        </w:tc>
        <w:tc>
          <w:tcPr>
            <w:tcW w:w="4992" w:type="dxa"/>
          </w:tcPr>
          <w:p w14:paraId="646659C6" w14:textId="69E84CB5" w:rsidR="00247EFB" w:rsidRDefault="00247EFB" w:rsidP="00CE6C0E">
            <w:pPr>
              <w:spacing w:line="276" w:lineRule="auto"/>
              <w:jc w:val="left"/>
            </w:pPr>
            <w:r>
              <w:t>Binäre abhängige Variable</w:t>
            </w:r>
          </w:p>
        </w:tc>
      </w:tr>
      <w:tr w:rsidR="00247EFB" w14:paraId="3ABD73E7" w14:textId="77777777" w:rsidTr="006947C6">
        <w:tc>
          <w:tcPr>
            <w:tcW w:w="3652" w:type="dxa"/>
          </w:tcPr>
          <w:p w14:paraId="490C9F04" w14:textId="21D4A61A" w:rsidR="00247EFB" w:rsidRPr="001A34B5" w:rsidRDefault="00247EFB" w:rsidP="00F17B12">
            <w:pPr>
              <w:jc w:val="left"/>
              <w:rPr>
                <w:rFonts w:eastAsia="SimSun" w:cs="Times New Roman"/>
                <w:iCs/>
              </w:rPr>
            </w:pPr>
            <m:oMath>
              <m:r>
                <w:rPr>
                  <w:rFonts w:ascii="Cambria Math" w:hAnsi="Cambria Math"/>
                </w:rPr>
                <m:t>Y*</m:t>
              </m:r>
            </m:oMath>
            <w:r>
              <w:t xml:space="preserve">  </w:t>
            </w:r>
          </w:p>
        </w:tc>
        <w:tc>
          <w:tcPr>
            <w:tcW w:w="4992" w:type="dxa"/>
          </w:tcPr>
          <w:p w14:paraId="043D3240" w14:textId="1FC5CF90" w:rsidR="00247EFB" w:rsidRDefault="00247EFB" w:rsidP="00CE6C0E">
            <w:pPr>
              <w:spacing w:line="276" w:lineRule="auto"/>
              <w:jc w:val="left"/>
            </w:pPr>
            <w:r>
              <w:t xml:space="preserve">Latente Variable </w:t>
            </w:r>
            <w:r w:rsidR="008A4B41">
              <w:t>der</w:t>
            </w:r>
            <w:r>
              <w:t xml:space="preserve"> binären abhängigen Variable </w:t>
            </w:r>
            <m:oMath>
              <m:r>
                <w:rPr>
                  <w:rFonts w:ascii="Cambria Math" w:hAnsi="Cambria Math"/>
                </w:rPr>
                <m:t>Y</m:t>
              </m:r>
            </m:oMath>
          </w:p>
        </w:tc>
      </w:tr>
    </w:tbl>
    <w:p w14:paraId="07A6FB17" w14:textId="462A0155" w:rsidR="004B6F72" w:rsidRPr="008F61A3" w:rsidRDefault="004B6F72">
      <w:pPr>
        <w:spacing w:line="276" w:lineRule="auto"/>
        <w:jc w:val="left"/>
        <w:sectPr w:rsidR="004B6F72" w:rsidRPr="008F61A3" w:rsidSect="005312DD">
          <w:pgSz w:w="11906" w:h="16838" w:code="9"/>
          <w:pgMar w:top="1418" w:right="567" w:bottom="1418" w:left="2835" w:header="709" w:footer="709" w:gutter="0"/>
          <w:pgNumType w:fmt="upperRoman" w:start="1"/>
          <w:cols w:space="708"/>
          <w:docGrid w:linePitch="360"/>
        </w:sectPr>
      </w:pPr>
    </w:p>
    <w:p w14:paraId="3AE0D0F6" w14:textId="1C86F6AC" w:rsidR="00676F73" w:rsidRPr="008F61A3" w:rsidRDefault="00676F73" w:rsidP="00676F73">
      <w:pPr>
        <w:spacing w:line="276" w:lineRule="auto"/>
        <w:jc w:val="left"/>
        <w:rPr>
          <w:u w:val="single"/>
        </w:rPr>
        <w:sectPr w:rsidR="00676F73" w:rsidRPr="008F61A3" w:rsidSect="00687768">
          <w:type w:val="continuous"/>
          <w:pgSz w:w="11906" w:h="16838" w:code="9"/>
          <w:pgMar w:top="1418" w:right="1416" w:bottom="1418" w:left="2835" w:header="709" w:footer="709" w:gutter="0"/>
          <w:cols w:num="2" w:space="1985"/>
          <w:docGrid w:linePitch="360"/>
        </w:sectPr>
      </w:pPr>
      <w:r w:rsidRPr="008F61A3">
        <w:rPr>
          <w:u w:val="single"/>
        </w:rPr>
        <w:br w:type="page"/>
      </w:r>
    </w:p>
    <w:p w14:paraId="2703A7FD" w14:textId="3956D951" w:rsidR="0099568D" w:rsidRPr="008F61A3" w:rsidRDefault="003173BC" w:rsidP="001A4E15">
      <w:pPr>
        <w:pStyle w:val="berschrift1"/>
        <w:numPr>
          <w:ilvl w:val="0"/>
          <w:numId w:val="2"/>
        </w:numPr>
      </w:pPr>
      <w:bookmarkStart w:id="3" w:name="_Toc88425817"/>
      <w:r w:rsidRPr="008F61A3">
        <w:lastRenderedPageBreak/>
        <w:t>Einleitung</w:t>
      </w:r>
      <w:bookmarkEnd w:id="3"/>
    </w:p>
    <w:p w14:paraId="14D0657D" w14:textId="7776C120" w:rsidR="007C54F3" w:rsidRPr="0005763D" w:rsidRDefault="00612722" w:rsidP="008C7681">
      <w:pPr>
        <w:spacing w:after="120"/>
      </w:pPr>
      <w:r>
        <w:t>Kleine und mittlere Unternehmen (KMUs)</w:t>
      </w:r>
      <w:r w:rsidR="00402957">
        <w:t xml:space="preserve"> werden von der </w:t>
      </w:r>
      <w:r w:rsidR="00792C51">
        <w:t>EU-</w:t>
      </w:r>
      <w:r w:rsidR="00402957">
        <w:t>Kommission als das Rückgrat der europäischen Wirtschaft bezeichnet. Sie stellen 99</w:t>
      </w:r>
      <w:r w:rsidR="007F1C08">
        <w:t>,8</w:t>
      </w:r>
      <w:r w:rsidR="00402957">
        <w:t>% aller Unternehmen innerhalb der EU da</w:t>
      </w:r>
      <w:r w:rsidR="004D3C37">
        <w:t>r</w:t>
      </w:r>
      <w:r w:rsidR="00402957">
        <w:t xml:space="preserve"> und erwirtschaften mehr als die Hälfte des europäischen </w:t>
      </w:r>
      <w:r w:rsidR="0016781F">
        <w:t>Bruttoinlandprodukts</w:t>
      </w:r>
      <w:r w:rsidR="00402957">
        <w:t xml:space="preserve"> mit rund 100 Millionen Beschäftigten.</w:t>
      </w:r>
      <w:r w:rsidR="00002964">
        <w:rPr>
          <w:rStyle w:val="Funotenzeichen"/>
        </w:rPr>
        <w:footnoteReference w:id="1"/>
      </w:r>
      <w:r w:rsidR="00A965AE">
        <w:t xml:space="preserve"> Unter </w:t>
      </w:r>
      <w:r w:rsidR="00905EAA">
        <w:t>diesem</w:t>
      </w:r>
      <w:r w:rsidR="00A965AE">
        <w:t xml:space="preserve"> homogenen Überbegriff zählen auch die</w:t>
      </w:r>
      <w:r w:rsidR="00BD604C">
        <w:t xml:space="preserve"> </w:t>
      </w:r>
      <w:r w:rsidR="00A965AE">
        <w:t>Kleinstunternehmen, welche</w:t>
      </w:r>
      <w:r w:rsidR="00BB1F97">
        <w:t xml:space="preserve"> zwar </w:t>
      </w:r>
      <w:r w:rsidR="00974D4A">
        <w:t xml:space="preserve">die </w:t>
      </w:r>
      <w:r w:rsidR="00BC6723">
        <w:t>überwiegende</w:t>
      </w:r>
      <w:r w:rsidR="00137D95">
        <w:t xml:space="preserve"> </w:t>
      </w:r>
      <w:r w:rsidR="00974D4A">
        <w:t>Mehrheit</w:t>
      </w:r>
      <w:r w:rsidR="00BB1F97">
        <w:t xml:space="preserve"> </w:t>
      </w:r>
      <w:r w:rsidR="008D1F40">
        <w:t xml:space="preserve">aller </w:t>
      </w:r>
      <w:r w:rsidR="00137D95">
        <w:t>Unternehmen</w:t>
      </w:r>
      <w:r w:rsidR="008D1F40">
        <w:t xml:space="preserve"> </w:t>
      </w:r>
      <w:r w:rsidR="00BD604C">
        <w:t>ausmachen</w:t>
      </w:r>
      <w:r w:rsidR="00BB1F97">
        <w:t>,</w:t>
      </w:r>
      <w:r w:rsidR="00A965AE">
        <w:t xml:space="preserve"> im Vergleich</w:t>
      </w:r>
      <w:r w:rsidR="00BB1F97">
        <w:t xml:space="preserve"> </w:t>
      </w:r>
      <w:r w:rsidR="008D1F40">
        <w:t>zu</w:t>
      </w:r>
      <w:r w:rsidR="00487693">
        <w:t xml:space="preserve"> größeren</w:t>
      </w:r>
      <w:r w:rsidR="008D1F40">
        <w:t xml:space="preserve"> </w:t>
      </w:r>
      <w:r w:rsidR="008D1F40" w:rsidRPr="00BC6723">
        <w:rPr>
          <w:spacing w:val="-4"/>
        </w:rPr>
        <w:t>KMUs</w:t>
      </w:r>
      <w:r w:rsidR="00487693" w:rsidRPr="00BC6723">
        <w:rPr>
          <w:rStyle w:val="Funotenzeichen"/>
          <w:spacing w:val="-4"/>
        </w:rPr>
        <w:footnoteReference w:id="2"/>
      </w:r>
      <w:r w:rsidR="00BB1F97" w:rsidRPr="00BC6723">
        <w:rPr>
          <w:spacing w:val="-4"/>
        </w:rPr>
        <w:t xml:space="preserve"> </w:t>
      </w:r>
      <w:r w:rsidR="00BC6723" w:rsidRPr="00BC6723">
        <w:rPr>
          <w:spacing w:val="-4"/>
        </w:rPr>
        <w:t xml:space="preserve">jedoch </w:t>
      </w:r>
      <w:r w:rsidR="00BB1F97" w:rsidRPr="00BC6723">
        <w:rPr>
          <w:spacing w:val="-4"/>
        </w:rPr>
        <w:t xml:space="preserve">weitestgehend unerforscht </w:t>
      </w:r>
      <w:r w:rsidR="00BD604C" w:rsidRPr="00BC6723">
        <w:rPr>
          <w:spacing w:val="-4"/>
        </w:rPr>
        <w:t>sind.</w:t>
      </w:r>
      <w:r w:rsidR="00A965AE" w:rsidRPr="00BC6723">
        <w:rPr>
          <w:rStyle w:val="Funotenzeichen"/>
          <w:spacing w:val="-4"/>
        </w:rPr>
        <w:footnoteReference w:id="3"/>
      </w:r>
      <w:r w:rsidR="00BD604C" w:rsidRPr="00BC6723">
        <w:rPr>
          <w:spacing w:val="-4"/>
        </w:rPr>
        <w:t xml:space="preserve"> Diese werden in oftmals in der Fors</w:t>
      </w:r>
      <w:r w:rsidR="00BC6723" w:rsidRPr="00BC6723">
        <w:rPr>
          <w:spacing w:val="-4"/>
        </w:rPr>
        <w:t>chung</w:t>
      </w:r>
      <w:r w:rsidR="00BD604C" w:rsidRPr="00BD604C">
        <w:t xml:space="preserve"> </w:t>
      </w:r>
      <w:r w:rsidR="00BD604C">
        <w:t>nicht gesondert</w:t>
      </w:r>
      <w:r w:rsidR="00BD604C" w:rsidRPr="00BD604C">
        <w:t xml:space="preserve"> </w:t>
      </w:r>
      <w:r w:rsidR="00BD604C">
        <w:t xml:space="preserve">analysiert, unterscheiden sich aber grundlegend in </w:t>
      </w:r>
      <w:r w:rsidR="00DA55AC">
        <w:t>ihrer Fin</w:t>
      </w:r>
      <w:r w:rsidR="00BC6723">
        <w:t>anzierung</w:t>
      </w:r>
      <w:r w:rsidR="00BD604C">
        <w:t>.</w:t>
      </w:r>
      <w:r w:rsidR="00A544DC">
        <w:rPr>
          <w:rStyle w:val="Funotenzeichen"/>
        </w:rPr>
        <w:footnoteReference w:id="4"/>
      </w:r>
    </w:p>
    <w:p w14:paraId="6E69998C" w14:textId="5A545546" w:rsidR="00187F40" w:rsidRDefault="00F6198D" w:rsidP="008C7681">
      <w:pPr>
        <w:spacing w:after="120"/>
      </w:pPr>
      <w:r>
        <w:t>Aufgrund dessen haben</w:t>
      </w:r>
      <w:r w:rsidR="0005763D">
        <w:t xml:space="preserve"> Masiak et al. untersucht, inwiefern die Finanzierungsmuster der Kleinstunternehmen </w:t>
      </w:r>
      <w:r w:rsidR="00471D6D">
        <w:t xml:space="preserve">sich </w:t>
      </w:r>
      <w:r w:rsidR="0005763D">
        <w:t xml:space="preserve">im </w:t>
      </w:r>
      <w:r w:rsidR="00933A1E">
        <w:t>Vergleich</w:t>
      </w:r>
      <w:r w:rsidR="0005763D">
        <w:t xml:space="preserve"> zu</w:t>
      </w:r>
      <w:r w:rsidR="00DD2260">
        <w:t xml:space="preserve"> größeren</w:t>
      </w:r>
      <w:r w:rsidR="0005763D">
        <w:t xml:space="preserve"> KMUs unterscheiden. Dabei wurde </w:t>
      </w:r>
      <w:r w:rsidR="00536666">
        <w:t xml:space="preserve">die „Survey on the access to finance of enterprises“ (SAFE) Umfrage </w:t>
      </w:r>
      <w:r w:rsidR="0005763D">
        <w:t xml:space="preserve">der </w:t>
      </w:r>
      <w:r w:rsidR="00792C51">
        <w:t>EZB</w:t>
      </w:r>
      <w:r w:rsidR="0068378C">
        <w:t xml:space="preserve"> und der </w:t>
      </w:r>
      <w:r w:rsidR="00792C51">
        <w:t>EU-</w:t>
      </w:r>
      <w:r w:rsidR="00471D6D">
        <w:t>Kommission</w:t>
      </w:r>
      <w:r w:rsidR="00536666">
        <w:t xml:space="preserve"> verwendet</w:t>
      </w:r>
      <w:r w:rsidR="0005763D">
        <w:t xml:space="preserve">, </w:t>
      </w:r>
      <w:r w:rsidR="00471D6D">
        <w:t>welche</w:t>
      </w:r>
      <w:r w:rsidR="00536666">
        <w:t xml:space="preserve"> sowohl Informationen bezüglich </w:t>
      </w:r>
      <w:r w:rsidR="002C2FA5">
        <w:t>Finanzierungsquellen</w:t>
      </w:r>
      <w:r w:rsidR="00536666">
        <w:t xml:space="preserve"> einzeln</w:t>
      </w:r>
      <w:r w:rsidR="00FA7B31">
        <w:t>er</w:t>
      </w:r>
      <w:r w:rsidR="00536666">
        <w:t xml:space="preserve"> Unternehmen als auch </w:t>
      </w:r>
      <w:r w:rsidR="007145B2">
        <w:t>u</w:t>
      </w:r>
      <w:r w:rsidR="00536666">
        <w:t>nternehmens</w:t>
      </w:r>
      <w:r w:rsidR="00FA037D">
        <w:t>-</w:t>
      </w:r>
      <w:r w:rsidR="00536666">
        <w:t xml:space="preserve">spezifische </w:t>
      </w:r>
      <w:r w:rsidR="008D1F40">
        <w:t xml:space="preserve">Daten und </w:t>
      </w:r>
      <w:r w:rsidR="00536666">
        <w:t>Kennzahlen enthält.</w:t>
      </w:r>
      <w:r w:rsidR="008D1F40">
        <w:t xml:space="preserve"> Anhand einer Clusteranalyse wurden zunächst verschiedene Finanzierungsmuster abgeleitet, </w:t>
      </w:r>
      <w:r w:rsidR="00EC5CD1">
        <w:t>welche die Grundlage für die Hypothesen bilde</w:t>
      </w:r>
      <w:r w:rsidR="00471D6D">
        <w:t>te</w:t>
      </w:r>
      <w:r w:rsidR="00EC5CD1">
        <w:t xml:space="preserve">n. </w:t>
      </w:r>
      <w:r w:rsidR="00B92180">
        <w:t>Darauffolgend</w:t>
      </w:r>
      <w:r w:rsidR="00EC5CD1">
        <w:t xml:space="preserve"> wurde mithilfe einer Regressionsanalyse untersucht, </w:t>
      </w:r>
      <w:r w:rsidR="00471D6D">
        <w:t>inwiefern</w:t>
      </w:r>
      <w:r w:rsidR="00EC5CD1">
        <w:t xml:space="preserve"> sich die Unternehmensgröße auf die einzelnen Finanzierungsmuster</w:t>
      </w:r>
      <w:r w:rsidR="00FA7B31">
        <w:t xml:space="preserve"> auswirkt</w:t>
      </w:r>
      <w:r w:rsidR="00EC5CD1">
        <w:t>.</w:t>
      </w:r>
    </w:p>
    <w:p w14:paraId="36BD1B31" w14:textId="376D0561" w:rsidR="00674BE8" w:rsidRDefault="00EC5CD1" w:rsidP="008C7681">
      <w:pPr>
        <w:spacing w:after="120"/>
      </w:pPr>
      <w:r>
        <w:t xml:space="preserve">Die vorliegende Arbeit </w:t>
      </w:r>
      <w:r w:rsidR="00FA07FB">
        <w:t>baut</w:t>
      </w:r>
      <w:r w:rsidR="00E35887">
        <w:t xml:space="preserve"> größtenteils</w:t>
      </w:r>
      <w:r w:rsidR="00FA07FB">
        <w:t xml:space="preserve"> auf die in</w:t>
      </w:r>
      <w:r>
        <w:t xml:space="preserve"> Masiak et al.</w:t>
      </w:r>
      <w:r w:rsidR="00FA07FB">
        <w:t xml:space="preserve"> (201</w:t>
      </w:r>
      <w:r w:rsidR="007B3838">
        <w:t>9</w:t>
      </w:r>
      <w:r w:rsidR="00FA07FB">
        <w:t xml:space="preserve">) verwendete </w:t>
      </w:r>
      <w:r w:rsidR="00E35887">
        <w:t>Vorgehensweise</w:t>
      </w:r>
      <w:r w:rsidR="00FA07FB">
        <w:t xml:space="preserve"> auf und </w:t>
      </w:r>
      <w:r w:rsidR="00E35887">
        <w:t xml:space="preserve">analysiert </w:t>
      </w:r>
      <w:r w:rsidR="00CB084A">
        <w:t>ein</w:t>
      </w:r>
      <w:r w:rsidR="006156DB">
        <w:t>en</w:t>
      </w:r>
      <w:r w:rsidR="00CB084A">
        <w:t xml:space="preserve"> aktuelleren </w:t>
      </w:r>
      <w:r w:rsidR="00E35887">
        <w:t>Datensatz der SAFE Umfrage mit ähnlicher Methodik.</w:t>
      </w:r>
      <w:r w:rsidR="00E35887">
        <w:rPr>
          <w:rStyle w:val="Funotenzeichen"/>
        </w:rPr>
        <w:footnoteReference w:id="5"/>
      </w:r>
      <w:r w:rsidR="000F1971">
        <w:t xml:space="preserve"> </w:t>
      </w:r>
      <w:r w:rsidR="00674BE8">
        <w:t xml:space="preserve">Zunächst soll in Kapitel </w:t>
      </w:r>
      <w:r w:rsidR="00B51B8E">
        <w:fldChar w:fldCharType="begin"/>
      </w:r>
      <w:r w:rsidR="00B51B8E">
        <w:instrText xml:space="preserve"> REF _Ref88429202 \r \h </w:instrText>
      </w:r>
      <w:r w:rsidR="00B51B8E">
        <w:fldChar w:fldCharType="separate"/>
      </w:r>
      <w:r w:rsidR="00285390">
        <w:t>2</w:t>
      </w:r>
      <w:r w:rsidR="00B51B8E">
        <w:fldChar w:fldCharType="end"/>
      </w:r>
      <w:r w:rsidR="00674BE8">
        <w:t xml:space="preserve"> ein Überblick über Kleinstunternehmen und deren Finanzierung geschaffen werden. In Kapitel </w:t>
      </w:r>
      <w:r w:rsidR="00B51B8E">
        <w:fldChar w:fldCharType="begin"/>
      </w:r>
      <w:r w:rsidR="00B51B8E">
        <w:instrText xml:space="preserve"> REF _Ref88429207 \r \h </w:instrText>
      </w:r>
      <w:r w:rsidR="00B51B8E">
        <w:fldChar w:fldCharType="separate"/>
      </w:r>
      <w:r w:rsidR="00285390">
        <w:t>3</w:t>
      </w:r>
      <w:r w:rsidR="00B51B8E">
        <w:fldChar w:fldCharType="end"/>
      </w:r>
      <w:r w:rsidR="00674BE8">
        <w:t xml:space="preserve"> werden der SAFE Datensatz und die </w:t>
      </w:r>
      <w:r w:rsidR="003144FE">
        <w:t>Methodik</w:t>
      </w:r>
      <w:r w:rsidR="00141C99">
        <w:t xml:space="preserve"> näher</w:t>
      </w:r>
      <w:r w:rsidR="00674BE8">
        <w:t xml:space="preserve"> erläutert. </w:t>
      </w:r>
      <w:r w:rsidR="00A40E0D">
        <w:t>Durch eine Clusteranalyse werden</w:t>
      </w:r>
      <w:r w:rsidR="00674BE8">
        <w:t xml:space="preserve"> in Kapitel </w:t>
      </w:r>
      <w:r w:rsidR="00B51B8E">
        <w:fldChar w:fldCharType="begin"/>
      </w:r>
      <w:r w:rsidR="00B51B8E">
        <w:instrText xml:space="preserve"> REF _Ref88429213 \r \h </w:instrText>
      </w:r>
      <w:r w:rsidR="00B51B8E">
        <w:fldChar w:fldCharType="separate"/>
      </w:r>
      <w:r w:rsidR="00285390">
        <w:t>4</w:t>
      </w:r>
      <w:r w:rsidR="00B51B8E">
        <w:fldChar w:fldCharType="end"/>
      </w:r>
      <w:r w:rsidR="00674BE8">
        <w:t xml:space="preserve"> </w:t>
      </w:r>
      <w:r w:rsidR="00C66DD8">
        <w:t xml:space="preserve">die Unternehmen </w:t>
      </w:r>
      <w:r w:rsidR="00A40E0D">
        <w:t>anhand der Verwendung einzelner Finanzierungsquellen</w:t>
      </w:r>
      <w:r w:rsidR="00C66DD8">
        <w:t xml:space="preserve"> in</w:t>
      </w:r>
      <w:r w:rsidR="00A40E0D">
        <w:t xml:space="preserve"> </w:t>
      </w:r>
      <w:r w:rsidR="00674BE8">
        <w:t xml:space="preserve">Finanzierungsmuster </w:t>
      </w:r>
      <w:r w:rsidR="00A40E0D">
        <w:t>eingeteilt</w:t>
      </w:r>
      <w:r w:rsidR="00674BE8">
        <w:t xml:space="preserve"> und darauf aufbauend Hypothesen aufgestellt. </w:t>
      </w:r>
      <w:r w:rsidR="003144FE">
        <w:t xml:space="preserve">Im Anschluss werden in </w:t>
      </w:r>
      <w:r w:rsidR="00674BE8">
        <w:t xml:space="preserve">Kapitel </w:t>
      </w:r>
      <w:r w:rsidR="00B51B8E">
        <w:fldChar w:fldCharType="begin"/>
      </w:r>
      <w:r w:rsidR="00B51B8E">
        <w:instrText xml:space="preserve"> REF _Ref88429221 \r \h </w:instrText>
      </w:r>
      <w:r w:rsidR="00B51B8E">
        <w:fldChar w:fldCharType="separate"/>
      </w:r>
      <w:r w:rsidR="00285390">
        <w:t>5</w:t>
      </w:r>
      <w:r w:rsidR="00B51B8E">
        <w:fldChar w:fldCharType="end"/>
      </w:r>
      <w:r w:rsidR="00674BE8">
        <w:t xml:space="preserve"> d</w:t>
      </w:r>
      <w:r w:rsidR="00A01EAE">
        <w:t xml:space="preserve">ie Ergebnisse </w:t>
      </w:r>
      <w:r w:rsidR="003144FE">
        <w:t xml:space="preserve">der Regressionsanalyse </w:t>
      </w:r>
      <w:r w:rsidR="00A01EAE">
        <w:t>dargestellt.</w:t>
      </w:r>
      <w:r w:rsidR="004D3C37">
        <w:t xml:space="preserve"> </w:t>
      </w:r>
      <w:r w:rsidR="00A01EAE">
        <w:t xml:space="preserve">Schließlich </w:t>
      </w:r>
      <w:r w:rsidR="00B95AD6">
        <w:t>folgt</w:t>
      </w:r>
      <w:r w:rsidR="00A01EAE">
        <w:t xml:space="preserve"> in Kapitel </w:t>
      </w:r>
      <w:r w:rsidR="00B51B8E">
        <w:fldChar w:fldCharType="begin"/>
      </w:r>
      <w:r w:rsidR="00B51B8E">
        <w:instrText xml:space="preserve"> REF _Ref88429227 \r \h </w:instrText>
      </w:r>
      <w:r w:rsidR="00B51B8E">
        <w:fldChar w:fldCharType="separate"/>
      </w:r>
      <w:r w:rsidR="00285390">
        <w:t>6</w:t>
      </w:r>
      <w:r w:rsidR="00B51B8E">
        <w:fldChar w:fldCharType="end"/>
      </w:r>
      <w:r w:rsidR="00A01EAE">
        <w:t xml:space="preserve"> die </w:t>
      </w:r>
      <w:r w:rsidR="00B95AD6">
        <w:t>Interpretation</w:t>
      </w:r>
      <w:r w:rsidR="00A01EAE">
        <w:t>,</w:t>
      </w:r>
      <w:r w:rsidR="00B95AD6">
        <w:t xml:space="preserve"> zudem werden</w:t>
      </w:r>
      <w:r w:rsidR="00A01EAE">
        <w:t xml:space="preserve"> die Limitationen</w:t>
      </w:r>
      <w:r w:rsidR="00B95AD6">
        <w:t xml:space="preserve"> der Analyse</w:t>
      </w:r>
      <w:r w:rsidR="00A01EAE">
        <w:t xml:space="preserve"> aufgeführt und künftige Forschungsbereiche vorgeschlagen.</w:t>
      </w:r>
    </w:p>
    <w:p w14:paraId="716EB6EC" w14:textId="10291BAC" w:rsidR="007F1C49" w:rsidRPr="0001386F" w:rsidRDefault="00950B10" w:rsidP="001A4E15">
      <w:pPr>
        <w:pStyle w:val="berschrift1"/>
        <w:numPr>
          <w:ilvl w:val="0"/>
          <w:numId w:val="2"/>
        </w:numPr>
      </w:pPr>
      <w:bookmarkStart w:id="4" w:name="_Toc88425818"/>
      <w:bookmarkStart w:id="5" w:name="_Ref88428095"/>
      <w:bookmarkStart w:id="6" w:name="_Ref88429202"/>
      <w:r>
        <w:lastRenderedPageBreak/>
        <w:t>Literaturübersicht</w:t>
      </w:r>
      <w:bookmarkEnd w:id="4"/>
      <w:bookmarkEnd w:id="5"/>
      <w:bookmarkEnd w:id="6"/>
    </w:p>
    <w:p w14:paraId="60EEBA2E" w14:textId="1B2E7E8D" w:rsidR="00F524D6" w:rsidRPr="008F61A3" w:rsidRDefault="00F524D6" w:rsidP="001A4E15">
      <w:pPr>
        <w:pStyle w:val="berschrift2"/>
        <w:numPr>
          <w:ilvl w:val="1"/>
          <w:numId w:val="1"/>
        </w:numPr>
        <w:spacing w:after="120" w:line="240" w:lineRule="auto"/>
        <w:ind w:left="425" w:hanging="425"/>
      </w:pPr>
      <w:bookmarkStart w:id="7" w:name="_Toc88425819"/>
      <w:r>
        <w:t xml:space="preserve">Definition und </w:t>
      </w:r>
      <w:r w:rsidR="00CA69F4">
        <w:t>Merkmale</w:t>
      </w:r>
      <w:r>
        <w:t xml:space="preserve"> von </w:t>
      </w:r>
      <w:r w:rsidR="00CA69F4">
        <w:t>Kleinstunternehmen</w:t>
      </w:r>
      <w:bookmarkEnd w:id="7"/>
    </w:p>
    <w:p w14:paraId="6D0F926B" w14:textId="0BEB92F7" w:rsidR="00612722" w:rsidRDefault="00F524D6" w:rsidP="00EC3653">
      <w:pPr>
        <w:spacing w:after="120"/>
      </w:pPr>
      <w:r>
        <w:t xml:space="preserve">Es existiert keine </w:t>
      </w:r>
      <w:r w:rsidR="00635DD3">
        <w:t>Standardd</w:t>
      </w:r>
      <w:r>
        <w:t>efinition für KMUs</w:t>
      </w:r>
      <w:r w:rsidR="001432CD">
        <w:t>.</w:t>
      </w:r>
      <w:r>
        <w:t xml:space="preserve"> </w:t>
      </w:r>
      <w:r w:rsidR="001432CD">
        <w:t>Verschiedene</w:t>
      </w:r>
      <w:r>
        <w:t xml:space="preserve"> Staaten,</w:t>
      </w:r>
      <w:r w:rsidR="001432CD">
        <w:t xml:space="preserve"> Staatenverbunde,</w:t>
      </w:r>
      <w:r>
        <w:t xml:space="preserve"> NGOs</w:t>
      </w:r>
      <w:r w:rsidR="001432CD">
        <w:t xml:space="preserve"> und </w:t>
      </w:r>
      <w:r w:rsidR="004A7C10">
        <w:t>Wissenschaftler</w:t>
      </w:r>
      <w:r w:rsidR="0014437B">
        <w:t xml:space="preserve"> unterteilen diese meistens </w:t>
      </w:r>
      <w:r w:rsidR="00635DD3">
        <w:t>in</w:t>
      </w:r>
      <w:r w:rsidR="001432CD">
        <w:t xml:space="preserve"> </w:t>
      </w:r>
      <w:r w:rsidR="00635DD3">
        <w:t xml:space="preserve">Kleinstunternehmen, kleine und mittlere Unternehmen, </w:t>
      </w:r>
      <w:r w:rsidR="005575EA">
        <w:t xml:space="preserve">verwenden </w:t>
      </w:r>
      <w:r w:rsidR="00635DD3">
        <w:t xml:space="preserve">dabei </w:t>
      </w:r>
      <w:r w:rsidR="00BB1F97">
        <w:t>allerdings</w:t>
      </w:r>
      <w:r w:rsidR="005575EA">
        <w:t xml:space="preserve"> unterschiedliche Kriterien und </w:t>
      </w:r>
      <w:r w:rsidR="008B6D7E">
        <w:t>Schwellenwerte</w:t>
      </w:r>
      <w:r w:rsidR="00635DD3">
        <w:t>.</w:t>
      </w:r>
      <w:r w:rsidR="00AE2999">
        <w:rPr>
          <w:vertAlign w:val="superscript"/>
        </w:rPr>
        <w:t xml:space="preserve"> </w:t>
      </w:r>
      <w:r w:rsidR="00635DD3">
        <w:t>N</w:t>
      </w:r>
      <w:r w:rsidR="00602E53">
        <w:t>ach der</w:t>
      </w:r>
      <w:r w:rsidR="00241989">
        <w:t xml:space="preserve"> </w:t>
      </w:r>
      <w:r w:rsidR="00602E53" w:rsidRPr="005D139F">
        <w:t>Empfehlung 2003/361</w:t>
      </w:r>
      <w:r w:rsidR="00241989" w:rsidRPr="005D139F">
        <w:t>/EG</w:t>
      </w:r>
      <w:r w:rsidR="003B013D">
        <w:t xml:space="preserve"> </w:t>
      </w:r>
      <w:r w:rsidR="00241989">
        <w:t>der EU-Kommission</w:t>
      </w:r>
      <w:r w:rsidR="00635DD3">
        <w:t xml:space="preserve"> werden KMUs</w:t>
      </w:r>
      <w:r w:rsidR="003F1E15">
        <w:t xml:space="preserve"> </w:t>
      </w:r>
      <w:r w:rsidR="003B013D">
        <w:t>abhängig von der Anzahl der Beschäftigten sowie entweder vom Jahresumsatz oder von der Jahresbilanzsumme</w:t>
      </w:r>
      <w:r w:rsidR="003F1E15">
        <w:t xml:space="preserve"> </w:t>
      </w:r>
      <w:r w:rsidR="00602E53">
        <w:t xml:space="preserve">in drei Größenklassen unterteilt: </w:t>
      </w:r>
    </w:p>
    <w:p w14:paraId="1206DD73" w14:textId="5BBF5CB5" w:rsidR="003B013D" w:rsidRDefault="003B013D" w:rsidP="00583FE5">
      <w:pPr>
        <w:pStyle w:val="Beschriftung"/>
        <w:keepNext/>
        <w:spacing w:after="0"/>
        <w:rPr>
          <w:i w:val="0"/>
          <w:iCs w:val="0"/>
          <w:color w:val="auto"/>
          <w:sz w:val="24"/>
          <w:szCs w:val="22"/>
        </w:rPr>
      </w:pPr>
      <w:bookmarkStart w:id="8" w:name="_Toc88423388"/>
      <w:r w:rsidRPr="003B013D">
        <w:rPr>
          <w:b/>
          <w:bCs/>
          <w:i w:val="0"/>
          <w:iCs w:val="0"/>
          <w:color w:val="auto"/>
          <w:sz w:val="24"/>
          <w:szCs w:val="22"/>
        </w:rPr>
        <w:t xml:space="preserve">Tabelle </w:t>
      </w:r>
      <w:r w:rsidR="0058649C">
        <w:rPr>
          <w:b/>
          <w:bCs/>
          <w:i w:val="0"/>
          <w:iCs w:val="0"/>
          <w:color w:val="auto"/>
          <w:sz w:val="24"/>
          <w:szCs w:val="22"/>
        </w:rPr>
        <w:fldChar w:fldCharType="begin"/>
      </w:r>
      <w:r w:rsidR="0058649C">
        <w:rPr>
          <w:b/>
          <w:bCs/>
          <w:i w:val="0"/>
          <w:iCs w:val="0"/>
          <w:color w:val="auto"/>
          <w:sz w:val="24"/>
          <w:szCs w:val="22"/>
        </w:rPr>
        <w:instrText xml:space="preserve"> SEQ Tabelle \* ARABIC </w:instrText>
      </w:r>
      <w:r w:rsidR="0058649C">
        <w:rPr>
          <w:b/>
          <w:bCs/>
          <w:i w:val="0"/>
          <w:iCs w:val="0"/>
          <w:color w:val="auto"/>
          <w:sz w:val="24"/>
          <w:szCs w:val="22"/>
        </w:rPr>
        <w:fldChar w:fldCharType="separate"/>
      </w:r>
      <w:r w:rsidR="00285390">
        <w:rPr>
          <w:b/>
          <w:bCs/>
          <w:i w:val="0"/>
          <w:iCs w:val="0"/>
          <w:noProof/>
          <w:color w:val="auto"/>
          <w:sz w:val="24"/>
          <w:szCs w:val="22"/>
        </w:rPr>
        <w:t>1</w:t>
      </w:r>
      <w:r w:rsidR="0058649C">
        <w:rPr>
          <w:b/>
          <w:bCs/>
          <w:i w:val="0"/>
          <w:iCs w:val="0"/>
          <w:color w:val="auto"/>
          <w:sz w:val="24"/>
          <w:szCs w:val="22"/>
        </w:rPr>
        <w:fldChar w:fldCharType="end"/>
      </w:r>
      <w:r w:rsidRPr="003B013D">
        <w:rPr>
          <w:b/>
          <w:bCs/>
          <w:i w:val="0"/>
          <w:iCs w:val="0"/>
          <w:color w:val="auto"/>
          <w:sz w:val="24"/>
          <w:szCs w:val="22"/>
        </w:rPr>
        <w:t>:</w:t>
      </w:r>
      <w:r w:rsidR="00583FE5">
        <w:rPr>
          <w:i w:val="0"/>
          <w:iCs w:val="0"/>
          <w:color w:val="auto"/>
          <w:sz w:val="24"/>
          <w:szCs w:val="22"/>
        </w:rPr>
        <w:tab/>
        <w:t>Definition der KMUs</w:t>
      </w:r>
      <w:r w:rsidRPr="003B013D">
        <w:rPr>
          <w:i w:val="0"/>
          <w:iCs w:val="0"/>
          <w:color w:val="auto"/>
          <w:sz w:val="24"/>
          <w:szCs w:val="22"/>
        </w:rPr>
        <w:t xml:space="preserve"> </w:t>
      </w:r>
      <w:r w:rsidR="000A1545">
        <w:rPr>
          <w:i w:val="0"/>
          <w:iCs w:val="0"/>
          <w:color w:val="auto"/>
          <w:sz w:val="24"/>
          <w:szCs w:val="22"/>
        </w:rPr>
        <w:t>der</w:t>
      </w:r>
      <w:r w:rsidRPr="003B013D">
        <w:rPr>
          <w:i w:val="0"/>
          <w:iCs w:val="0"/>
          <w:color w:val="auto"/>
          <w:sz w:val="24"/>
          <w:szCs w:val="22"/>
        </w:rPr>
        <w:t xml:space="preserve"> EU</w:t>
      </w:r>
      <w:r w:rsidR="00583FE5">
        <w:rPr>
          <w:i w:val="0"/>
          <w:iCs w:val="0"/>
          <w:color w:val="auto"/>
          <w:sz w:val="24"/>
          <w:szCs w:val="22"/>
        </w:rPr>
        <w:t>-</w:t>
      </w:r>
      <w:r w:rsidR="00182837">
        <w:rPr>
          <w:i w:val="0"/>
          <w:iCs w:val="0"/>
          <w:color w:val="auto"/>
          <w:sz w:val="24"/>
          <w:szCs w:val="22"/>
        </w:rPr>
        <w:t>Kommission</w:t>
      </w:r>
      <w:bookmarkEnd w:id="8"/>
    </w:p>
    <w:p w14:paraId="02DC694F" w14:textId="5EB487A4" w:rsidR="00583FE5" w:rsidRPr="00583FE5" w:rsidRDefault="00583FE5" w:rsidP="00583FE5">
      <w:pPr>
        <w:spacing w:after="0"/>
      </w:pPr>
      <w:r>
        <w:tab/>
      </w:r>
      <w:r>
        <w:tab/>
        <w:t xml:space="preserve">eigene Darstellung </w:t>
      </w:r>
      <w:r w:rsidR="008928BE">
        <w:t>mit Daten aus</w:t>
      </w:r>
      <w:r>
        <w:t xml:space="preserve"> </w:t>
      </w:r>
      <w:r w:rsidRPr="00EB1007">
        <w:t>EU-</w:t>
      </w:r>
      <w:r w:rsidR="00182837" w:rsidRPr="00EB1007">
        <w:t>Kommission</w:t>
      </w:r>
      <w:r w:rsidRPr="00EB1007">
        <w:t xml:space="preserve"> (2003)</w:t>
      </w:r>
      <w:r w:rsidR="008928BE">
        <w:t>,</w:t>
      </w:r>
      <w:r w:rsidRPr="00EB1007">
        <w:t xml:space="preserve"> </w:t>
      </w:r>
      <w:r w:rsidR="00EB1007" w:rsidRPr="00EB1007">
        <w:t>S.1</w:t>
      </w:r>
      <w:r w:rsidR="00A924F1" w:rsidRPr="00EB1007">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1421"/>
        <w:gridCol w:w="745"/>
        <w:gridCol w:w="1496"/>
        <w:gridCol w:w="799"/>
        <w:gridCol w:w="2096"/>
      </w:tblGrid>
      <w:tr w:rsidR="003B013D" w14:paraId="3CABFE49" w14:textId="77777777" w:rsidTr="004975A4">
        <w:tc>
          <w:tcPr>
            <w:tcW w:w="2163" w:type="dxa"/>
            <w:tcBorders>
              <w:top w:val="single" w:sz="8" w:space="0" w:color="auto"/>
              <w:bottom w:val="single" w:sz="6" w:space="0" w:color="auto"/>
            </w:tcBorders>
            <w:vAlign w:val="center"/>
          </w:tcPr>
          <w:p w14:paraId="73C1EE0D" w14:textId="3651AA88" w:rsidR="003B013D" w:rsidRPr="00933A11" w:rsidRDefault="003B013D" w:rsidP="00D3347F">
            <w:pPr>
              <w:spacing w:before="60" w:after="60" w:line="240" w:lineRule="auto"/>
              <w:jc w:val="left"/>
              <w:rPr>
                <w:b/>
                <w:bCs/>
                <w:sz w:val="20"/>
                <w:szCs w:val="20"/>
              </w:rPr>
            </w:pPr>
            <w:r w:rsidRPr="00933A11">
              <w:rPr>
                <w:b/>
                <w:bCs/>
                <w:sz w:val="20"/>
                <w:szCs w:val="20"/>
              </w:rPr>
              <w:t>Größenklasse</w:t>
            </w:r>
          </w:p>
        </w:tc>
        <w:tc>
          <w:tcPr>
            <w:tcW w:w="1421" w:type="dxa"/>
            <w:tcBorders>
              <w:top w:val="single" w:sz="8" w:space="0" w:color="auto"/>
              <w:bottom w:val="single" w:sz="6" w:space="0" w:color="auto"/>
            </w:tcBorders>
            <w:vAlign w:val="center"/>
          </w:tcPr>
          <w:p w14:paraId="71D6506C" w14:textId="41678FE3" w:rsidR="003B013D" w:rsidRPr="00933A11" w:rsidRDefault="003B013D" w:rsidP="00D3347F">
            <w:pPr>
              <w:spacing w:before="60" w:after="60" w:line="240" w:lineRule="auto"/>
              <w:jc w:val="center"/>
              <w:rPr>
                <w:b/>
                <w:bCs/>
                <w:sz w:val="20"/>
                <w:szCs w:val="20"/>
              </w:rPr>
            </w:pPr>
            <w:r w:rsidRPr="00933A11">
              <w:rPr>
                <w:b/>
                <w:bCs/>
                <w:sz w:val="20"/>
                <w:szCs w:val="20"/>
              </w:rPr>
              <w:t>Anzahl Beschäftigte</w:t>
            </w:r>
          </w:p>
        </w:tc>
        <w:tc>
          <w:tcPr>
            <w:tcW w:w="745" w:type="dxa"/>
            <w:tcBorders>
              <w:top w:val="single" w:sz="8" w:space="0" w:color="auto"/>
              <w:bottom w:val="single" w:sz="6" w:space="0" w:color="auto"/>
            </w:tcBorders>
            <w:vAlign w:val="center"/>
          </w:tcPr>
          <w:p w14:paraId="45D8280F" w14:textId="15718AFC" w:rsidR="003B013D" w:rsidRPr="00933A11" w:rsidRDefault="003B013D" w:rsidP="00D3347F">
            <w:pPr>
              <w:spacing w:before="60" w:after="60" w:line="240" w:lineRule="auto"/>
              <w:jc w:val="center"/>
              <w:rPr>
                <w:b/>
                <w:bCs/>
                <w:sz w:val="20"/>
                <w:szCs w:val="20"/>
              </w:rPr>
            </w:pPr>
            <w:r w:rsidRPr="00933A11">
              <w:rPr>
                <w:b/>
                <w:bCs/>
                <w:sz w:val="20"/>
                <w:szCs w:val="20"/>
              </w:rPr>
              <w:t>und</w:t>
            </w:r>
          </w:p>
        </w:tc>
        <w:tc>
          <w:tcPr>
            <w:tcW w:w="1496" w:type="dxa"/>
            <w:tcBorders>
              <w:top w:val="single" w:sz="8" w:space="0" w:color="auto"/>
              <w:bottom w:val="single" w:sz="6" w:space="0" w:color="auto"/>
            </w:tcBorders>
            <w:vAlign w:val="center"/>
          </w:tcPr>
          <w:p w14:paraId="1085A5CA" w14:textId="59F0B990" w:rsidR="003B013D" w:rsidRPr="00933A11" w:rsidRDefault="003B013D" w:rsidP="004975A4">
            <w:pPr>
              <w:spacing w:before="60" w:after="60" w:line="240" w:lineRule="auto"/>
              <w:jc w:val="center"/>
              <w:rPr>
                <w:b/>
                <w:bCs/>
                <w:sz w:val="20"/>
                <w:szCs w:val="20"/>
              </w:rPr>
            </w:pPr>
            <w:r w:rsidRPr="00933A11">
              <w:rPr>
                <w:b/>
                <w:bCs/>
                <w:sz w:val="20"/>
                <w:szCs w:val="20"/>
              </w:rPr>
              <w:t>Jahresumsatz in Mio. €</w:t>
            </w:r>
          </w:p>
        </w:tc>
        <w:tc>
          <w:tcPr>
            <w:tcW w:w="799" w:type="dxa"/>
            <w:tcBorders>
              <w:top w:val="single" w:sz="8" w:space="0" w:color="auto"/>
              <w:bottom w:val="single" w:sz="6" w:space="0" w:color="auto"/>
            </w:tcBorders>
            <w:vAlign w:val="center"/>
          </w:tcPr>
          <w:p w14:paraId="7235DDCB" w14:textId="2A812988" w:rsidR="003B013D" w:rsidRPr="00933A11" w:rsidRDefault="003B013D" w:rsidP="00D3347F">
            <w:pPr>
              <w:spacing w:before="60" w:after="60" w:line="240" w:lineRule="auto"/>
              <w:jc w:val="center"/>
              <w:rPr>
                <w:b/>
                <w:bCs/>
                <w:sz w:val="20"/>
                <w:szCs w:val="20"/>
              </w:rPr>
            </w:pPr>
            <w:r w:rsidRPr="00933A11">
              <w:rPr>
                <w:b/>
                <w:bCs/>
                <w:sz w:val="20"/>
                <w:szCs w:val="20"/>
              </w:rPr>
              <w:t>oder</w:t>
            </w:r>
          </w:p>
        </w:tc>
        <w:tc>
          <w:tcPr>
            <w:tcW w:w="2096" w:type="dxa"/>
            <w:tcBorders>
              <w:top w:val="single" w:sz="8" w:space="0" w:color="auto"/>
              <w:bottom w:val="single" w:sz="6" w:space="0" w:color="auto"/>
            </w:tcBorders>
            <w:vAlign w:val="center"/>
          </w:tcPr>
          <w:p w14:paraId="178AA36B" w14:textId="3A9852C9" w:rsidR="003B013D" w:rsidRPr="00933A11" w:rsidRDefault="003B013D" w:rsidP="00D3347F">
            <w:pPr>
              <w:spacing w:before="60" w:after="60" w:line="240" w:lineRule="auto"/>
              <w:jc w:val="center"/>
              <w:rPr>
                <w:b/>
                <w:bCs/>
                <w:sz w:val="20"/>
                <w:szCs w:val="20"/>
              </w:rPr>
            </w:pPr>
            <w:r w:rsidRPr="00933A11">
              <w:rPr>
                <w:b/>
                <w:bCs/>
                <w:sz w:val="20"/>
                <w:szCs w:val="20"/>
              </w:rPr>
              <w:t>Jahresbilanzsumme in Mio. €</w:t>
            </w:r>
          </w:p>
        </w:tc>
      </w:tr>
      <w:tr w:rsidR="003B013D" w14:paraId="0EDAA360" w14:textId="77777777" w:rsidTr="004975A4">
        <w:tc>
          <w:tcPr>
            <w:tcW w:w="2163" w:type="dxa"/>
            <w:tcBorders>
              <w:top w:val="single" w:sz="6" w:space="0" w:color="auto"/>
            </w:tcBorders>
            <w:vAlign w:val="center"/>
          </w:tcPr>
          <w:p w14:paraId="2D471C20" w14:textId="37B30B22" w:rsidR="003B013D" w:rsidRPr="00933A11" w:rsidRDefault="003B013D" w:rsidP="00D3347F">
            <w:pPr>
              <w:spacing w:before="60" w:after="60" w:line="240" w:lineRule="auto"/>
              <w:jc w:val="left"/>
              <w:rPr>
                <w:sz w:val="20"/>
                <w:szCs w:val="20"/>
              </w:rPr>
            </w:pPr>
            <w:r w:rsidRPr="00933A11">
              <w:rPr>
                <w:sz w:val="20"/>
                <w:szCs w:val="20"/>
              </w:rPr>
              <w:t>Kleinstunternehmen</w:t>
            </w:r>
          </w:p>
        </w:tc>
        <w:tc>
          <w:tcPr>
            <w:tcW w:w="1421" w:type="dxa"/>
            <w:tcBorders>
              <w:top w:val="single" w:sz="6" w:space="0" w:color="auto"/>
            </w:tcBorders>
            <w:vAlign w:val="center"/>
          </w:tcPr>
          <w:p w14:paraId="1C0EB6CB" w14:textId="3E850D3A" w:rsidR="003B013D" w:rsidRPr="00933A11" w:rsidRDefault="003B013D" w:rsidP="00D3347F">
            <w:pPr>
              <w:spacing w:before="60" w:after="60" w:line="240" w:lineRule="auto"/>
              <w:jc w:val="center"/>
              <w:rPr>
                <w:sz w:val="20"/>
                <w:szCs w:val="20"/>
              </w:rPr>
            </w:pPr>
            <w:r w:rsidRPr="00933A11">
              <w:rPr>
                <w:sz w:val="20"/>
                <w:szCs w:val="20"/>
              </w:rPr>
              <w:t>&lt; 10</w:t>
            </w:r>
          </w:p>
        </w:tc>
        <w:tc>
          <w:tcPr>
            <w:tcW w:w="745" w:type="dxa"/>
            <w:tcBorders>
              <w:top w:val="single" w:sz="6" w:space="0" w:color="auto"/>
            </w:tcBorders>
            <w:vAlign w:val="center"/>
          </w:tcPr>
          <w:p w14:paraId="7B8741F0" w14:textId="77777777" w:rsidR="003B013D" w:rsidRPr="00933A11" w:rsidRDefault="003B013D" w:rsidP="00D3347F">
            <w:pPr>
              <w:spacing w:before="60" w:after="60" w:line="240" w:lineRule="auto"/>
              <w:jc w:val="center"/>
              <w:rPr>
                <w:sz w:val="20"/>
                <w:szCs w:val="20"/>
              </w:rPr>
            </w:pPr>
          </w:p>
        </w:tc>
        <w:tc>
          <w:tcPr>
            <w:tcW w:w="1496" w:type="dxa"/>
            <w:tcBorders>
              <w:top w:val="single" w:sz="6" w:space="0" w:color="auto"/>
            </w:tcBorders>
            <w:vAlign w:val="center"/>
          </w:tcPr>
          <w:p w14:paraId="0EF99D3C" w14:textId="78B514BC" w:rsidR="003B013D" w:rsidRPr="00933A11" w:rsidRDefault="003B013D" w:rsidP="00D3347F">
            <w:pPr>
              <w:spacing w:before="60" w:after="60" w:line="240" w:lineRule="auto"/>
              <w:jc w:val="center"/>
              <w:rPr>
                <w:sz w:val="20"/>
                <w:szCs w:val="20"/>
              </w:rPr>
            </w:pPr>
            <w:r w:rsidRPr="00933A11">
              <w:rPr>
                <w:rFonts w:cs="Times New Roman"/>
                <w:sz w:val="20"/>
                <w:szCs w:val="20"/>
              </w:rPr>
              <w:t>≤</w:t>
            </w:r>
            <w:r w:rsidRPr="00933A11">
              <w:rPr>
                <w:sz w:val="20"/>
                <w:szCs w:val="20"/>
              </w:rPr>
              <w:t xml:space="preserve"> 2</w:t>
            </w:r>
          </w:p>
        </w:tc>
        <w:tc>
          <w:tcPr>
            <w:tcW w:w="799" w:type="dxa"/>
            <w:tcBorders>
              <w:top w:val="single" w:sz="6" w:space="0" w:color="auto"/>
            </w:tcBorders>
            <w:vAlign w:val="center"/>
          </w:tcPr>
          <w:p w14:paraId="1911C2D1" w14:textId="77777777" w:rsidR="003B013D" w:rsidRPr="00933A11" w:rsidRDefault="003B013D" w:rsidP="00D3347F">
            <w:pPr>
              <w:spacing w:before="60" w:after="60" w:line="240" w:lineRule="auto"/>
              <w:jc w:val="center"/>
              <w:rPr>
                <w:sz w:val="20"/>
                <w:szCs w:val="20"/>
              </w:rPr>
            </w:pPr>
          </w:p>
        </w:tc>
        <w:tc>
          <w:tcPr>
            <w:tcW w:w="2096" w:type="dxa"/>
            <w:tcBorders>
              <w:top w:val="single" w:sz="6" w:space="0" w:color="auto"/>
            </w:tcBorders>
            <w:vAlign w:val="center"/>
          </w:tcPr>
          <w:p w14:paraId="596B925B" w14:textId="376988B8" w:rsidR="003B013D" w:rsidRPr="00933A11" w:rsidRDefault="003B013D" w:rsidP="00D3347F">
            <w:pPr>
              <w:spacing w:before="60" w:after="60" w:line="240" w:lineRule="auto"/>
              <w:jc w:val="center"/>
              <w:rPr>
                <w:sz w:val="20"/>
                <w:szCs w:val="20"/>
              </w:rPr>
            </w:pPr>
            <w:r w:rsidRPr="00933A11">
              <w:rPr>
                <w:rFonts w:cs="Times New Roman"/>
                <w:sz w:val="20"/>
                <w:szCs w:val="20"/>
              </w:rPr>
              <w:t>≤</w:t>
            </w:r>
            <w:r w:rsidRPr="00933A11">
              <w:rPr>
                <w:sz w:val="20"/>
                <w:szCs w:val="20"/>
              </w:rPr>
              <w:t xml:space="preserve"> 2</w:t>
            </w:r>
          </w:p>
        </w:tc>
      </w:tr>
      <w:tr w:rsidR="003B013D" w14:paraId="3C63BE6C" w14:textId="77777777" w:rsidTr="004975A4">
        <w:tc>
          <w:tcPr>
            <w:tcW w:w="2163" w:type="dxa"/>
            <w:vAlign w:val="center"/>
          </w:tcPr>
          <w:p w14:paraId="74BA4614" w14:textId="731A2D21" w:rsidR="003B013D" w:rsidRPr="00933A11" w:rsidRDefault="003B013D" w:rsidP="00D3347F">
            <w:pPr>
              <w:spacing w:before="60" w:after="60" w:line="240" w:lineRule="auto"/>
              <w:jc w:val="left"/>
              <w:rPr>
                <w:sz w:val="20"/>
                <w:szCs w:val="20"/>
              </w:rPr>
            </w:pPr>
            <w:r w:rsidRPr="00933A11">
              <w:rPr>
                <w:sz w:val="20"/>
                <w:szCs w:val="20"/>
              </w:rPr>
              <w:t>Kleine Unternehmen</w:t>
            </w:r>
          </w:p>
        </w:tc>
        <w:tc>
          <w:tcPr>
            <w:tcW w:w="1421" w:type="dxa"/>
            <w:vAlign w:val="center"/>
          </w:tcPr>
          <w:p w14:paraId="291F73EA" w14:textId="7DA859AC" w:rsidR="003B013D" w:rsidRPr="00933A11" w:rsidRDefault="003B013D" w:rsidP="00D3347F">
            <w:pPr>
              <w:spacing w:before="60" w:after="60" w:line="240" w:lineRule="auto"/>
              <w:jc w:val="center"/>
              <w:rPr>
                <w:sz w:val="20"/>
                <w:szCs w:val="20"/>
              </w:rPr>
            </w:pPr>
            <w:r w:rsidRPr="00933A11">
              <w:rPr>
                <w:sz w:val="20"/>
                <w:szCs w:val="20"/>
              </w:rPr>
              <w:t>&lt; 50</w:t>
            </w:r>
          </w:p>
        </w:tc>
        <w:tc>
          <w:tcPr>
            <w:tcW w:w="745" w:type="dxa"/>
            <w:vAlign w:val="center"/>
          </w:tcPr>
          <w:p w14:paraId="36AE9B38" w14:textId="77777777" w:rsidR="003B013D" w:rsidRPr="00933A11" w:rsidRDefault="003B013D" w:rsidP="00D3347F">
            <w:pPr>
              <w:spacing w:before="60" w:after="60" w:line="240" w:lineRule="auto"/>
              <w:jc w:val="center"/>
              <w:rPr>
                <w:sz w:val="20"/>
                <w:szCs w:val="20"/>
              </w:rPr>
            </w:pPr>
          </w:p>
        </w:tc>
        <w:tc>
          <w:tcPr>
            <w:tcW w:w="1496" w:type="dxa"/>
            <w:vAlign w:val="center"/>
          </w:tcPr>
          <w:p w14:paraId="63858A8F" w14:textId="53DE8329" w:rsidR="003B013D" w:rsidRPr="00933A11" w:rsidRDefault="003B013D" w:rsidP="00D3347F">
            <w:pPr>
              <w:spacing w:before="60" w:after="60" w:line="240" w:lineRule="auto"/>
              <w:jc w:val="center"/>
              <w:rPr>
                <w:sz w:val="20"/>
                <w:szCs w:val="20"/>
              </w:rPr>
            </w:pPr>
            <w:r w:rsidRPr="00933A11">
              <w:rPr>
                <w:rFonts w:cs="Times New Roman"/>
                <w:sz w:val="20"/>
                <w:szCs w:val="20"/>
              </w:rPr>
              <w:t>≤</w:t>
            </w:r>
            <w:r w:rsidRPr="00933A11">
              <w:rPr>
                <w:sz w:val="20"/>
                <w:szCs w:val="20"/>
              </w:rPr>
              <w:t xml:space="preserve"> 10</w:t>
            </w:r>
          </w:p>
        </w:tc>
        <w:tc>
          <w:tcPr>
            <w:tcW w:w="799" w:type="dxa"/>
            <w:vAlign w:val="center"/>
          </w:tcPr>
          <w:p w14:paraId="15217A47" w14:textId="77777777" w:rsidR="003B013D" w:rsidRPr="00933A11" w:rsidRDefault="003B013D" w:rsidP="00D3347F">
            <w:pPr>
              <w:spacing w:before="60" w:after="60" w:line="240" w:lineRule="auto"/>
              <w:jc w:val="center"/>
              <w:rPr>
                <w:sz w:val="20"/>
                <w:szCs w:val="20"/>
              </w:rPr>
            </w:pPr>
          </w:p>
        </w:tc>
        <w:tc>
          <w:tcPr>
            <w:tcW w:w="2096" w:type="dxa"/>
            <w:vAlign w:val="center"/>
          </w:tcPr>
          <w:p w14:paraId="405C9F9A" w14:textId="19A32980" w:rsidR="003B013D" w:rsidRPr="00933A11" w:rsidRDefault="003B013D" w:rsidP="00D3347F">
            <w:pPr>
              <w:spacing w:before="60" w:after="60" w:line="240" w:lineRule="auto"/>
              <w:jc w:val="center"/>
              <w:rPr>
                <w:sz w:val="20"/>
                <w:szCs w:val="20"/>
              </w:rPr>
            </w:pPr>
            <w:r w:rsidRPr="00933A11">
              <w:rPr>
                <w:rFonts w:cs="Times New Roman"/>
                <w:sz w:val="20"/>
                <w:szCs w:val="20"/>
              </w:rPr>
              <w:t>≤</w:t>
            </w:r>
            <w:r w:rsidRPr="00933A11">
              <w:rPr>
                <w:sz w:val="20"/>
                <w:szCs w:val="20"/>
              </w:rPr>
              <w:t xml:space="preserve"> 10</w:t>
            </w:r>
          </w:p>
        </w:tc>
      </w:tr>
      <w:tr w:rsidR="003B013D" w14:paraId="0450A4E7" w14:textId="77777777" w:rsidTr="004975A4">
        <w:tc>
          <w:tcPr>
            <w:tcW w:w="2163" w:type="dxa"/>
            <w:tcBorders>
              <w:bottom w:val="single" w:sz="8" w:space="0" w:color="auto"/>
            </w:tcBorders>
            <w:vAlign w:val="center"/>
          </w:tcPr>
          <w:p w14:paraId="598D0927" w14:textId="4795DBA2" w:rsidR="003B013D" w:rsidRPr="00933A11" w:rsidRDefault="003B013D" w:rsidP="00D3347F">
            <w:pPr>
              <w:spacing w:before="60" w:after="60" w:line="240" w:lineRule="auto"/>
              <w:jc w:val="left"/>
              <w:rPr>
                <w:sz w:val="20"/>
                <w:szCs w:val="20"/>
              </w:rPr>
            </w:pPr>
            <w:r w:rsidRPr="00933A11">
              <w:rPr>
                <w:sz w:val="20"/>
                <w:szCs w:val="20"/>
              </w:rPr>
              <w:t>Mittlere Unternehmen</w:t>
            </w:r>
          </w:p>
        </w:tc>
        <w:tc>
          <w:tcPr>
            <w:tcW w:w="1421" w:type="dxa"/>
            <w:tcBorders>
              <w:bottom w:val="single" w:sz="8" w:space="0" w:color="auto"/>
            </w:tcBorders>
            <w:vAlign w:val="center"/>
          </w:tcPr>
          <w:p w14:paraId="12A507CB" w14:textId="4F800764" w:rsidR="003B013D" w:rsidRPr="00933A11" w:rsidRDefault="003B013D" w:rsidP="00D3347F">
            <w:pPr>
              <w:spacing w:before="60" w:after="60" w:line="240" w:lineRule="auto"/>
              <w:jc w:val="center"/>
              <w:rPr>
                <w:sz w:val="20"/>
                <w:szCs w:val="20"/>
              </w:rPr>
            </w:pPr>
            <w:r w:rsidRPr="00933A11">
              <w:rPr>
                <w:sz w:val="20"/>
                <w:szCs w:val="20"/>
              </w:rPr>
              <w:t>&lt; 250</w:t>
            </w:r>
          </w:p>
        </w:tc>
        <w:tc>
          <w:tcPr>
            <w:tcW w:w="745" w:type="dxa"/>
            <w:tcBorders>
              <w:bottom w:val="single" w:sz="8" w:space="0" w:color="auto"/>
            </w:tcBorders>
            <w:vAlign w:val="center"/>
          </w:tcPr>
          <w:p w14:paraId="6028BC6E" w14:textId="77777777" w:rsidR="003B013D" w:rsidRPr="00933A11" w:rsidRDefault="003B013D" w:rsidP="00D3347F">
            <w:pPr>
              <w:spacing w:before="60" w:after="60" w:line="240" w:lineRule="auto"/>
              <w:jc w:val="center"/>
              <w:rPr>
                <w:sz w:val="20"/>
                <w:szCs w:val="20"/>
              </w:rPr>
            </w:pPr>
          </w:p>
        </w:tc>
        <w:tc>
          <w:tcPr>
            <w:tcW w:w="1496" w:type="dxa"/>
            <w:tcBorders>
              <w:bottom w:val="single" w:sz="8" w:space="0" w:color="auto"/>
            </w:tcBorders>
            <w:vAlign w:val="center"/>
          </w:tcPr>
          <w:p w14:paraId="15D19EF5" w14:textId="093BD5D3" w:rsidR="003B013D" w:rsidRPr="00933A11" w:rsidRDefault="003B013D" w:rsidP="00D3347F">
            <w:pPr>
              <w:spacing w:before="60" w:after="60" w:line="240" w:lineRule="auto"/>
              <w:jc w:val="center"/>
              <w:rPr>
                <w:sz w:val="20"/>
                <w:szCs w:val="20"/>
              </w:rPr>
            </w:pPr>
            <w:r w:rsidRPr="00933A11">
              <w:rPr>
                <w:rFonts w:cs="Times New Roman"/>
                <w:sz w:val="20"/>
                <w:szCs w:val="20"/>
              </w:rPr>
              <w:t>≤</w:t>
            </w:r>
            <w:r w:rsidRPr="00933A11">
              <w:rPr>
                <w:sz w:val="20"/>
                <w:szCs w:val="20"/>
              </w:rPr>
              <w:t xml:space="preserve"> 50</w:t>
            </w:r>
          </w:p>
        </w:tc>
        <w:tc>
          <w:tcPr>
            <w:tcW w:w="799" w:type="dxa"/>
            <w:tcBorders>
              <w:bottom w:val="single" w:sz="8" w:space="0" w:color="auto"/>
            </w:tcBorders>
            <w:vAlign w:val="center"/>
          </w:tcPr>
          <w:p w14:paraId="25CBCC10" w14:textId="77777777" w:rsidR="003B013D" w:rsidRPr="00933A11" w:rsidRDefault="003B013D" w:rsidP="00D3347F">
            <w:pPr>
              <w:spacing w:before="60" w:after="60" w:line="240" w:lineRule="auto"/>
              <w:jc w:val="center"/>
              <w:rPr>
                <w:sz w:val="20"/>
                <w:szCs w:val="20"/>
              </w:rPr>
            </w:pPr>
          </w:p>
        </w:tc>
        <w:tc>
          <w:tcPr>
            <w:tcW w:w="2096" w:type="dxa"/>
            <w:tcBorders>
              <w:bottom w:val="single" w:sz="8" w:space="0" w:color="auto"/>
            </w:tcBorders>
            <w:vAlign w:val="center"/>
          </w:tcPr>
          <w:p w14:paraId="166037FD" w14:textId="5135530E" w:rsidR="003B013D" w:rsidRPr="00933A11" w:rsidRDefault="003B013D" w:rsidP="00933A11">
            <w:pPr>
              <w:spacing w:before="60" w:after="120" w:line="240" w:lineRule="auto"/>
              <w:jc w:val="center"/>
              <w:rPr>
                <w:sz w:val="20"/>
                <w:szCs w:val="20"/>
              </w:rPr>
            </w:pPr>
            <w:r w:rsidRPr="00933A11">
              <w:rPr>
                <w:rFonts w:cs="Times New Roman"/>
                <w:sz w:val="20"/>
                <w:szCs w:val="20"/>
              </w:rPr>
              <w:t>≤</w:t>
            </w:r>
            <w:r w:rsidRPr="00933A11">
              <w:rPr>
                <w:sz w:val="20"/>
                <w:szCs w:val="20"/>
              </w:rPr>
              <w:t xml:space="preserve"> 43</w:t>
            </w:r>
          </w:p>
        </w:tc>
      </w:tr>
    </w:tbl>
    <w:p w14:paraId="05CCDEE8" w14:textId="75DFDC49" w:rsidR="00347C06" w:rsidRPr="008C56BA" w:rsidRDefault="0062687F" w:rsidP="008C56BA">
      <w:pPr>
        <w:spacing w:before="240" w:after="120"/>
      </w:pPr>
      <w:r>
        <w:t>Die Unterschiede beschränken sich allerdings nicht nur auf diese</w:t>
      </w:r>
      <w:r w:rsidR="008332AD">
        <w:t xml:space="preserve"> formal definierten</w:t>
      </w:r>
      <w:r>
        <w:t xml:space="preserve"> drei Kriterien. </w:t>
      </w:r>
      <w:r w:rsidR="00C416C3">
        <w:t>So ergibt sich aus der Literatur, dass</w:t>
      </w:r>
      <w:r>
        <w:t xml:space="preserve"> </w:t>
      </w:r>
      <w:r w:rsidR="009E599A">
        <w:t xml:space="preserve">beispielsweise </w:t>
      </w:r>
      <w:r w:rsidR="00AE2999" w:rsidRPr="00DB1341">
        <w:t xml:space="preserve">Kleinstunternehmen </w:t>
      </w:r>
      <w:r w:rsidR="00DB1341" w:rsidRPr="00DB1341">
        <w:t>verglichen</w:t>
      </w:r>
      <w:r w:rsidR="0085644D">
        <w:t xml:space="preserve"> mit größeren KMUs</w:t>
      </w:r>
      <w:r w:rsidR="00DB1341" w:rsidRPr="00DB1341">
        <w:t xml:space="preserve"> </w:t>
      </w:r>
      <w:r>
        <w:t>abhängiger vo</w:t>
      </w:r>
      <w:r w:rsidR="00222FFE">
        <w:t xml:space="preserve">m </w:t>
      </w:r>
      <w:r>
        <w:t xml:space="preserve">Geschäftsführer und </w:t>
      </w:r>
      <w:r w:rsidR="00222FFE">
        <w:t xml:space="preserve">von </w:t>
      </w:r>
      <w:r>
        <w:t>deren Kompetenzen</w:t>
      </w:r>
      <w:r w:rsidR="00C416C3" w:rsidRPr="00C416C3">
        <w:t xml:space="preserve"> </w:t>
      </w:r>
      <w:r w:rsidR="00C416C3">
        <w:t>sind</w:t>
      </w:r>
      <w:r>
        <w:t>.</w:t>
      </w:r>
      <w:r w:rsidRPr="0062687F">
        <w:rPr>
          <w:rStyle w:val="Funotenzeichen"/>
          <w:rFonts w:hint="eastAsia"/>
        </w:rPr>
        <w:footnoteReference w:id="6"/>
      </w:r>
      <w:r w:rsidR="00155F2D">
        <w:t xml:space="preserve"> </w:t>
      </w:r>
      <w:r w:rsidR="00C416C3">
        <w:t>Außerdem tendieren sie</w:t>
      </w:r>
      <w:r w:rsidR="00155F2D">
        <w:t xml:space="preserve"> dazu, in Kernbereichen wie </w:t>
      </w:r>
      <w:r w:rsidR="004F02E4">
        <w:t>in der Geschäftsplanung rückständig zu sein</w:t>
      </w:r>
      <w:r w:rsidR="00155F2D">
        <w:t xml:space="preserve"> und zeigen </w:t>
      </w:r>
      <w:r w:rsidR="00F646D0">
        <w:t>mangelnden</w:t>
      </w:r>
      <w:r w:rsidR="00155F2D">
        <w:t xml:space="preserve"> Ehrgeiz </w:t>
      </w:r>
      <w:r w:rsidR="000D14C5">
        <w:t>bezogen auf das</w:t>
      </w:r>
      <w:r w:rsidR="002D5A77">
        <w:t xml:space="preserve"> Unternehmenswachstum</w:t>
      </w:r>
      <w:r w:rsidR="00155F2D">
        <w:t>.</w:t>
      </w:r>
      <w:r w:rsidR="00155F2D">
        <w:rPr>
          <w:rStyle w:val="Funotenzeichen"/>
        </w:rPr>
        <w:footnoteReference w:id="7"/>
      </w:r>
      <w:r w:rsidR="000D14C5">
        <w:t xml:space="preserve"> </w:t>
      </w:r>
      <w:r w:rsidR="005C40E1">
        <w:t xml:space="preserve">Zudem sind kleinere Unternehmen </w:t>
      </w:r>
      <w:r w:rsidR="00663D10">
        <w:t>häufig</w:t>
      </w:r>
      <w:r w:rsidR="005C40E1">
        <w:t xml:space="preserve"> intransparenter</w:t>
      </w:r>
      <w:r w:rsidR="00633CE1">
        <w:t>,</w:t>
      </w:r>
      <w:r w:rsidR="007F30FB">
        <w:t xml:space="preserve"> da diese oftmals </w:t>
      </w:r>
      <w:r w:rsidR="007F30FB" w:rsidRPr="007E4054">
        <w:rPr>
          <w:spacing w:val="-2"/>
        </w:rPr>
        <w:t>keine geprüften Jahresabschlüsse veröffentlichen,</w:t>
      </w:r>
      <w:r w:rsidR="005C40E1" w:rsidRPr="007E4054">
        <w:rPr>
          <w:rStyle w:val="Funotenzeichen"/>
          <w:spacing w:val="-2"/>
        </w:rPr>
        <w:footnoteReference w:id="8"/>
      </w:r>
      <w:r w:rsidR="005C40E1" w:rsidRPr="007E4054">
        <w:rPr>
          <w:spacing w:val="-2"/>
        </w:rPr>
        <w:t xml:space="preserve"> </w:t>
      </w:r>
      <w:r w:rsidR="009A744A" w:rsidRPr="007E4054">
        <w:rPr>
          <w:spacing w:val="-2"/>
        </w:rPr>
        <w:t xml:space="preserve">was wiederum </w:t>
      </w:r>
      <w:r w:rsidR="009A744A">
        <w:rPr>
          <w:spacing w:val="-2"/>
        </w:rPr>
        <w:t>aufgrund von</w:t>
      </w:r>
      <w:r w:rsidR="009A744A" w:rsidRPr="007E4054">
        <w:rPr>
          <w:spacing w:val="-2"/>
        </w:rPr>
        <w:t xml:space="preserve"> </w:t>
      </w:r>
      <w:r w:rsidR="009A744A" w:rsidRPr="009A744A">
        <w:rPr>
          <w:spacing w:val="-2"/>
        </w:rPr>
        <w:t>Informations</w:t>
      </w:r>
      <w:r w:rsidR="009A744A" w:rsidRPr="009A744A">
        <w:t>asymmetrien zu Problemen wie Moral Hazard</w:t>
      </w:r>
      <w:r w:rsidR="004B4CEF">
        <w:t xml:space="preserve"> und adverse</w:t>
      </w:r>
      <w:r w:rsidR="00D16A3C">
        <w:t>r</w:t>
      </w:r>
      <w:r w:rsidR="004B4CEF">
        <w:t xml:space="preserve"> Selektion führen kann.</w:t>
      </w:r>
      <w:r w:rsidR="007E4054">
        <w:rPr>
          <w:rStyle w:val="Funotenzeichen"/>
        </w:rPr>
        <w:footnoteReference w:id="9"/>
      </w:r>
      <w:r w:rsidR="008C56BA">
        <w:t xml:space="preserve"> </w:t>
      </w:r>
      <w:r w:rsidR="00D86ABD" w:rsidRPr="008C56BA">
        <w:t xml:space="preserve">Diese </w:t>
      </w:r>
      <w:r w:rsidR="008C56BA" w:rsidRPr="008C56BA">
        <w:t>Unterschiede</w:t>
      </w:r>
      <w:r w:rsidR="00D86ABD" w:rsidRPr="008C56BA">
        <w:t xml:space="preserve"> suggerieren eine Heterogenität im Finanzierungsverhalten innerhalb der KMUs</w:t>
      </w:r>
      <w:r w:rsidR="00F40DE2" w:rsidRPr="008C56BA">
        <w:t xml:space="preserve">, </w:t>
      </w:r>
      <w:r w:rsidR="00F876FB" w:rsidRPr="008C56BA">
        <w:t>was</w:t>
      </w:r>
      <w:r w:rsidR="00F40DE2" w:rsidRPr="008C56BA">
        <w:t xml:space="preserve"> zwar bereits in vorherigen </w:t>
      </w:r>
      <w:r w:rsidR="00B654BB" w:rsidRPr="008C56BA">
        <w:t>Publikationen</w:t>
      </w:r>
      <w:r w:rsidR="00F40DE2" w:rsidRPr="008C56BA">
        <w:t xml:space="preserve"> </w:t>
      </w:r>
      <w:r w:rsidR="00C26E78" w:rsidRPr="008C56BA">
        <w:t>hervorgehoben</w:t>
      </w:r>
      <w:r w:rsidR="00F40DE2" w:rsidRPr="008C56BA">
        <w:t xml:space="preserve"> </w:t>
      </w:r>
      <w:r w:rsidR="00C26E78" w:rsidRPr="008C56BA">
        <w:t>wurde</w:t>
      </w:r>
      <w:r w:rsidR="00F40DE2" w:rsidRPr="008C56BA">
        <w:t>, jedoch in Masiak et al</w:t>
      </w:r>
      <w:r w:rsidR="00D86ABD" w:rsidRPr="008C56BA">
        <w:t>.</w:t>
      </w:r>
      <w:r w:rsidR="00F40DE2" w:rsidRPr="008C56BA">
        <w:t xml:space="preserve"> (2019) erstmalig gezielt</w:t>
      </w:r>
      <w:r w:rsidR="00F876FB" w:rsidRPr="008C56BA">
        <w:t xml:space="preserve"> im Hinblick auf Kleinstunternehmen</w:t>
      </w:r>
      <w:r w:rsidR="00F40DE2" w:rsidRPr="008C56BA">
        <w:t xml:space="preserve"> untersucht wurde.</w:t>
      </w:r>
    </w:p>
    <w:p w14:paraId="106525A9" w14:textId="1DB00271" w:rsidR="00E41089" w:rsidRDefault="00EF72F5" w:rsidP="001A4E15">
      <w:pPr>
        <w:pStyle w:val="berschrift2"/>
        <w:numPr>
          <w:ilvl w:val="1"/>
          <w:numId w:val="1"/>
        </w:numPr>
        <w:spacing w:after="120" w:line="240" w:lineRule="auto"/>
        <w:ind w:left="425" w:hanging="425"/>
      </w:pPr>
      <w:bookmarkStart w:id="9" w:name="_Toc88425820"/>
      <w:r>
        <w:t xml:space="preserve">Literatur zur </w:t>
      </w:r>
      <w:r w:rsidR="00E41089">
        <w:t>Finanzierung von Kleinstunternehmen</w:t>
      </w:r>
      <w:bookmarkEnd w:id="9"/>
    </w:p>
    <w:p w14:paraId="4182579A" w14:textId="32C5267C" w:rsidR="00F02A24" w:rsidRDefault="00946391" w:rsidP="008C7681">
      <w:pPr>
        <w:spacing w:after="120"/>
      </w:pPr>
      <w:r>
        <w:t>Es</w:t>
      </w:r>
      <w:r w:rsidR="00F02A24">
        <w:t xml:space="preserve"> existiert eine </w:t>
      </w:r>
      <w:r w:rsidR="008D0E57">
        <w:t xml:space="preserve">Vielzahl an Literatur, die sich mit der Finanzierung von KMUs befasst, jedoch wird </w:t>
      </w:r>
      <w:r w:rsidR="00792BD6">
        <w:t>in</w:t>
      </w:r>
      <w:r w:rsidR="008D0E57">
        <w:t xml:space="preserve"> den meisten Veröffentlichungen nur die Unter</w:t>
      </w:r>
      <w:r w:rsidR="00A25C5C">
        <w:t xml:space="preserve">teilung </w:t>
      </w:r>
      <w:r w:rsidR="008D0E57">
        <w:t xml:space="preserve">zwischen KMUs </w:t>
      </w:r>
      <w:r w:rsidR="008D0E57">
        <w:lastRenderedPageBreak/>
        <w:t>und Großunternehmen getroffen</w:t>
      </w:r>
      <w:r w:rsidR="00217D33">
        <w:t xml:space="preserve"> und nicht gesondert</w:t>
      </w:r>
      <w:r w:rsidR="00A25C5C">
        <w:t xml:space="preserve"> </w:t>
      </w:r>
      <w:r w:rsidR="008E2A70">
        <w:t>innerhalb der</w:t>
      </w:r>
      <w:r w:rsidR="00A25C5C">
        <w:t xml:space="preserve"> KMUs </w:t>
      </w:r>
      <w:r w:rsidR="001F2AD5">
        <w:t>unterschieden</w:t>
      </w:r>
      <w:r w:rsidR="00A25C5C">
        <w:t>.</w:t>
      </w:r>
      <w:r w:rsidR="003B2B2C">
        <w:rPr>
          <w:rStyle w:val="Funotenzeichen"/>
        </w:rPr>
        <w:footnoteReference w:id="10"/>
      </w:r>
      <w:r w:rsidR="00855E43">
        <w:t xml:space="preserve"> </w:t>
      </w:r>
      <w:r w:rsidR="00F836EC">
        <w:t>Im Folgende</w:t>
      </w:r>
      <w:r>
        <w:t>n</w:t>
      </w:r>
      <w:r w:rsidR="00F836EC">
        <w:t xml:space="preserve"> wird eine Auswahl an </w:t>
      </w:r>
      <w:r w:rsidR="00F836EC" w:rsidRPr="00F836EC">
        <w:t>Publikationen</w:t>
      </w:r>
      <w:r w:rsidR="00F836EC">
        <w:t xml:space="preserve"> vorgestellt, welche</w:t>
      </w:r>
      <w:r w:rsidR="00597F5E" w:rsidRPr="00597F5E">
        <w:t xml:space="preserve"> </w:t>
      </w:r>
      <w:r w:rsidR="00E427B2">
        <w:t>ebendiese</w:t>
      </w:r>
      <w:r w:rsidR="008E2A70">
        <w:t xml:space="preserve"> Heterogenität </w:t>
      </w:r>
      <w:r w:rsidR="00D53E36">
        <w:t>der</w:t>
      </w:r>
      <w:r w:rsidR="00597F5E">
        <w:t xml:space="preserve"> </w:t>
      </w:r>
      <w:r w:rsidR="00F836EC">
        <w:t xml:space="preserve">KMUs </w:t>
      </w:r>
      <w:r w:rsidR="00597F5E">
        <w:t>berücksichtigen.</w:t>
      </w:r>
    </w:p>
    <w:p w14:paraId="33409039" w14:textId="57122B9C" w:rsidR="0076113D" w:rsidRDefault="0076113D" w:rsidP="008C7681">
      <w:pPr>
        <w:spacing w:after="120"/>
      </w:pPr>
      <w:r>
        <w:t>Chavis et al. (2011)</w:t>
      </w:r>
      <w:r w:rsidR="00E427B2">
        <w:t xml:space="preserve"> untersuch</w:t>
      </w:r>
      <w:r w:rsidR="005A0FBB">
        <w:t>te</w:t>
      </w:r>
      <w:r w:rsidR="00E427B2">
        <w:t xml:space="preserve"> die </w:t>
      </w:r>
      <w:r w:rsidR="005A0FBB">
        <w:t xml:space="preserve">globale </w:t>
      </w:r>
      <w:r w:rsidR="00E427B2">
        <w:t>Nutzung von Finanzierungsquellen mithilfe</w:t>
      </w:r>
      <w:r w:rsidR="00FA6B7E">
        <w:t xml:space="preserve"> eines </w:t>
      </w:r>
      <w:r>
        <w:t>Datensatz</w:t>
      </w:r>
      <w:r w:rsidR="00FA6B7E">
        <w:t>es</w:t>
      </w:r>
      <w:r>
        <w:t xml:space="preserve"> mit überwiegend KMUs aus mehr als 100 Ländern</w:t>
      </w:r>
      <w:r w:rsidR="00FA6B7E">
        <w:t xml:space="preserve">. Dabei </w:t>
      </w:r>
      <w:r w:rsidR="005A0FBB">
        <w:t>ergab sich aus der Regressionsanalyse, dass Kleinstunternehmen</w:t>
      </w:r>
      <w:r w:rsidR="00575B1F">
        <w:t xml:space="preserve"> im Vergleich zu größeren KMUs</w:t>
      </w:r>
      <w:r w:rsidR="005A0FBB">
        <w:t xml:space="preserve"> seltener</w:t>
      </w:r>
      <w:r w:rsidR="00D822D6">
        <w:t xml:space="preserve"> </w:t>
      </w:r>
      <w:r w:rsidR="005A0FBB">
        <w:t xml:space="preserve">Kreditlinien, </w:t>
      </w:r>
      <w:r w:rsidR="006F200D">
        <w:t>Lieferantenkredite</w:t>
      </w:r>
      <w:r w:rsidR="005A0FBB">
        <w:t xml:space="preserve">, Leasing </w:t>
      </w:r>
      <w:r w:rsidR="006F200D">
        <w:t>sowie</w:t>
      </w:r>
      <w:r w:rsidR="005A0FBB">
        <w:t xml:space="preserve"> </w:t>
      </w:r>
      <w:r w:rsidR="006F200D">
        <w:t xml:space="preserve">Finanzierung durch Banken </w:t>
      </w:r>
      <w:r w:rsidR="005A0FBB">
        <w:t xml:space="preserve">nutzen </w:t>
      </w:r>
      <w:r w:rsidR="00D822D6">
        <w:t xml:space="preserve">und </w:t>
      </w:r>
      <w:r w:rsidR="00015FE5">
        <w:t xml:space="preserve">stattdessen </w:t>
      </w:r>
      <w:r w:rsidR="008741B3">
        <w:t>eher</w:t>
      </w:r>
      <w:r w:rsidR="00821626">
        <w:t xml:space="preserve"> auf</w:t>
      </w:r>
      <w:r w:rsidR="00D822D6">
        <w:t xml:space="preserve"> </w:t>
      </w:r>
      <w:r w:rsidR="00821626">
        <w:t xml:space="preserve">informelle Finanzierung setzen </w:t>
      </w:r>
      <w:r w:rsidR="00A54257">
        <w:t>und</w:t>
      </w:r>
      <w:r w:rsidR="00821626">
        <w:t xml:space="preserve"> </w:t>
      </w:r>
      <w:r w:rsidR="00D822D6">
        <w:t>keine externe Finanzierung</w:t>
      </w:r>
      <w:r w:rsidR="008741B3">
        <w:t>squellen</w:t>
      </w:r>
      <w:r w:rsidR="00617683">
        <w:t xml:space="preserve"> verwenden</w:t>
      </w:r>
      <w:r w:rsidR="00821626">
        <w:t>.</w:t>
      </w:r>
      <w:r w:rsidR="00617683">
        <w:rPr>
          <w:rStyle w:val="Funotenzeichen"/>
        </w:rPr>
        <w:footnoteReference w:id="11"/>
      </w:r>
    </w:p>
    <w:p w14:paraId="79E71DE6" w14:textId="506241E8" w:rsidR="00BB7CCA" w:rsidRDefault="00F731E0" w:rsidP="008C7681">
      <w:pPr>
        <w:spacing w:after="120"/>
      </w:pPr>
      <w:r>
        <w:t xml:space="preserve">Um das Finanzierungsverhalten von Kleinstunternehmen und kleinen Unternehmen zu </w:t>
      </w:r>
      <w:r w:rsidR="001C37CF">
        <w:t>analysieren</w:t>
      </w:r>
      <w:r w:rsidR="00946391">
        <w:t>,</w:t>
      </w:r>
      <w:r w:rsidR="001C37CF">
        <w:t xml:space="preserve"> hat Daskalakis et al. (2013) </w:t>
      </w:r>
      <w:r w:rsidR="00683EE9">
        <w:t>eine Umfrage griechischer Unternehmen erhoben.</w:t>
      </w:r>
      <w:r w:rsidR="00DE09F7">
        <w:t xml:space="preserve"> Die Interviews deuteten darauf hin, dass diese Unternehmen</w:t>
      </w:r>
      <w:r w:rsidR="000B431F">
        <w:t xml:space="preserve"> abgeneigt gegenüber</w:t>
      </w:r>
      <w:r w:rsidR="00DE09F7">
        <w:t xml:space="preserve"> </w:t>
      </w:r>
      <w:r w:rsidR="003A295E" w:rsidRPr="003A295E">
        <w:t>externe</w:t>
      </w:r>
      <w:r w:rsidR="00163EEC">
        <w:t>r</w:t>
      </w:r>
      <w:r w:rsidR="003A295E" w:rsidRPr="003A295E">
        <w:t xml:space="preserve"> Eigenkapitalzufuhr</w:t>
      </w:r>
      <w:r w:rsidR="003A295E">
        <w:t xml:space="preserve"> (u.a.</w:t>
      </w:r>
      <w:r w:rsidR="00E51C84">
        <w:t xml:space="preserve"> durch</w:t>
      </w:r>
      <w:r w:rsidR="003A295E">
        <w:t xml:space="preserve"> Venture Capital </w:t>
      </w:r>
      <w:r w:rsidR="000B431F">
        <w:t>und</w:t>
      </w:r>
      <w:r w:rsidR="003A295E">
        <w:t xml:space="preserve"> Business Angels)</w:t>
      </w:r>
      <w:r w:rsidR="000B431F">
        <w:t xml:space="preserve"> sind und</w:t>
      </w:r>
      <w:r w:rsidR="00F35611" w:rsidRPr="00F35611">
        <w:t xml:space="preserve"> </w:t>
      </w:r>
      <w:r w:rsidR="00F35611">
        <w:t>eine Informationslücke bezüglich der Verfügbarkeit von Zuschüssen auftritt</w:t>
      </w:r>
      <w:r w:rsidR="000B431F">
        <w:t>. Zudem</w:t>
      </w:r>
      <w:r w:rsidR="00F35611">
        <w:t xml:space="preserve"> werden</w:t>
      </w:r>
      <w:r w:rsidR="000B431F">
        <w:t xml:space="preserve"> </w:t>
      </w:r>
      <w:r w:rsidR="00F35611">
        <w:t>Schwierigkeiten beim Zugang zu Langzeitdarlehen impliziert</w:t>
      </w:r>
      <w:r w:rsidR="00BB7CCA">
        <w:t>.</w:t>
      </w:r>
      <w:r w:rsidR="006354CC">
        <w:rPr>
          <w:rStyle w:val="Funotenzeichen"/>
        </w:rPr>
        <w:footnoteReference w:id="12"/>
      </w:r>
    </w:p>
    <w:p w14:paraId="1B762C31" w14:textId="1C32A38B" w:rsidR="00A967E0" w:rsidRPr="00A967E0" w:rsidRDefault="00A967E0" w:rsidP="008C7681">
      <w:pPr>
        <w:spacing w:after="120"/>
      </w:pPr>
      <w:r w:rsidRPr="00A967E0">
        <w:t>Diese Limitationen bei Darlehen s</w:t>
      </w:r>
      <w:r>
        <w:t xml:space="preserve">cheinen </w:t>
      </w:r>
      <w:r w:rsidR="005A5C63">
        <w:t xml:space="preserve">nach Holton et al. (2014) </w:t>
      </w:r>
      <w:r w:rsidR="00896870">
        <w:t xml:space="preserve">auch in der Folgezeit der Finanzkriese in Europa von Relevanz zu sein. </w:t>
      </w:r>
      <w:r w:rsidR="00D91A64">
        <w:t>In diesem Forschungsvorhaben</w:t>
      </w:r>
      <w:r w:rsidR="00896870">
        <w:t xml:space="preserve"> wurde mit der SAFE Umfrage von 2009 – 2011 die Auswirkungen der Finanzkriese </w:t>
      </w:r>
      <w:r w:rsidR="00EB6270">
        <w:t>auf Finanzierung durch Banken bei KMUs</w:t>
      </w:r>
      <w:r w:rsidR="005A5C63">
        <w:t xml:space="preserve"> </w:t>
      </w:r>
      <w:r w:rsidR="00EB6270">
        <w:t xml:space="preserve">untersucht. </w:t>
      </w:r>
      <w:r>
        <w:t>So werden Kleinstunternehmen häufiger bei Darlehensanträgen zurückgewiesen.</w:t>
      </w:r>
      <w:r>
        <w:rPr>
          <w:rStyle w:val="Funotenzeichen"/>
        </w:rPr>
        <w:footnoteReference w:id="13"/>
      </w:r>
    </w:p>
    <w:p w14:paraId="7FCF6729" w14:textId="50887DEF" w:rsidR="009B535C" w:rsidRDefault="009B535C" w:rsidP="008C7681">
      <w:pPr>
        <w:spacing w:after="120"/>
      </w:pPr>
      <w:r w:rsidRPr="007564F2">
        <w:t>Casey / O’Toole (2014)</w:t>
      </w:r>
      <w:r w:rsidR="007564F2" w:rsidRPr="007564F2">
        <w:t xml:space="preserve"> berücksichtigen </w:t>
      </w:r>
      <w:r w:rsidR="007564F2">
        <w:t xml:space="preserve">diesen Umstand, indem auf Basis </w:t>
      </w:r>
      <w:r w:rsidR="001C20AC">
        <w:t xml:space="preserve">derselben </w:t>
      </w:r>
      <w:r w:rsidR="001C20AC" w:rsidRPr="001C20AC">
        <w:rPr>
          <w:spacing w:val="-2"/>
        </w:rPr>
        <w:t>Daten</w:t>
      </w:r>
      <w:r w:rsidR="007564F2" w:rsidRPr="001C20AC">
        <w:rPr>
          <w:spacing w:val="-2"/>
        </w:rPr>
        <w:t xml:space="preserve"> die Nutzung alternativer Finanzierungsmethoden bei KMUs mit Einschränkungen</w:t>
      </w:r>
      <w:r w:rsidR="007564F2">
        <w:t xml:space="preserve"> in der Finanzierung durch Banken analysiert </w:t>
      </w:r>
      <w:r w:rsidR="00F7212F">
        <w:t>wurde</w:t>
      </w:r>
      <w:r w:rsidR="007564F2">
        <w:t xml:space="preserve">. </w:t>
      </w:r>
      <w:r w:rsidR="00B87131">
        <w:t xml:space="preserve">Im Einklang mit Chavis et al. (2011) nutzen </w:t>
      </w:r>
      <w:r w:rsidR="00BA5A00">
        <w:t xml:space="preserve">Kleinstunternehmen mit dieser Einschränkung </w:t>
      </w:r>
      <w:r w:rsidR="00352FA4">
        <w:t>verglichen</w:t>
      </w:r>
      <w:r w:rsidR="00B87131">
        <w:t xml:space="preserve"> mit größeren KMUs </w:t>
      </w:r>
      <w:r w:rsidR="00BA5A00">
        <w:t>seltener</w:t>
      </w:r>
      <w:r w:rsidR="00CC7F66">
        <w:t xml:space="preserve"> </w:t>
      </w:r>
      <w:r w:rsidR="007B67CA">
        <w:t>externe</w:t>
      </w:r>
      <w:r w:rsidR="00CC7F66">
        <w:t xml:space="preserve"> </w:t>
      </w:r>
      <w:r w:rsidR="00081B33">
        <w:t>Finanzierungsquellen</w:t>
      </w:r>
      <w:r w:rsidR="00CC7F66">
        <w:t>,</w:t>
      </w:r>
      <w:r w:rsidR="007B67CA">
        <w:rPr>
          <w:rStyle w:val="Funotenzeichen"/>
        </w:rPr>
        <w:footnoteReference w:id="14"/>
      </w:r>
      <w:r w:rsidR="00CC7F66">
        <w:t xml:space="preserve"> insbesondere</w:t>
      </w:r>
      <w:r w:rsidR="00BA5A00">
        <w:t xml:space="preserve"> Lieferantenkre</w:t>
      </w:r>
      <w:r w:rsidR="001C20AC">
        <w:t>dite</w:t>
      </w:r>
      <w:r w:rsidR="00BA5A00">
        <w:t>.</w:t>
      </w:r>
      <w:r w:rsidR="00CC7F66">
        <w:rPr>
          <w:rStyle w:val="Funotenzeichen"/>
        </w:rPr>
        <w:footnoteReference w:id="15"/>
      </w:r>
    </w:p>
    <w:p w14:paraId="3403B553" w14:textId="78AEB325" w:rsidR="00857708" w:rsidRPr="007564F2" w:rsidRDefault="00857708" w:rsidP="008C7681">
      <w:pPr>
        <w:spacing w:after="120"/>
      </w:pPr>
      <w:r>
        <w:t>Diese Erkenntnis ist auch in Lawless et al. (201</w:t>
      </w:r>
      <w:r w:rsidR="00736CF4">
        <w:t>5</w:t>
      </w:r>
      <w:r>
        <w:t xml:space="preserve">) wiederzufinden, wo </w:t>
      </w:r>
      <w:r w:rsidR="00352FA4">
        <w:t>mithilfe</w:t>
      </w:r>
      <w:r w:rsidR="00C46B97">
        <w:t xml:space="preserve"> der</w:t>
      </w:r>
      <w:r>
        <w:t xml:space="preserve"> SAFE </w:t>
      </w:r>
      <w:r w:rsidRPr="005C0C92">
        <w:rPr>
          <w:spacing w:val="-2"/>
        </w:rPr>
        <w:t xml:space="preserve">Umfrage von 2010 – 2013 die Verwendung und Diversifikation von </w:t>
      </w:r>
      <w:r w:rsidRPr="005C0C92">
        <w:rPr>
          <w:spacing w:val="-2"/>
        </w:rPr>
        <w:lastRenderedPageBreak/>
        <w:t>Finanzierungsquell</w:t>
      </w:r>
      <w:r w:rsidR="005C0C92" w:rsidRPr="005C0C92">
        <w:rPr>
          <w:spacing w:val="-2"/>
        </w:rPr>
        <w:t>en</w:t>
      </w:r>
      <w:r>
        <w:t xml:space="preserve"> von KMUs erforscht wurde. In den Regressionsergebnissen </w:t>
      </w:r>
      <w:r w:rsidR="006D70DC">
        <w:t>ist</w:t>
      </w:r>
      <w:r>
        <w:t xml:space="preserve"> feststellen, dass auch </w:t>
      </w:r>
      <w:r w:rsidR="002F7610">
        <w:t>hier</w:t>
      </w:r>
      <w:r>
        <w:t xml:space="preserve"> Kleinstunternehmen </w:t>
      </w:r>
      <w:r w:rsidR="00957DFD">
        <w:t xml:space="preserve">im Vergleich zu größeren KMUs </w:t>
      </w:r>
      <w:r>
        <w:t>seltener externe Finanzierungsquellen verwenden.</w:t>
      </w:r>
      <w:r>
        <w:rPr>
          <w:rStyle w:val="Funotenzeichen"/>
        </w:rPr>
        <w:footnoteReference w:id="16"/>
      </w:r>
    </w:p>
    <w:p w14:paraId="14F6A676" w14:textId="475010C0" w:rsidR="00885603" w:rsidRDefault="00736CF4" w:rsidP="008C7681">
      <w:pPr>
        <w:spacing w:after="120"/>
      </w:pPr>
      <w:r>
        <w:t xml:space="preserve">Moritz et al. (2016) </w:t>
      </w:r>
      <w:r w:rsidR="007F260B">
        <w:t xml:space="preserve">führt eine ähnliche Analyse mit der SAFE Umfrage aus 2013 durch, wobei die Nutzung einzelner Finanzierungsquellen </w:t>
      </w:r>
      <w:r w:rsidR="00F73ED3">
        <w:t>durch eine</w:t>
      </w:r>
      <w:r w:rsidR="007F260B">
        <w:t xml:space="preserve"> Clusteranalyse in Finanzierungsmuster </w:t>
      </w:r>
      <w:r w:rsidR="00F73ED3">
        <w:t>gruppiert</w:t>
      </w:r>
      <w:r w:rsidR="007F260B">
        <w:t xml:space="preserve"> wird.</w:t>
      </w:r>
      <w:r w:rsidR="008217F7">
        <w:t xml:space="preserve"> Die Verteilung dieser Finanzierungsmuster deutet darauf hin, dass Kleinstunternehmen </w:t>
      </w:r>
      <w:r w:rsidR="00B86972">
        <w:t>verglichen</w:t>
      </w:r>
      <w:r w:rsidR="008217F7">
        <w:t xml:space="preserve"> mit größeren KMUs häufiger Innenfinanzierung und seltener Darlehensfinanzierung, Finanzierung durch Zuschüsse und Lieferantenkredite nutzen, </w:t>
      </w:r>
      <w:r w:rsidR="002F7610">
        <w:t>übereinstimmend mit den Erkenntnissen der obigen Literatur</w:t>
      </w:r>
      <w:r w:rsidR="008217F7">
        <w:t>.</w:t>
      </w:r>
      <w:r w:rsidR="00885603" w:rsidRPr="00885603">
        <w:rPr>
          <w:rStyle w:val="Funotenzeichen"/>
        </w:rPr>
        <w:t xml:space="preserve"> </w:t>
      </w:r>
      <w:r w:rsidR="00885603">
        <w:rPr>
          <w:rStyle w:val="Funotenzeichen"/>
        </w:rPr>
        <w:footnoteReference w:id="17"/>
      </w:r>
      <w:r w:rsidR="008217F7" w:rsidRPr="008217F7">
        <w:t xml:space="preserve"> </w:t>
      </w:r>
      <w:r w:rsidR="008217F7">
        <w:t xml:space="preserve">Zusätzlich </w:t>
      </w:r>
      <w:r w:rsidR="00885603">
        <w:t xml:space="preserve">verwenden Kleinstunternehmen </w:t>
      </w:r>
      <w:r w:rsidR="004D7EBC">
        <w:t>häufiger</w:t>
      </w:r>
      <w:r w:rsidR="00885603">
        <w:t xml:space="preserve"> kurzfristige Schulde</w:t>
      </w:r>
      <w:r w:rsidR="00DA27D2">
        <w:t>n, insbesondere von Finanzinstituten</w:t>
      </w:r>
      <w:r w:rsidR="008217F7">
        <w:t>.</w:t>
      </w:r>
      <w:r w:rsidR="00885603">
        <w:rPr>
          <w:rStyle w:val="Funotenzeichen"/>
        </w:rPr>
        <w:footnoteReference w:id="18"/>
      </w:r>
    </w:p>
    <w:p w14:paraId="628EDECE" w14:textId="60BFECBB" w:rsidR="00216980" w:rsidRPr="00A753DB" w:rsidRDefault="00736CF4" w:rsidP="008C7681">
      <w:pPr>
        <w:spacing w:after="120"/>
      </w:pPr>
      <w:r>
        <w:t xml:space="preserve">Diese Veröffentlichung stellt auch den Startpunkt der Analyse in </w:t>
      </w:r>
      <w:r w:rsidR="005A0FBB" w:rsidRPr="007564F2">
        <w:t xml:space="preserve">Masiak et al. </w:t>
      </w:r>
      <w:r w:rsidR="00A753DB" w:rsidRPr="00A753DB">
        <w:t xml:space="preserve">(2019) </w:t>
      </w:r>
      <w:r>
        <w:t>dar</w:t>
      </w:r>
      <w:r w:rsidR="00924492">
        <w:t>.</w:t>
      </w:r>
      <w:r>
        <w:rPr>
          <w:rStyle w:val="Funotenzeichen"/>
        </w:rPr>
        <w:footnoteReference w:id="19"/>
      </w:r>
      <w:r>
        <w:t xml:space="preserve"> </w:t>
      </w:r>
      <w:r w:rsidR="00924492">
        <w:t>So gleicht die</w:t>
      </w:r>
      <w:r w:rsidR="00A753DB" w:rsidRPr="00A753DB">
        <w:t xml:space="preserve"> Methodik</w:t>
      </w:r>
      <w:r w:rsidR="00924492">
        <w:t xml:space="preserve"> zur Herleitung der Finanzierungsmuster</w:t>
      </w:r>
      <w:r w:rsidR="00A753DB" w:rsidRPr="00A753DB">
        <w:t xml:space="preserve"> </w:t>
      </w:r>
      <w:r w:rsidR="00924492">
        <w:t>der Vorgehensweise aus</w:t>
      </w:r>
      <w:r>
        <w:t xml:space="preserve"> Moritz et al. (2016).</w:t>
      </w:r>
      <w:r w:rsidR="00777319">
        <w:t xml:space="preserve"> Die Analyse ergab</w:t>
      </w:r>
      <w:r w:rsidR="00735C93">
        <w:t xml:space="preserve"> – ähnlich wie in der vorherigen Literatur –</w:t>
      </w:r>
      <w:r w:rsidR="00777319">
        <w:t>, dass Kleinstunternehmen im Gegensatz zu größeren KMUs häufiger</w:t>
      </w:r>
      <w:r w:rsidR="00735C93">
        <w:t xml:space="preserve"> Innenfinanzierung und kurzfristige Schulden nutzen und dafür seltener Zuschüsse, Lieferantenkredite sowie Asset-basierte Finanzierung</w:t>
      </w:r>
      <w:r w:rsidR="00D84F3D">
        <w:t xml:space="preserve"> verwenden</w:t>
      </w:r>
      <w:r w:rsidR="00735C93">
        <w:t>.</w:t>
      </w:r>
      <w:r w:rsidR="00735C93">
        <w:rPr>
          <w:rStyle w:val="Funotenzeichen"/>
        </w:rPr>
        <w:footnoteReference w:id="20"/>
      </w:r>
    </w:p>
    <w:p w14:paraId="0E33DDA4" w14:textId="77F26A0F" w:rsidR="00AD16F9" w:rsidRDefault="00AD16F9" w:rsidP="001A4E15">
      <w:pPr>
        <w:pStyle w:val="berschrift1"/>
        <w:numPr>
          <w:ilvl w:val="0"/>
          <w:numId w:val="2"/>
        </w:numPr>
      </w:pPr>
      <w:bookmarkStart w:id="10" w:name="_Toc88425821"/>
      <w:bookmarkStart w:id="11" w:name="_Ref88428379"/>
      <w:bookmarkStart w:id="12" w:name="_Ref88429207"/>
      <w:r>
        <w:t>Daten und Methodik</w:t>
      </w:r>
      <w:bookmarkEnd w:id="10"/>
      <w:bookmarkEnd w:id="11"/>
      <w:bookmarkEnd w:id="12"/>
    </w:p>
    <w:p w14:paraId="0DF25906" w14:textId="1CDDB89F" w:rsidR="00CA69F4" w:rsidRDefault="00A427CB" w:rsidP="001A4E15">
      <w:pPr>
        <w:pStyle w:val="berschrift2"/>
        <w:numPr>
          <w:ilvl w:val="1"/>
          <w:numId w:val="3"/>
        </w:numPr>
        <w:spacing w:before="0"/>
        <w:ind w:left="425" w:hanging="425"/>
      </w:pPr>
      <w:bookmarkStart w:id="13" w:name="_Datenquelle_und_Aufbau"/>
      <w:bookmarkStart w:id="14" w:name="_Toc88425822"/>
      <w:bookmarkStart w:id="15" w:name="_Ref88426015"/>
      <w:bookmarkStart w:id="16" w:name="_Ref88426022"/>
      <w:bookmarkStart w:id="17" w:name="_Ref88426028"/>
      <w:bookmarkEnd w:id="13"/>
      <w:r>
        <w:t>Datenquelle und Aufbau der</w:t>
      </w:r>
      <w:r w:rsidR="00CA69F4">
        <w:t xml:space="preserve"> Stichprobe</w:t>
      </w:r>
      <w:bookmarkEnd w:id="14"/>
      <w:bookmarkEnd w:id="15"/>
      <w:bookmarkEnd w:id="16"/>
      <w:bookmarkEnd w:id="17"/>
    </w:p>
    <w:p w14:paraId="7DA1B0B6" w14:textId="2BCC8D74" w:rsidR="00BF464F" w:rsidRPr="007A13E9" w:rsidRDefault="00BF464F" w:rsidP="001A4E15">
      <w:pPr>
        <w:pStyle w:val="Finalberschrift3"/>
        <w:numPr>
          <w:ilvl w:val="1"/>
          <w:numId w:val="11"/>
        </w:numPr>
        <w:spacing w:before="40"/>
      </w:pPr>
      <w:bookmarkStart w:id="18" w:name="_Toc88425823"/>
      <w:r w:rsidRPr="007A13E9">
        <w:t>SAFE Datensatz</w:t>
      </w:r>
      <w:bookmarkEnd w:id="18"/>
    </w:p>
    <w:p w14:paraId="49E66193" w14:textId="78138714" w:rsidR="008C5337" w:rsidRDefault="00A01EAE" w:rsidP="00CE09C8">
      <w:pPr>
        <w:spacing w:after="120"/>
      </w:pPr>
      <w:r>
        <w:t xml:space="preserve">Die </w:t>
      </w:r>
      <w:r w:rsidR="0068378C">
        <w:t xml:space="preserve">SAFE Umfrage der </w:t>
      </w:r>
      <w:r w:rsidR="00792C51">
        <w:t>EZB</w:t>
      </w:r>
      <w:r w:rsidR="0068378C">
        <w:t xml:space="preserve"> und der </w:t>
      </w:r>
      <w:r w:rsidR="00792C51">
        <w:t>EU-</w:t>
      </w:r>
      <w:r w:rsidR="00184210">
        <w:t>Kommission</w:t>
      </w:r>
      <w:r w:rsidR="0068378C">
        <w:t xml:space="preserve"> stellt </w:t>
      </w:r>
      <w:r w:rsidR="000602F9">
        <w:t>den Ausgangspunkt</w:t>
      </w:r>
      <w:r w:rsidR="0068378C">
        <w:t xml:space="preserve"> dieser Arbeit dar.</w:t>
      </w:r>
      <w:r w:rsidR="009E099A">
        <w:t xml:space="preserve"> </w:t>
      </w:r>
      <w:r w:rsidR="005C6B7B">
        <w:t>Ziel dieser Umfrage ist es, Informationen über Finanzierungsbedingungen der KMUs im Vergleich zu Großunternehmen in Europa zur Verfügung zu stellen. Sie</w:t>
      </w:r>
      <w:r w:rsidR="0068378C">
        <w:t xml:space="preserve"> wird seit 2009 halbjährig durchgeführt, </w:t>
      </w:r>
      <w:r w:rsidR="00057D9D">
        <w:t xml:space="preserve">abwechselnd </w:t>
      </w:r>
      <w:r w:rsidR="00F76FA7" w:rsidRPr="00974EBE">
        <w:t xml:space="preserve">einzeln </w:t>
      </w:r>
      <w:r w:rsidR="00057D9D" w:rsidRPr="00974EBE">
        <w:t xml:space="preserve">von der EZB und </w:t>
      </w:r>
      <w:r w:rsidR="00F76FA7" w:rsidRPr="00974EBE">
        <w:t>gemeinsam</w:t>
      </w:r>
      <w:r w:rsidR="003421A2" w:rsidRPr="00974EBE">
        <w:t xml:space="preserve"> in Kooperation</w:t>
      </w:r>
      <w:r w:rsidR="00F76FA7" w:rsidRPr="00974EBE">
        <w:t xml:space="preserve"> mit der</w:t>
      </w:r>
      <w:r w:rsidR="00057D9D" w:rsidRPr="00974EBE">
        <w:t xml:space="preserve"> </w:t>
      </w:r>
      <w:r w:rsidR="00F76FA7" w:rsidRPr="00974EBE">
        <w:t>EU-Kommission</w:t>
      </w:r>
      <w:r w:rsidR="00057D9D">
        <w:t>.</w:t>
      </w:r>
      <w:r w:rsidR="00F76FA7">
        <w:t xml:space="preserve"> Die gemeinsame Runde stellt die umfangreichere Befragung dar und umfasst im Gegensatz zur EZB Runde nicht nur </w:t>
      </w:r>
      <w:r w:rsidR="00F76FA7">
        <w:lastRenderedPageBreak/>
        <w:t xml:space="preserve">Länder innerhalb der Euro-Zone, sondern alle EU-Mitgliedsstaaten </w:t>
      </w:r>
      <w:r w:rsidR="00184210">
        <w:t>zusammen mit</w:t>
      </w:r>
      <w:r w:rsidR="00F76FA7">
        <w:t xml:space="preserve"> einzelne</w:t>
      </w:r>
      <w:r w:rsidR="00184210">
        <w:t>n</w:t>
      </w:r>
      <w:r w:rsidR="00F76FA7">
        <w:t xml:space="preserve"> Nachbarländer</w:t>
      </w:r>
      <w:r w:rsidR="00184210">
        <w:t>n</w:t>
      </w:r>
      <w:r w:rsidR="00586297">
        <w:t xml:space="preserve"> sowie ein</w:t>
      </w:r>
      <w:r w:rsidR="00184210">
        <w:t>en</w:t>
      </w:r>
      <w:r w:rsidR="00586297">
        <w:t xml:space="preserve"> ausführlicheren Fragenkatalog</w:t>
      </w:r>
      <w:r w:rsidR="00F76FA7">
        <w:t>.</w:t>
      </w:r>
      <w:r w:rsidR="00586297">
        <w:rPr>
          <w:rStyle w:val="Funotenzeichen"/>
        </w:rPr>
        <w:footnoteReference w:id="21"/>
      </w:r>
      <w:r w:rsidR="00586297">
        <w:t xml:space="preserve"> </w:t>
      </w:r>
    </w:p>
    <w:p w14:paraId="30D0B07B" w14:textId="2064731C" w:rsidR="000918AF" w:rsidRDefault="00184210" w:rsidP="00CE09C8">
      <w:pPr>
        <w:spacing w:after="120"/>
      </w:pPr>
      <w:r>
        <w:t xml:space="preserve">Die Unternehmen werden </w:t>
      </w:r>
      <w:r w:rsidR="00B551E5">
        <w:t>per Zufallsstichprobe</w:t>
      </w:r>
      <w:r>
        <w:t xml:space="preserve"> </w:t>
      </w:r>
      <w:r w:rsidR="005A0E73">
        <w:t xml:space="preserve">größtenteils </w:t>
      </w:r>
      <w:r>
        <w:t>aus dem Unternehmensregister Dun &amp; Bradstreet ausgewählt</w:t>
      </w:r>
      <w:r w:rsidR="000918AF">
        <w:t>.</w:t>
      </w:r>
      <w:r w:rsidR="005C6B7B" w:rsidRPr="005C6B7B">
        <w:t xml:space="preserve"> </w:t>
      </w:r>
      <w:r w:rsidR="005C6B7B">
        <w:t xml:space="preserve">Dabei </w:t>
      </w:r>
      <w:r w:rsidR="00B551E5">
        <w:t>wurden Interviews mit</w:t>
      </w:r>
      <w:r w:rsidR="005C6B7B">
        <w:t xml:space="preserve"> Manager</w:t>
      </w:r>
      <w:r w:rsidR="004C3C6E">
        <w:t>n</w:t>
      </w:r>
      <w:r w:rsidR="005C6B7B">
        <w:t xml:space="preserve"> auf höchster Führungsebene telefonisch</w:t>
      </w:r>
      <w:r w:rsidR="00B551E5">
        <w:t xml:space="preserve"> oder per Online-Fragebogen</w:t>
      </w:r>
      <w:r w:rsidR="005C6B7B">
        <w:t xml:space="preserve"> </w:t>
      </w:r>
      <w:r w:rsidR="00B551E5">
        <w:t>durchgeführt</w:t>
      </w:r>
      <w:r w:rsidR="005C6B7B">
        <w:t>.</w:t>
      </w:r>
      <w:r w:rsidR="00B551E5">
        <w:t xml:space="preserve"> Die Einteilung der Unternehmen erfolgte </w:t>
      </w:r>
      <w:r w:rsidR="000A1545">
        <w:t xml:space="preserve">nach dem Mitarbeiterkriterium der Definition von KMUs der EU-Kommission. So wird in der Umfrage zwischen </w:t>
      </w:r>
      <w:r w:rsidR="000A1545" w:rsidRPr="009C77BC">
        <w:rPr>
          <w:spacing w:val="-2"/>
        </w:rPr>
        <w:t>Klein</w:t>
      </w:r>
      <w:r w:rsidR="009C77BC" w:rsidRPr="009C77BC">
        <w:rPr>
          <w:spacing w:val="-2"/>
        </w:rPr>
        <w:t>st</w:t>
      </w:r>
      <w:r w:rsidR="000A1545" w:rsidRPr="009C77BC">
        <w:rPr>
          <w:spacing w:val="-2"/>
        </w:rPr>
        <w:t>unternehmen (</w:t>
      </w:r>
      <w:r w:rsidR="00D1312E" w:rsidRPr="009C77BC">
        <w:rPr>
          <w:spacing w:val="-2"/>
        </w:rPr>
        <w:t>&lt;10</w:t>
      </w:r>
      <w:r w:rsidR="000A1545" w:rsidRPr="009C77BC">
        <w:rPr>
          <w:spacing w:val="-2"/>
        </w:rPr>
        <w:t xml:space="preserve"> </w:t>
      </w:r>
      <w:r w:rsidR="00F82041">
        <w:rPr>
          <w:spacing w:val="-2"/>
        </w:rPr>
        <w:t>Beschäftigte</w:t>
      </w:r>
      <w:r w:rsidR="000A1545" w:rsidRPr="009C77BC">
        <w:rPr>
          <w:spacing w:val="-2"/>
        </w:rPr>
        <w:t>), kleinen Unternehmen (</w:t>
      </w:r>
      <w:r w:rsidR="00D1312E" w:rsidRPr="009C77BC">
        <w:rPr>
          <w:spacing w:val="-2"/>
        </w:rPr>
        <w:t xml:space="preserve">&lt;50 </w:t>
      </w:r>
      <w:r w:rsidR="00F82041">
        <w:rPr>
          <w:spacing w:val="-2"/>
        </w:rPr>
        <w:t>Beschäftigte</w:t>
      </w:r>
      <w:r w:rsidR="000A1545" w:rsidRPr="009C77BC">
        <w:rPr>
          <w:spacing w:val="-2"/>
        </w:rPr>
        <w:t>), mittler</w:t>
      </w:r>
      <w:r w:rsidR="009C77BC" w:rsidRPr="009C77BC">
        <w:rPr>
          <w:spacing w:val="-2"/>
        </w:rPr>
        <w:t>en</w:t>
      </w:r>
      <w:r w:rsidR="000A1545">
        <w:t xml:space="preserve"> </w:t>
      </w:r>
      <w:r w:rsidR="000A1545" w:rsidRPr="009C77BC">
        <w:rPr>
          <w:spacing w:val="-2"/>
        </w:rPr>
        <w:t>Unternehmen (</w:t>
      </w:r>
      <w:r w:rsidR="00D1312E" w:rsidRPr="009C77BC">
        <w:rPr>
          <w:spacing w:val="-2"/>
        </w:rPr>
        <w:t xml:space="preserve">&lt;250 </w:t>
      </w:r>
      <w:r w:rsidR="00F82041">
        <w:rPr>
          <w:spacing w:val="-2"/>
        </w:rPr>
        <w:t>Beschäftigte</w:t>
      </w:r>
      <w:r w:rsidR="000A1545" w:rsidRPr="009C77BC">
        <w:rPr>
          <w:spacing w:val="-2"/>
        </w:rPr>
        <w:t>) und Großunternehmen (</w:t>
      </w:r>
      <w:r w:rsidR="00184E20" w:rsidRPr="009C77BC">
        <w:rPr>
          <w:rFonts w:cs="Times New Roman"/>
          <w:spacing w:val="-2"/>
        </w:rPr>
        <w:t>≥</w:t>
      </w:r>
      <w:r w:rsidR="000A1545" w:rsidRPr="009C77BC">
        <w:rPr>
          <w:spacing w:val="-2"/>
        </w:rPr>
        <w:t>250</w:t>
      </w:r>
      <w:r w:rsidR="00184E20" w:rsidRPr="009C77BC">
        <w:rPr>
          <w:spacing w:val="-2"/>
        </w:rPr>
        <w:t xml:space="preserve"> </w:t>
      </w:r>
      <w:r w:rsidR="00F82041">
        <w:rPr>
          <w:spacing w:val="-2"/>
        </w:rPr>
        <w:t>Beschäftigte</w:t>
      </w:r>
      <w:r w:rsidR="000A1545" w:rsidRPr="009C77BC">
        <w:rPr>
          <w:spacing w:val="-2"/>
        </w:rPr>
        <w:t>) unterschieden.</w:t>
      </w:r>
      <w:r w:rsidR="00B551E5" w:rsidRPr="009C77BC">
        <w:rPr>
          <w:rStyle w:val="Funotenzeichen"/>
          <w:spacing w:val="-2"/>
        </w:rPr>
        <w:t xml:space="preserve"> </w:t>
      </w:r>
      <w:r w:rsidR="00B551E5" w:rsidRPr="009C77BC">
        <w:rPr>
          <w:rStyle w:val="Funotenzeichen"/>
          <w:spacing w:val="-2"/>
        </w:rPr>
        <w:footnoteReference w:id="22"/>
      </w:r>
      <w:r w:rsidR="00B551E5">
        <w:t xml:space="preserve"> </w:t>
      </w:r>
    </w:p>
    <w:p w14:paraId="5F09C6C3" w14:textId="704D939D" w:rsidR="00974EBE" w:rsidRDefault="001E766B" w:rsidP="00CE09C8">
      <w:pPr>
        <w:spacing w:after="120"/>
      </w:pPr>
      <w:r>
        <w:t>Die Ergebnisse der Interviews</w:t>
      </w:r>
      <w:r w:rsidR="007145B2">
        <w:t xml:space="preserve"> </w:t>
      </w:r>
      <w:r w:rsidR="002C2FA5">
        <w:t>enthalten</w:t>
      </w:r>
      <w:r w:rsidR="00723C87">
        <w:t xml:space="preserve"> </w:t>
      </w:r>
      <w:r w:rsidR="007145B2">
        <w:t>zum einen</w:t>
      </w:r>
      <w:r w:rsidR="00A01EAE">
        <w:t xml:space="preserve"> Informatione</w:t>
      </w:r>
      <w:r w:rsidR="007145B2">
        <w:t xml:space="preserve">n über die </w:t>
      </w:r>
      <w:r w:rsidR="008C5337">
        <w:t xml:space="preserve">verwendeten </w:t>
      </w:r>
      <w:r w:rsidR="002C2FA5">
        <w:t>Finanzierungsquellen</w:t>
      </w:r>
      <w:r w:rsidR="008C5337">
        <w:t xml:space="preserve"> </w:t>
      </w:r>
      <w:r w:rsidR="00D762E1">
        <w:t>der</w:t>
      </w:r>
      <w:r w:rsidR="008C5337">
        <w:t xml:space="preserve"> letzten sechs Monate</w:t>
      </w:r>
      <w:r w:rsidR="00D762E1">
        <w:t>,</w:t>
      </w:r>
      <w:r w:rsidR="007145B2">
        <w:t xml:space="preserve"> </w:t>
      </w:r>
      <w:r w:rsidR="009855C5">
        <w:t>nach denen die Clusteranalyse erfolgt</w:t>
      </w:r>
      <w:r w:rsidR="007145B2">
        <w:t xml:space="preserve">, </w:t>
      </w:r>
      <w:r w:rsidR="009855C5">
        <w:t>zum anderen</w:t>
      </w:r>
      <w:r w:rsidR="00A01EAE">
        <w:t xml:space="preserve"> </w:t>
      </w:r>
      <w:r w:rsidR="007145B2">
        <w:t>u</w:t>
      </w:r>
      <w:r w:rsidR="00A01EAE">
        <w:t>nternehmensspezifische Daten</w:t>
      </w:r>
      <w:r w:rsidR="007145B2">
        <w:t>.</w:t>
      </w:r>
      <w:r w:rsidR="00305C11">
        <w:t xml:space="preserve"> </w:t>
      </w:r>
      <w:r w:rsidR="008C1F3B">
        <w:t>Darunter</w:t>
      </w:r>
      <w:r w:rsidR="00305C11">
        <w:t xml:space="preserve"> </w:t>
      </w:r>
      <w:r w:rsidR="0042625E">
        <w:t>standen</w:t>
      </w:r>
      <w:r w:rsidR="008C1F3B">
        <w:t xml:space="preserve"> den Befragten folgende zehn Finanzierungsquellen</w:t>
      </w:r>
      <w:r w:rsidR="0042625E">
        <w:t xml:space="preserve"> zur Auswahl</w:t>
      </w:r>
      <w:r w:rsidR="00305C11">
        <w:t>:</w:t>
      </w:r>
      <w:r w:rsidR="008C1F3B">
        <w:t xml:space="preserve"> 1. </w:t>
      </w:r>
      <w:r w:rsidR="00305C11" w:rsidRPr="00827C4D">
        <w:rPr>
          <w:i/>
          <w:iCs/>
        </w:rPr>
        <w:t>Gewinnthesaurierung und Vermögens</w:t>
      </w:r>
      <w:r w:rsidR="008C1F3B" w:rsidRPr="00827C4D">
        <w:rPr>
          <w:i/>
          <w:iCs/>
        </w:rPr>
        <w:t>-</w:t>
      </w:r>
      <w:r w:rsidR="00305C11" w:rsidRPr="00827C4D">
        <w:rPr>
          <w:i/>
          <w:iCs/>
        </w:rPr>
        <w:t>umschichtung</w:t>
      </w:r>
      <w:r w:rsidR="008C1F3B">
        <w:t>, 2.</w:t>
      </w:r>
      <w:r w:rsidR="00305C11" w:rsidRPr="008C1F3B">
        <w:t xml:space="preserve"> </w:t>
      </w:r>
      <w:r w:rsidR="00305C11" w:rsidRPr="00827C4D">
        <w:rPr>
          <w:i/>
          <w:iCs/>
        </w:rPr>
        <w:t>Zuschüsse und subventionierte Bankdarlehen</w:t>
      </w:r>
      <w:r w:rsidR="008C1F3B">
        <w:t>, 3.</w:t>
      </w:r>
      <w:r w:rsidR="00305C11" w:rsidRPr="008C1F3B">
        <w:t xml:space="preserve"> </w:t>
      </w:r>
      <w:r w:rsidR="00305C11" w:rsidRPr="00827C4D">
        <w:rPr>
          <w:i/>
          <w:iCs/>
        </w:rPr>
        <w:t>Kreditlinien, Überziehung von Bankkonten und Kreditkarten</w:t>
      </w:r>
      <w:r w:rsidR="008C1F3B">
        <w:t>, 4.</w:t>
      </w:r>
      <w:r w:rsidR="00305C11" w:rsidRPr="008C1F3B">
        <w:t xml:space="preserve"> </w:t>
      </w:r>
      <w:r w:rsidR="00305C11" w:rsidRPr="00827C4D">
        <w:rPr>
          <w:i/>
          <w:iCs/>
        </w:rPr>
        <w:t>Bankdarlehen</w:t>
      </w:r>
      <w:r w:rsidR="008C1F3B">
        <w:t>, 5.</w:t>
      </w:r>
      <w:r w:rsidR="00305C11" w:rsidRPr="008C1F3B">
        <w:t xml:space="preserve"> </w:t>
      </w:r>
      <w:r w:rsidR="00305C11" w:rsidRPr="00827C4D">
        <w:rPr>
          <w:i/>
          <w:iCs/>
        </w:rPr>
        <w:t>Lieferantenkredite</w:t>
      </w:r>
      <w:r w:rsidR="008C1F3B">
        <w:t xml:space="preserve">, 6. </w:t>
      </w:r>
      <w:r w:rsidR="00336206">
        <w:rPr>
          <w:i/>
          <w:iCs/>
        </w:rPr>
        <w:t>a</w:t>
      </w:r>
      <w:r w:rsidR="00305C11" w:rsidRPr="00827C4D">
        <w:rPr>
          <w:i/>
          <w:iCs/>
        </w:rPr>
        <w:t>ndere Darlehen</w:t>
      </w:r>
      <w:r w:rsidR="00F66469">
        <w:rPr>
          <w:i/>
          <w:iCs/>
        </w:rPr>
        <w:t>,</w:t>
      </w:r>
      <w:r w:rsidR="00F66469" w:rsidRPr="00F66469">
        <w:rPr>
          <w:rStyle w:val="Funotenzeichen"/>
        </w:rPr>
        <w:footnoteReference w:id="23"/>
      </w:r>
      <w:r w:rsidR="008C1F3B" w:rsidRPr="00F66469">
        <w:t xml:space="preserve"> </w:t>
      </w:r>
      <w:r w:rsidR="008C1F3B">
        <w:t>7.</w:t>
      </w:r>
      <w:r w:rsidR="00305C11" w:rsidRPr="008C1F3B">
        <w:t xml:space="preserve"> </w:t>
      </w:r>
      <w:r w:rsidR="00305C11" w:rsidRPr="00827C4D">
        <w:rPr>
          <w:i/>
          <w:iCs/>
        </w:rPr>
        <w:t>Schuldverschreibungen</w:t>
      </w:r>
      <w:r w:rsidR="008C1F3B">
        <w:t>, 8.</w:t>
      </w:r>
      <w:r w:rsidR="00305C11" w:rsidRPr="008C1F3B">
        <w:t xml:space="preserve"> </w:t>
      </w:r>
      <w:r w:rsidR="00305C11" w:rsidRPr="00827C4D">
        <w:rPr>
          <w:i/>
          <w:iCs/>
        </w:rPr>
        <w:t>Eigenkapital</w:t>
      </w:r>
      <w:r w:rsidR="008C1F3B">
        <w:t>, 9.</w:t>
      </w:r>
      <w:r w:rsidR="00305C11" w:rsidRPr="008C1F3B">
        <w:t xml:space="preserve"> </w:t>
      </w:r>
      <w:r w:rsidR="00305C11" w:rsidRPr="00827C4D">
        <w:rPr>
          <w:i/>
          <w:iCs/>
        </w:rPr>
        <w:t xml:space="preserve">Leasing, Ratenkauf </w:t>
      </w:r>
      <w:r w:rsidR="00305C11" w:rsidRPr="00C166FA">
        <w:rPr>
          <w:i/>
          <w:iCs/>
          <w:spacing w:val="-4"/>
        </w:rPr>
        <w:t>und Factoring</w:t>
      </w:r>
      <w:r w:rsidR="00F66469" w:rsidRPr="00C166FA">
        <w:rPr>
          <w:i/>
          <w:iCs/>
          <w:spacing w:val="-4"/>
        </w:rPr>
        <w:t>,</w:t>
      </w:r>
      <w:r w:rsidR="00F66469" w:rsidRPr="00C166FA">
        <w:rPr>
          <w:rStyle w:val="Funotenzeichen"/>
          <w:spacing w:val="-4"/>
        </w:rPr>
        <w:footnoteReference w:id="24"/>
      </w:r>
      <w:r w:rsidR="008C1F3B" w:rsidRPr="00C166FA">
        <w:rPr>
          <w:spacing w:val="-4"/>
        </w:rPr>
        <w:t xml:space="preserve"> 10. </w:t>
      </w:r>
      <w:r w:rsidR="00336206" w:rsidRPr="00C166FA">
        <w:rPr>
          <w:i/>
          <w:iCs/>
          <w:spacing w:val="-4"/>
        </w:rPr>
        <w:t>a</w:t>
      </w:r>
      <w:r w:rsidR="00305C11" w:rsidRPr="00C166FA">
        <w:rPr>
          <w:i/>
          <w:iCs/>
          <w:spacing w:val="-4"/>
        </w:rPr>
        <w:t>ndere Finanzierungsquellen</w:t>
      </w:r>
      <w:r w:rsidR="00F66469" w:rsidRPr="00C166FA">
        <w:rPr>
          <w:i/>
          <w:iCs/>
          <w:spacing w:val="-4"/>
        </w:rPr>
        <w:t>.</w:t>
      </w:r>
      <w:r w:rsidR="00F66469" w:rsidRPr="00C166FA">
        <w:rPr>
          <w:rStyle w:val="Funotenzeichen"/>
          <w:spacing w:val="-4"/>
        </w:rPr>
        <w:footnoteReference w:id="25"/>
      </w:r>
      <w:r w:rsidR="00827C4D" w:rsidRPr="00C166FA">
        <w:rPr>
          <w:rFonts w:cs="Times New Roman"/>
          <w:spacing w:val="-4"/>
          <w:szCs w:val="24"/>
        </w:rPr>
        <w:t xml:space="preserve"> </w:t>
      </w:r>
      <w:r w:rsidR="00827C4D" w:rsidRPr="00C166FA">
        <w:rPr>
          <w:spacing w:val="-4"/>
        </w:rPr>
        <w:t>Um Unternehmen zu berücksichtig</w:t>
      </w:r>
      <w:r w:rsidR="00C166FA" w:rsidRPr="00C166FA">
        <w:rPr>
          <w:spacing w:val="-4"/>
        </w:rPr>
        <w:t>en</w:t>
      </w:r>
      <w:r w:rsidR="00827C4D" w:rsidRPr="00C166FA">
        <w:rPr>
          <w:spacing w:val="-4"/>
        </w:rPr>
        <w:t>,</w:t>
      </w:r>
      <w:r w:rsidR="00827C4D">
        <w:t xml:space="preserve"> welche keine der oben </w:t>
      </w:r>
      <w:r w:rsidR="00A370D5">
        <w:t>aufgeführten</w:t>
      </w:r>
      <w:r w:rsidR="00827C4D">
        <w:t xml:space="preserve"> Finanzierungsquellen </w:t>
      </w:r>
      <w:r w:rsidR="00E26196">
        <w:t>in den letzten sechs Monaten verwendet haben</w:t>
      </w:r>
      <w:r w:rsidR="00827C4D">
        <w:t xml:space="preserve">, wurde eine elfte </w:t>
      </w:r>
      <w:r w:rsidR="00E26196">
        <w:t xml:space="preserve">Variable </w:t>
      </w:r>
      <w:r w:rsidR="00E26196" w:rsidRPr="00E26196">
        <w:rPr>
          <w:i/>
          <w:iCs/>
        </w:rPr>
        <w:t>Innenfinanzierung</w:t>
      </w:r>
      <w:r w:rsidR="00E26196">
        <w:t xml:space="preserve"> hinzugefügt</w:t>
      </w:r>
      <w:r w:rsidR="00A370D5">
        <w:t xml:space="preserve">. Darunter fallen alle Unternehmen, welche weder </w:t>
      </w:r>
      <w:r w:rsidR="00A370D5">
        <w:rPr>
          <w:szCs w:val="24"/>
        </w:rPr>
        <w:t xml:space="preserve">auf externe Finanzierungsquellen noch auf </w:t>
      </w:r>
      <w:r w:rsidR="00A370D5" w:rsidRPr="00C8395F">
        <w:rPr>
          <w:i/>
          <w:iCs/>
          <w:szCs w:val="24"/>
        </w:rPr>
        <w:t>Gewinnthesaurierung und Vermögensumschichtung</w:t>
      </w:r>
      <w:r w:rsidR="00A370D5">
        <w:rPr>
          <w:szCs w:val="24"/>
        </w:rPr>
        <w:t xml:space="preserve"> zurückgegriffen haben.</w:t>
      </w:r>
    </w:p>
    <w:p w14:paraId="7AAD4188" w14:textId="338D4BA7" w:rsidR="00A01EAE" w:rsidRDefault="00305C11" w:rsidP="00CE09C8">
      <w:pPr>
        <w:spacing w:after="120"/>
      </w:pPr>
      <w:r>
        <w:t>Die unternehmensspezifischen Daten</w:t>
      </w:r>
      <w:r w:rsidR="007145B2">
        <w:t xml:space="preserve"> beinhal</w:t>
      </w:r>
      <w:r w:rsidR="00D762E1">
        <w:t>ten</w:t>
      </w:r>
      <w:r w:rsidR="007145B2">
        <w:t xml:space="preserve"> unter anderem Unternehmensgröße, Unternehmensalter, </w:t>
      </w:r>
      <w:r w:rsidR="009855C5">
        <w:t>G</w:t>
      </w:r>
      <w:r w:rsidR="009855C5" w:rsidRPr="009855C5">
        <w:t>esellschafterstruktur</w:t>
      </w:r>
      <w:r w:rsidR="009855C5">
        <w:t xml:space="preserve">, </w:t>
      </w:r>
      <w:r w:rsidR="009E2D6D" w:rsidRPr="009E2D6D">
        <w:t>Innovationstätigkeit</w:t>
      </w:r>
      <w:r w:rsidR="009855C5">
        <w:t xml:space="preserve">, </w:t>
      </w:r>
      <w:r w:rsidR="00E92C41" w:rsidRPr="00E92C41">
        <w:t>Branche</w:t>
      </w:r>
      <w:r w:rsidR="009855C5">
        <w:t xml:space="preserve">, Zugang zu Finanzierungsmitteln sowie Gewinn-, Umsatz und Kapitalwachstum. Diese </w:t>
      </w:r>
      <w:r w:rsidR="00DD32EA">
        <w:t>stellen</w:t>
      </w:r>
      <w:r w:rsidR="009855C5">
        <w:t xml:space="preserve"> </w:t>
      </w:r>
      <w:r w:rsidR="00DD32EA">
        <w:t>im späteren</w:t>
      </w:r>
      <w:r w:rsidR="009855C5">
        <w:t xml:space="preserve"> </w:t>
      </w:r>
      <w:r w:rsidR="00DD32EA">
        <w:t>R</w:t>
      </w:r>
      <w:r w:rsidR="00DD32EA" w:rsidRPr="00DD32EA">
        <w:t xml:space="preserve">egressionsmodell </w:t>
      </w:r>
      <w:r w:rsidR="00DD32EA">
        <w:t>die</w:t>
      </w:r>
      <w:r w:rsidR="009855C5">
        <w:t xml:space="preserve"> </w:t>
      </w:r>
      <w:r w:rsidR="00DD32EA">
        <w:t>unabhängigen Variablen (Unternehmensgröße) sowie die Kontrollvariablen (restliche Variablen) dar.</w:t>
      </w:r>
      <w:r w:rsidR="00394C30">
        <w:t xml:space="preserve"> Diese werden in Abschnitt </w:t>
      </w:r>
      <w:r w:rsidR="002E3109">
        <w:fldChar w:fldCharType="begin"/>
      </w:r>
      <w:r w:rsidR="002E3109">
        <w:instrText xml:space="preserve"> REF _Ref88425980 \r \h </w:instrText>
      </w:r>
      <w:r w:rsidR="002E3109">
        <w:fldChar w:fldCharType="separate"/>
      </w:r>
      <w:r w:rsidR="00285390">
        <w:t>3.3.4</w:t>
      </w:r>
      <w:r w:rsidR="002E3109">
        <w:fldChar w:fldCharType="end"/>
      </w:r>
      <w:r w:rsidR="002E3109">
        <w:t xml:space="preserve"> </w:t>
      </w:r>
      <w:r w:rsidR="00394C30">
        <w:t>näher erläutert.</w:t>
      </w:r>
    </w:p>
    <w:p w14:paraId="4948ADB2" w14:textId="4E3D9094" w:rsidR="001915EF" w:rsidRPr="007A13E9" w:rsidRDefault="001915EF" w:rsidP="001A4E15">
      <w:pPr>
        <w:pStyle w:val="Finalberschrift3"/>
        <w:numPr>
          <w:ilvl w:val="1"/>
          <w:numId w:val="11"/>
        </w:numPr>
      </w:pPr>
      <w:bookmarkStart w:id="19" w:name="_Toc88425824"/>
      <w:r>
        <w:lastRenderedPageBreak/>
        <w:t>Auswahl des Stichprobenzeitraums</w:t>
      </w:r>
      <w:bookmarkEnd w:id="19"/>
    </w:p>
    <w:p w14:paraId="6B39E864" w14:textId="5DBC5802" w:rsidR="00630C60" w:rsidRDefault="00630C60" w:rsidP="00CE09C8">
      <w:pPr>
        <w:spacing w:after="120"/>
        <w:rPr>
          <w:color w:val="000000"/>
        </w:rPr>
      </w:pPr>
      <w:r>
        <w:rPr>
          <w:color w:val="000000"/>
        </w:rPr>
        <w:t>Im Zuge der COVID-19 Pandemie ist es unter anderem global zu Schließungen von Betrieben, Unterbrechungen von Produktionsstätten und Lieferketten und damit einhergehend dem Einbruch von Erlösen gekommen, die zu erhöhten Insolvenzen führten.</w:t>
      </w:r>
      <w:r>
        <w:rPr>
          <w:rStyle w:val="Funotenzeichen"/>
          <w:color w:val="000000"/>
        </w:rPr>
        <w:footnoteReference w:id="26"/>
      </w:r>
      <w:r>
        <w:rPr>
          <w:color w:val="000000"/>
        </w:rPr>
        <w:t xml:space="preserve"> Didier et al. (2021</w:t>
      </w:r>
      <w:r w:rsidR="00B67C85">
        <w:rPr>
          <w:color w:val="000000"/>
        </w:rPr>
        <w:t>: 7</w:t>
      </w:r>
      <w:r>
        <w:rPr>
          <w:color w:val="000000"/>
        </w:rPr>
        <w:t>) argumentier</w:t>
      </w:r>
      <w:r w:rsidR="00E4292B">
        <w:rPr>
          <w:color w:val="000000"/>
        </w:rPr>
        <w:t>t</w:t>
      </w:r>
      <w:r>
        <w:rPr>
          <w:color w:val="000000"/>
        </w:rPr>
        <w:t>, dass diese Auswirkungen zu einem Finanzierungsbedarf jeglicher betroffenen Unternehmen führten und politische Interventionen notwendig wurden. Letztere beinhalten beispielsweise Rückzahlungs</w:t>
      </w:r>
      <w:r w:rsidR="00C245FD">
        <w:rPr>
          <w:color w:val="000000"/>
        </w:rPr>
        <w:t>-</w:t>
      </w:r>
      <w:r>
        <w:rPr>
          <w:color w:val="000000"/>
        </w:rPr>
        <w:t>stundungen für Kredite und das Einfrieren von Kredit-Klassifizierung auf das Niveau vor der Pandemie. Außerdem wurden Zinssätze durch Zentralbanken gesenkt, der regulatorisch</w:t>
      </w:r>
      <w:r w:rsidR="00C245FD">
        <w:rPr>
          <w:color w:val="000000"/>
        </w:rPr>
        <w:t xml:space="preserve"> </w:t>
      </w:r>
      <w:r>
        <w:rPr>
          <w:color w:val="000000"/>
        </w:rPr>
        <w:t>festgelegte Kapitalbedarf von Finanzinstituten reduziert oder es fand ein großflächiger Kauf von Kreditportfolios durch den Staat statt.</w:t>
      </w:r>
      <w:r w:rsidR="00DF353E" w:rsidRPr="00DF353E">
        <w:rPr>
          <w:rStyle w:val="Funotenzeichen"/>
          <w:color w:val="000000"/>
        </w:rPr>
        <w:t xml:space="preserve"> </w:t>
      </w:r>
      <w:r w:rsidR="00DF353E">
        <w:rPr>
          <w:rStyle w:val="Funotenzeichen"/>
          <w:color w:val="000000"/>
        </w:rPr>
        <w:footnoteReference w:id="27"/>
      </w:r>
      <w:r w:rsidR="00DF353E">
        <w:rPr>
          <w:color w:val="000000"/>
        </w:rPr>
        <w:t xml:space="preserve"> </w:t>
      </w:r>
      <w:r>
        <w:rPr>
          <w:color w:val="000000"/>
        </w:rPr>
        <w:t xml:space="preserve"> Einige Länder stellten, insbesondere für KMUs, Kreditgarantien bereit.</w:t>
      </w:r>
      <w:r>
        <w:rPr>
          <w:rStyle w:val="Funotenzeichen"/>
          <w:color w:val="000000"/>
        </w:rPr>
        <w:footnoteReference w:id="28"/>
      </w:r>
      <w:r>
        <w:rPr>
          <w:color w:val="000000"/>
        </w:rPr>
        <w:t xml:space="preserve"> Steuerstundungen stellten ebenfalls eine Maßnahme zur Deckung des Erlösrückgangs der Unternehmen dar.</w:t>
      </w:r>
      <w:r>
        <w:rPr>
          <w:rStyle w:val="Funotenzeichen"/>
          <w:color w:val="000000"/>
        </w:rPr>
        <w:footnoteReference w:id="29"/>
      </w:r>
      <w:r>
        <w:rPr>
          <w:color w:val="000000"/>
        </w:rPr>
        <w:t xml:space="preserve"> Somit ist festzustellen, dass die Pandemie erhebliche Auswirklungen auf den Finanzierungsbedarf der Unternehmen seit Pandemiebeginn hat. Daher wird in der folgenden Analyse die letzte Umfrage der gemeinsamen Runde (2019H1) vor der COVID-19-Pandemie mit dem Referenzzeitraum April bis September 2019</w:t>
      </w:r>
      <w:r w:rsidR="0010126E" w:rsidRPr="0010126E">
        <w:rPr>
          <w:color w:val="000000"/>
        </w:rPr>
        <w:t xml:space="preserve"> </w:t>
      </w:r>
      <w:r w:rsidR="0010126E">
        <w:rPr>
          <w:color w:val="000000"/>
        </w:rPr>
        <w:t>verwendet</w:t>
      </w:r>
      <w:r>
        <w:rPr>
          <w:color w:val="000000"/>
        </w:rPr>
        <w:t>, um Effekte auszuschließen, die der gesonderten Situation geschuldet sind und gegebenenfalls nicht repräsentativ für nicht-Krisensituationen sind.</w:t>
      </w:r>
    </w:p>
    <w:p w14:paraId="71E270B7" w14:textId="303EB5D4" w:rsidR="00EC1D94" w:rsidRDefault="00EC1D94" w:rsidP="001A4E15">
      <w:pPr>
        <w:pStyle w:val="Finalberschrift3"/>
        <w:numPr>
          <w:ilvl w:val="1"/>
          <w:numId w:val="11"/>
        </w:numPr>
      </w:pPr>
      <w:bookmarkStart w:id="20" w:name="_Toc88425825"/>
      <w:r>
        <w:t xml:space="preserve">Aufbau der Stichprobe </w:t>
      </w:r>
      <w:r w:rsidRPr="00F52CF9">
        <w:t>und deskriptive Statistiken</w:t>
      </w:r>
      <w:bookmarkEnd w:id="20"/>
    </w:p>
    <w:p w14:paraId="0F42AC41" w14:textId="3359C555" w:rsidR="00CC294E" w:rsidRDefault="00723C87" w:rsidP="00CE09C8">
      <w:pPr>
        <w:spacing w:after="120"/>
      </w:pPr>
      <w:r>
        <w:t xml:space="preserve">Die Stichprobenauswahl ist in </w:t>
      </w:r>
      <w:r w:rsidR="00E0133F">
        <w:t xml:space="preserve">Anhang </w:t>
      </w:r>
      <w:r w:rsidR="001426B1">
        <w:t>B</w:t>
      </w:r>
      <w:r w:rsidR="00E0133F">
        <w:t>.1</w:t>
      </w:r>
      <w:r>
        <w:t xml:space="preserve"> dargestellt. </w:t>
      </w:r>
      <w:r w:rsidR="001E766B">
        <w:t xml:space="preserve">Der ursprüngliche Datensatz der </w:t>
      </w:r>
      <w:r>
        <w:t>SAFE Umfrage</w:t>
      </w:r>
      <w:r w:rsidR="003C5E43">
        <w:t xml:space="preserve"> 2019H1 </w:t>
      </w:r>
      <w:r>
        <w:t>beinhaltet</w:t>
      </w:r>
      <w:r w:rsidR="001E766B">
        <w:t xml:space="preserve"> </w:t>
      </w:r>
      <w:r w:rsidR="00CB084A">
        <w:t xml:space="preserve">18.159 </w:t>
      </w:r>
      <w:r>
        <w:t xml:space="preserve">Unternehmen aus </w:t>
      </w:r>
      <w:r w:rsidR="00CB084A">
        <w:t>36</w:t>
      </w:r>
      <w:r>
        <w:t xml:space="preserve"> europäischen </w:t>
      </w:r>
      <w:r w:rsidR="007F1C08">
        <w:t>Ländern</w:t>
      </w:r>
      <w:r>
        <w:t xml:space="preserve">. Zunächst </w:t>
      </w:r>
      <w:r w:rsidR="00E85BD5">
        <w:t>erfolgt</w:t>
      </w:r>
      <w:r>
        <w:t xml:space="preserve"> </w:t>
      </w:r>
      <w:r w:rsidR="00E85BD5">
        <w:t xml:space="preserve">die Länderauswahl, indem alle </w:t>
      </w:r>
      <w:r w:rsidR="00E0133F">
        <w:t xml:space="preserve">damaligen </w:t>
      </w:r>
      <w:r w:rsidR="00157116">
        <w:t>2</w:t>
      </w:r>
      <w:r w:rsidR="00E0133F">
        <w:t>8</w:t>
      </w:r>
      <w:r w:rsidR="00157116">
        <w:t xml:space="preserve"> </w:t>
      </w:r>
      <w:r w:rsidR="00A45099">
        <w:t xml:space="preserve">EU-Mitgliedsstaaten </w:t>
      </w:r>
      <w:r w:rsidR="00524226">
        <w:t>(</w:t>
      </w:r>
      <w:r w:rsidR="00E0133F">
        <w:t>inklusive</w:t>
      </w:r>
      <w:r w:rsidR="00157116">
        <w:t xml:space="preserve"> UK</w:t>
      </w:r>
      <w:r w:rsidR="00524226">
        <w:t>)</w:t>
      </w:r>
      <w:r w:rsidR="00FA25C3">
        <w:t xml:space="preserve"> </w:t>
      </w:r>
      <w:r w:rsidR="00157116">
        <w:t>beibehalten werden.</w:t>
      </w:r>
      <w:r w:rsidR="00A45099">
        <w:rPr>
          <w:rStyle w:val="Funotenzeichen"/>
        </w:rPr>
        <w:footnoteReference w:id="30"/>
      </w:r>
      <w:r w:rsidR="00157116">
        <w:t xml:space="preserve"> Nachdem Großunternehmen und Unternehmen mit fehlenden Einträgen entfernt werden</w:t>
      </w:r>
      <w:r w:rsidR="006556F5">
        <w:t xml:space="preserve"> und die </w:t>
      </w:r>
      <w:r w:rsidR="00DB7DBE">
        <w:t>kategorischen</w:t>
      </w:r>
      <w:r w:rsidR="000D7896">
        <w:t xml:space="preserve"> Variablen</w:t>
      </w:r>
      <w:r w:rsidR="00DB7DBE">
        <w:t xml:space="preserve"> </w:t>
      </w:r>
      <w:r w:rsidR="006556F5">
        <w:t xml:space="preserve">in </w:t>
      </w:r>
      <w:r w:rsidR="00DB7DBE">
        <w:t>B</w:t>
      </w:r>
      <w:r w:rsidR="006556F5">
        <w:t>inäre um</w:t>
      </w:r>
      <w:r w:rsidR="00C20A23">
        <w:t>codie</w:t>
      </w:r>
      <w:r w:rsidR="006556F5">
        <w:t>rt werden</w:t>
      </w:r>
      <w:r w:rsidR="00157116">
        <w:t xml:space="preserve">, verbleiben im finalen Datensatz 12.578 Unternehmen. Dabei </w:t>
      </w:r>
      <w:r w:rsidR="00460590">
        <w:t>stammen die meisten Unternehmen aus</w:t>
      </w:r>
      <w:r w:rsidR="00157116">
        <w:t xml:space="preserve"> Deutschland (9,7%), Italien (8,7%), Frankreich (8,5%), UK (8,2%) und Spanien (8,2%)</w:t>
      </w:r>
      <w:r w:rsidR="00460590">
        <w:t>.</w:t>
      </w:r>
      <w:r w:rsidR="00E0133F">
        <w:rPr>
          <w:rStyle w:val="Funotenzeichen"/>
        </w:rPr>
        <w:footnoteReference w:id="31"/>
      </w:r>
      <w:r w:rsidR="007F1C08">
        <w:t xml:space="preserve"> </w:t>
      </w:r>
    </w:p>
    <w:p w14:paraId="2C56B500" w14:textId="1D893472" w:rsidR="007A3C4B" w:rsidRPr="000C566C" w:rsidRDefault="004F209B" w:rsidP="00CE09C8">
      <w:pPr>
        <w:spacing w:after="120"/>
        <w:rPr>
          <w:spacing w:val="-2"/>
        </w:rPr>
      </w:pPr>
      <w:r w:rsidRPr="000C566C">
        <w:rPr>
          <w:spacing w:val="-2"/>
        </w:rPr>
        <w:lastRenderedPageBreak/>
        <w:t>Die</w:t>
      </w:r>
      <w:r w:rsidR="007F1C08" w:rsidRPr="000C566C">
        <w:rPr>
          <w:spacing w:val="-2"/>
        </w:rPr>
        <w:t xml:space="preserve"> Verteilung </w:t>
      </w:r>
      <w:r w:rsidR="007F1C08" w:rsidRPr="000C566C">
        <w:rPr>
          <w:spacing w:val="-4"/>
        </w:rPr>
        <w:t>der Unternehmen nach Unternehmensgröße in der Stichprobe</w:t>
      </w:r>
      <w:r w:rsidRPr="000C566C">
        <w:rPr>
          <w:spacing w:val="-4"/>
        </w:rPr>
        <w:t xml:space="preserve"> </w:t>
      </w:r>
      <w:r w:rsidR="007F1C08" w:rsidRPr="000C566C">
        <w:rPr>
          <w:spacing w:val="-2"/>
        </w:rPr>
        <w:t xml:space="preserve">unterscheidet sich signifikant von der </w:t>
      </w:r>
      <w:r w:rsidR="00636BEA" w:rsidRPr="000C566C">
        <w:rPr>
          <w:spacing w:val="-2"/>
        </w:rPr>
        <w:t>Grundgesamtheit</w:t>
      </w:r>
      <w:r w:rsidR="007F1C08" w:rsidRPr="000C566C">
        <w:rPr>
          <w:spacing w:val="-2"/>
        </w:rPr>
        <w:t xml:space="preserve">, dargestellt </w:t>
      </w:r>
      <w:r w:rsidR="00636BEA" w:rsidRPr="000C566C">
        <w:rPr>
          <w:spacing w:val="-2"/>
        </w:rPr>
        <w:t xml:space="preserve">in </w:t>
      </w:r>
      <w:r w:rsidR="00BE7FCE" w:rsidRPr="000C566C">
        <w:rPr>
          <w:spacing w:val="-2"/>
        </w:rPr>
        <w:t xml:space="preserve">Anhang </w:t>
      </w:r>
      <w:r w:rsidRPr="000C566C">
        <w:rPr>
          <w:spacing w:val="-2"/>
        </w:rPr>
        <w:t xml:space="preserve">A.1 und </w:t>
      </w:r>
      <w:r w:rsidR="00BE7FCE" w:rsidRPr="000C566C">
        <w:rPr>
          <w:spacing w:val="-2"/>
        </w:rPr>
        <w:t>A.2</w:t>
      </w:r>
      <w:r w:rsidR="00EC6EB8" w:rsidRPr="000C566C">
        <w:rPr>
          <w:spacing w:val="-2"/>
        </w:rPr>
        <w:t>.</w:t>
      </w:r>
      <w:r w:rsidR="0018071F" w:rsidRPr="000C566C">
        <w:rPr>
          <w:spacing w:val="-2"/>
        </w:rPr>
        <w:t xml:space="preserve"> Während </w:t>
      </w:r>
      <w:r w:rsidR="00F52CF9" w:rsidRPr="000C566C">
        <w:rPr>
          <w:spacing w:val="-2"/>
        </w:rPr>
        <w:t xml:space="preserve">die Kleinstunternehmen </w:t>
      </w:r>
      <w:r w:rsidR="0018071F" w:rsidRPr="000C566C">
        <w:rPr>
          <w:spacing w:val="-2"/>
        </w:rPr>
        <w:t>in der EU</w:t>
      </w:r>
      <w:r w:rsidR="00BE7FCE" w:rsidRPr="000C566C">
        <w:rPr>
          <w:spacing w:val="-2"/>
        </w:rPr>
        <w:t xml:space="preserve"> mit einem Anteil von 93,2%</w:t>
      </w:r>
      <w:r w:rsidR="0018071F" w:rsidRPr="000C566C">
        <w:rPr>
          <w:spacing w:val="-2"/>
        </w:rPr>
        <w:t xml:space="preserve"> die große Mehrheit ausmachen, </w:t>
      </w:r>
      <w:r w:rsidR="00BE7FCE" w:rsidRPr="000C566C">
        <w:rPr>
          <w:spacing w:val="-2"/>
        </w:rPr>
        <w:t>stellen</w:t>
      </w:r>
      <w:r w:rsidR="0018071F" w:rsidRPr="000C566C">
        <w:rPr>
          <w:spacing w:val="-2"/>
        </w:rPr>
        <w:t xml:space="preserve"> diese in der</w:t>
      </w:r>
      <w:r w:rsidR="00F52CF9" w:rsidRPr="000C566C">
        <w:rPr>
          <w:spacing w:val="-2"/>
        </w:rPr>
        <w:t xml:space="preserve"> Stichprobe </w:t>
      </w:r>
      <w:r w:rsidR="0018071F" w:rsidRPr="000C566C">
        <w:rPr>
          <w:spacing w:val="-2"/>
        </w:rPr>
        <w:t>nur 37,9</w:t>
      </w:r>
      <w:r w:rsidR="00F52CF9" w:rsidRPr="000C566C">
        <w:rPr>
          <w:spacing w:val="-2"/>
        </w:rPr>
        <w:t>%</w:t>
      </w:r>
      <w:r w:rsidR="00BE7FCE" w:rsidRPr="000C566C">
        <w:rPr>
          <w:spacing w:val="-2"/>
        </w:rPr>
        <w:t xml:space="preserve"> aller Unternehmen dar</w:t>
      </w:r>
      <w:r w:rsidR="0018071F" w:rsidRPr="000C566C">
        <w:rPr>
          <w:spacing w:val="-2"/>
        </w:rPr>
        <w:t xml:space="preserve">. </w:t>
      </w:r>
      <w:r w:rsidR="00F52CF9" w:rsidRPr="000C566C">
        <w:rPr>
          <w:spacing w:val="-2"/>
        </w:rPr>
        <w:t xml:space="preserve"> </w:t>
      </w:r>
      <w:r w:rsidR="00FB31ED" w:rsidRPr="000C566C">
        <w:rPr>
          <w:spacing w:val="-2"/>
        </w:rPr>
        <w:t>Dieser</w:t>
      </w:r>
      <w:r w:rsidR="00636BEA" w:rsidRPr="000C566C">
        <w:rPr>
          <w:spacing w:val="-2"/>
        </w:rPr>
        <w:t xml:space="preserve"> Unterschied ist auf die Auswahl der SAFE Umfrage zurückzuführen, </w:t>
      </w:r>
      <w:r w:rsidR="003D6B75" w:rsidRPr="000C566C">
        <w:rPr>
          <w:spacing w:val="-2"/>
        </w:rPr>
        <w:t xml:space="preserve">welche </w:t>
      </w:r>
      <w:r w:rsidR="008A3E7D" w:rsidRPr="000C566C">
        <w:rPr>
          <w:spacing w:val="-2"/>
        </w:rPr>
        <w:t xml:space="preserve">die </w:t>
      </w:r>
      <w:r w:rsidR="007B1FF1" w:rsidRPr="000C566C">
        <w:rPr>
          <w:spacing w:val="-2"/>
        </w:rPr>
        <w:t xml:space="preserve">Verteilung künstlich </w:t>
      </w:r>
      <w:r w:rsidR="004D4284" w:rsidRPr="000C566C">
        <w:rPr>
          <w:spacing w:val="-2"/>
        </w:rPr>
        <w:t>anpasst,</w:t>
      </w:r>
      <w:r w:rsidR="0074575A" w:rsidRPr="000C566C">
        <w:rPr>
          <w:spacing w:val="-2"/>
        </w:rPr>
        <w:t xml:space="preserve"> </w:t>
      </w:r>
      <w:r w:rsidR="004D4284" w:rsidRPr="000C566C">
        <w:rPr>
          <w:spacing w:val="-2"/>
        </w:rPr>
        <w:t>um die Genauigkeit der Erhebung zu erhöhen.</w:t>
      </w:r>
      <w:r w:rsidR="00636BEA" w:rsidRPr="000C566C">
        <w:rPr>
          <w:rStyle w:val="Funotenzeichen"/>
          <w:spacing w:val="-2"/>
        </w:rPr>
        <w:footnoteReference w:id="32"/>
      </w:r>
      <w:r w:rsidR="003D6B75" w:rsidRPr="000C566C">
        <w:rPr>
          <w:spacing w:val="-2"/>
        </w:rPr>
        <w:t xml:space="preserve"> </w:t>
      </w:r>
      <w:r w:rsidR="007B1FF1" w:rsidRPr="000C566C">
        <w:rPr>
          <w:spacing w:val="-2"/>
        </w:rPr>
        <w:t>Um aus der verzerrten Verteilung auf die Grundgesamtheit zurückzuführen</w:t>
      </w:r>
      <w:r w:rsidR="00192E81">
        <w:rPr>
          <w:spacing w:val="-2"/>
        </w:rPr>
        <w:t>,</w:t>
      </w:r>
      <w:r w:rsidR="009064BC" w:rsidRPr="000C566C">
        <w:rPr>
          <w:spacing w:val="-2"/>
        </w:rPr>
        <w:t xml:space="preserve"> können Gewichte zur nachträglichen Schichtung verwendet werden, ähnlich wie in Moritz et al. (2016).</w:t>
      </w:r>
      <w:r w:rsidR="00B6241E" w:rsidRPr="000C566C">
        <w:rPr>
          <w:rStyle w:val="Funotenzeichen"/>
          <w:spacing w:val="-2"/>
        </w:rPr>
        <w:footnoteReference w:id="33"/>
      </w:r>
      <w:r w:rsidR="007B1FF1" w:rsidRPr="000C566C">
        <w:rPr>
          <w:spacing w:val="-2"/>
        </w:rPr>
        <w:t xml:space="preserve"> </w:t>
      </w:r>
      <w:r w:rsidR="000802D1" w:rsidRPr="000C566C">
        <w:rPr>
          <w:spacing w:val="-4"/>
        </w:rPr>
        <w:t>Allerdings ist die</w:t>
      </w:r>
      <w:r w:rsidR="003D6B75" w:rsidRPr="000C566C">
        <w:rPr>
          <w:spacing w:val="-4"/>
        </w:rPr>
        <w:t xml:space="preserve"> </w:t>
      </w:r>
      <w:r w:rsidR="007B1FF1" w:rsidRPr="000C566C">
        <w:rPr>
          <w:spacing w:val="-4"/>
        </w:rPr>
        <w:t xml:space="preserve">Gewichtung der Daten </w:t>
      </w:r>
      <w:r w:rsidR="009064BC" w:rsidRPr="000C566C">
        <w:rPr>
          <w:spacing w:val="-4"/>
        </w:rPr>
        <w:t>bei komplexeren Schätzvariablen wie Regressions</w:t>
      </w:r>
      <w:r w:rsidR="000C566C" w:rsidRPr="000C566C">
        <w:rPr>
          <w:spacing w:val="-4"/>
        </w:rPr>
        <w:t>-</w:t>
      </w:r>
      <w:r w:rsidR="009064BC" w:rsidRPr="000C566C">
        <w:rPr>
          <w:spacing w:val="-2"/>
        </w:rPr>
        <w:t>koeffizienten</w:t>
      </w:r>
      <w:r w:rsidR="007B1FF1" w:rsidRPr="000C566C">
        <w:rPr>
          <w:spacing w:val="-2"/>
        </w:rPr>
        <w:t xml:space="preserve"> </w:t>
      </w:r>
      <w:r w:rsidR="009064BC" w:rsidRPr="000C566C">
        <w:rPr>
          <w:spacing w:val="-2"/>
        </w:rPr>
        <w:t>nicht klar definiert</w:t>
      </w:r>
      <w:r w:rsidR="006E05D3" w:rsidRPr="000C566C">
        <w:rPr>
          <w:rStyle w:val="Funotenzeichen"/>
          <w:spacing w:val="-2"/>
        </w:rPr>
        <w:footnoteReference w:id="34"/>
      </w:r>
      <w:r w:rsidR="009064BC" w:rsidRPr="000C566C">
        <w:rPr>
          <w:spacing w:val="-2"/>
        </w:rPr>
        <w:t xml:space="preserve"> und eignet sich somit nicht für die folgende Analyse</w:t>
      </w:r>
      <w:r w:rsidR="003D6B75" w:rsidRPr="000C566C">
        <w:rPr>
          <w:spacing w:val="-2"/>
        </w:rPr>
        <w:t>.</w:t>
      </w:r>
    </w:p>
    <w:p w14:paraId="54AC04E2" w14:textId="7F9495C9" w:rsidR="007C61FC" w:rsidRDefault="00F52CF9" w:rsidP="008B7C80">
      <w:pPr>
        <w:keepNext/>
        <w:spacing w:after="60"/>
        <w:rPr>
          <w:rFonts w:cs="Times New Roman"/>
          <w:szCs w:val="24"/>
        </w:rPr>
      </w:pPr>
      <w:r>
        <w:t>Die Verteilung der</w:t>
      </w:r>
      <w:r w:rsidR="00935671">
        <w:t xml:space="preserve"> verwendeten</w:t>
      </w:r>
      <w:r>
        <w:t xml:space="preserve"> </w:t>
      </w:r>
      <w:r w:rsidR="009437BA">
        <w:t>Finanzierungsquellen</w:t>
      </w:r>
      <w:r w:rsidR="00935671">
        <w:t xml:space="preserve"> der letzten sechs Monate</w:t>
      </w:r>
      <w:r w:rsidR="009437BA">
        <w:t xml:space="preserve"> ist in Tabelle 2 dargestellt.</w:t>
      </w:r>
      <w:r w:rsidR="00935671">
        <w:t xml:space="preserve"> So machen </w:t>
      </w:r>
      <w:r w:rsidR="00935671" w:rsidRPr="00A370D5">
        <w:rPr>
          <w:rFonts w:cs="Times New Roman"/>
          <w:i/>
          <w:iCs/>
          <w:szCs w:val="24"/>
        </w:rPr>
        <w:t xml:space="preserve">Kreditlinien, Überziehung von </w:t>
      </w:r>
      <w:r w:rsidR="00935671" w:rsidRPr="00A370D5">
        <w:rPr>
          <w:rFonts w:cs="Times New Roman"/>
          <w:i/>
          <w:iCs/>
          <w:spacing w:val="-4"/>
          <w:szCs w:val="24"/>
        </w:rPr>
        <w:t>Bankkonten</w:t>
      </w:r>
      <w:r w:rsidR="00935671" w:rsidRPr="00A370D5">
        <w:rPr>
          <w:rFonts w:cs="Times New Roman"/>
          <w:i/>
          <w:iCs/>
          <w:szCs w:val="24"/>
        </w:rPr>
        <w:t xml:space="preserve"> und Kreditkarten</w:t>
      </w:r>
      <w:r w:rsidR="00935671">
        <w:rPr>
          <w:rFonts w:cs="Times New Roman"/>
          <w:szCs w:val="24"/>
        </w:rPr>
        <w:t xml:space="preserve"> (37,3%) den größten Anteil aus, gefolgt von </w:t>
      </w:r>
      <w:r w:rsidR="00935671" w:rsidRPr="00A370D5">
        <w:rPr>
          <w:rFonts w:cs="Times New Roman"/>
          <w:i/>
          <w:iCs/>
          <w:szCs w:val="24"/>
        </w:rPr>
        <w:t>Innenfinanzierung</w:t>
      </w:r>
      <w:r w:rsidR="00935671">
        <w:rPr>
          <w:rFonts w:cs="Times New Roman"/>
          <w:szCs w:val="24"/>
        </w:rPr>
        <w:t xml:space="preserve"> (33,8%) und </w:t>
      </w:r>
      <w:r w:rsidR="00935671" w:rsidRPr="00A370D5">
        <w:rPr>
          <w:rFonts w:cs="Times New Roman"/>
          <w:i/>
          <w:iCs/>
          <w:szCs w:val="24"/>
        </w:rPr>
        <w:t>Leasing, Ratenkauf und Factoring</w:t>
      </w:r>
      <w:r w:rsidR="00935671">
        <w:rPr>
          <w:rFonts w:cs="Times New Roman"/>
          <w:szCs w:val="24"/>
        </w:rPr>
        <w:t xml:space="preserve"> (29,2%).</w:t>
      </w:r>
      <w:r w:rsidR="00BC29B1">
        <w:rPr>
          <w:rFonts w:cs="Times New Roman"/>
          <w:szCs w:val="24"/>
        </w:rPr>
        <w:t xml:space="preserve"> </w:t>
      </w:r>
      <w:r w:rsidR="00BC29B1" w:rsidRPr="00A370D5">
        <w:rPr>
          <w:rFonts w:cs="Times New Roman"/>
          <w:i/>
          <w:iCs/>
          <w:szCs w:val="24"/>
        </w:rPr>
        <w:t>Eigenkapital</w:t>
      </w:r>
      <w:r w:rsidR="00BC29B1">
        <w:rPr>
          <w:rFonts w:cs="Times New Roman"/>
          <w:szCs w:val="24"/>
        </w:rPr>
        <w:t xml:space="preserve"> (</w:t>
      </w:r>
      <w:r w:rsidR="003B788B">
        <w:rPr>
          <w:rFonts w:cs="Times New Roman"/>
          <w:szCs w:val="24"/>
        </w:rPr>
        <w:t>1,6%</w:t>
      </w:r>
      <w:r w:rsidR="00BC29B1">
        <w:rPr>
          <w:rFonts w:cs="Times New Roman"/>
          <w:szCs w:val="24"/>
        </w:rPr>
        <w:t xml:space="preserve">), </w:t>
      </w:r>
      <w:r w:rsidR="00BC29B1" w:rsidRPr="00A370D5">
        <w:rPr>
          <w:rFonts w:cs="Times New Roman"/>
          <w:i/>
          <w:iCs/>
          <w:szCs w:val="24"/>
        </w:rPr>
        <w:t>Schuldverschreibungen</w:t>
      </w:r>
      <w:r w:rsidR="003B788B">
        <w:rPr>
          <w:rFonts w:cs="Times New Roman"/>
          <w:szCs w:val="24"/>
        </w:rPr>
        <w:t xml:space="preserve"> (1,0%)</w:t>
      </w:r>
      <w:r w:rsidR="00BC29B1">
        <w:rPr>
          <w:rFonts w:cs="Times New Roman"/>
          <w:szCs w:val="24"/>
        </w:rPr>
        <w:t xml:space="preserve"> sowie </w:t>
      </w:r>
      <w:r w:rsidR="00A370D5" w:rsidRPr="00A370D5">
        <w:rPr>
          <w:rFonts w:cs="Times New Roman"/>
          <w:i/>
          <w:iCs/>
          <w:szCs w:val="24"/>
        </w:rPr>
        <w:t>a</w:t>
      </w:r>
      <w:r w:rsidR="00BC29B1" w:rsidRPr="00A370D5">
        <w:rPr>
          <w:rFonts w:cs="Times New Roman"/>
          <w:i/>
          <w:iCs/>
          <w:szCs w:val="24"/>
        </w:rPr>
        <w:t>ndere Finanzierungs</w:t>
      </w:r>
      <w:r w:rsidR="00B25FFF" w:rsidRPr="00A370D5">
        <w:rPr>
          <w:rFonts w:cs="Times New Roman"/>
          <w:i/>
          <w:iCs/>
          <w:szCs w:val="24"/>
        </w:rPr>
        <w:t>quellen</w:t>
      </w:r>
      <w:r w:rsidR="003B788B">
        <w:rPr>
          <w:rFonts w:cs="Times New Roman"/>
          <w:szCs w:val="24"/>
        </w:rPr>
        <w:t xml:space="preserve"> (0,9%) hingegen wurden nur von wenigen Unternehmen verwendet.</w:t>
      </w:r>
    </w:p>
    <w:p w14:paraId="04A35165" w14:textId="26A75CFE" w:rsidR="00863ED4" w:rsidRDefault="00863ED4" w:rsidP="00863ED4">
      <w:pPr>
        <w:pStyle w:val="Beschriftung"/>
        <w:keepNext/>
        <w:spacing w:after="0"/>
        <w:rPr>
          <w:i w:val="0"/>
          <w:iCs w:val="0"/>
          <w:color w:val="auto"/>
          <w:sz w:val="24"/>
          <w:szCs w:val="22"/>
        </w:rPr>
      </w:pPr>
      <w:bookmarkStart w:id="21" w:name="_Toc88423389"/>
      <w:r w:rsidRPr="003B013D">
        <w:rPr>
          <w:b/>
          <w:bCs/>
          <w:i w:val="0"/>
          <w:iCs w:val="0"/>
          <w:color w:val="auto"/>
          <w:sz w:val="24"/>
          <w:szCs w:val="22"/>
        </w:rPr>
        <w:t xml:space="preserve">Tabelle </w:t>
      </w:r>
      <w:r>
        <w:rPr>
          <w:b/>
          <w:bCs/>
          <w:i w:val="0"/>
          <w:iCs w:val="0"/>
          <w:color w:val="auto"/>
          <w:sz w:val="24"/>
          <w:szCs w:val="22"/>
        </w:rPr>
        <w:fldChar w:fldCharType="begin"/>
      </w:r>
      <w:r>
        <w:rPr>
          <w:b/>
          <w:bCs/>
          <w:i w:val="0"/>
          <w:iCs w:val="0"/>
          <w:color w:val="auto"/>
          <w:sz w:val="24"/>
          <w:szCs w:val="22"/>
        </w:rPr>
        <w:instrText xml:space="preserve"> SEQ Tabelle \* ARABIC </w:instrText>
      </w:r>
      <w:r>
        <w:rPr>
          <w:b/>
          <w:bCs/>
          <w:i w:val="0"/>
          <w:iCs w:val="0"/>
          <w:color w:val="auto"/>
          <w:sz w:val="24"/>
          <w:szCs w:val="22"/>
        </w:rPr>
        <w:fldChar w:fldCharType="separate"/>
      </w:r>
      <w:r w:rsidR="00285390">
        <w:rPr>
          <w:b/>
          <w:bCs/>
          <w:i w:val="0"/>
          <w:iCs w:val="0"/>
          <w:noProof/>
          <w:color w:val="auto"/>
          <w:sz w:val="24"/>
          <w:szCs w:val="22"/>
        </w:rPr>
        <w:t>2</w:t>
      </w:r>
      <w:r>
        <w:rPr>
          <w:b/>
          <w:bCs/>
          <w:i w:val="0"/>
          <w:iCs w:val="0"/>
          <w:color w:val="auto"/>
          <w:sz w:val="24"/>
          <w:szCs w:val="22"/>
        </w:rPr>
        <w:fldChar w:fldCharType="end"/>
      </w:r>
      <w:r w:rsidRPr="003B013D">
        <w:rPr>
          <w:b/>
          <w:bCs/>
          <w:i w:val="0"/>
          <w:iCs w:val="0"/>
          <w:color w:val="auto"/>
          <w:sz w:val="24"/>
          <w:szCs w:val="22"/>
        </w:rPr>
        <w:t>:</w:t>
      </w:r>
      <w:r>
        <w:rPr>
          <w:i w:val="0"/>
          <w:iCs w:val="0"/>
          <w:color w:val="auto"/>
          <w:sz w:val="24"/>
          <w:szCs w:val="22"/>
        </w:rPr>
        <w:tab/>
      </w:r>
      <w:r w:rsidRPr="007D6E8A">
        <w:rPr>
          <w:i w:val="0"/>
          <w:iCs w:val="0"/>
          <w:color w:val="auto"/>
          <w:spacing w:val="-4"/>
          <w:sz w:val="24"/>
          <w:szCs w:val="22"/>
        </w:rPr>
        <w:t xml:space="preserve">Verteilung </w:t>
      </w:r>
      <w:r w:rsidR="007D6E8A" w:rsidRPr="007D6E8A">
        <w:rPr>
          <w:i w:val="0"/>
          <w:iCs w:val="0"/>
          <w:color w:val="auto"/>
          <w:spacing w:val="-4"/>
          <w:sz w:val="24"/>
          <w:szCs w:val="22"/>
        </w:rPr>
        <w:t xml:space="preserve">der verwendeten Finanzierungsquellen der letzten </w:t>
      </w:r>
      <w:r w:rsidR="007D6E8A">
        <w:rPr>
          <w:i w:val="0"/>
          <w:iCs w:val="0"/>
          <w:color w:val="auto"/>
          <w:spacing w:val="-4"/>
          <w:sz w:val="24"/>
          <w:szCs w:val="22"/>
        </w:rPr>
        <w:t xml:space="preserve">sechs </w:t>
      </w:r>
      <w:r w:rsidR="007D6E8A" w:rsidRPr="007D6E8A">
        <w:rPr>
          <w:i w:val="0"/>
          <w:iCs w:val="0"/>
          <w:color w:val="auto"/>
          <w:spacing w:val="-4"/>
          <w:sz w:val="24"/>
          <w:szCs w:val="22"/>
        </w:rPr>
        <w:t>Monate</w:t>
      </w:r>
      <w:bookmarkEnd w:id="21"/>
    </w:p>
    <w:p w14:paraId="08763070" w14:textId="6B23BF10" w:rsidR="00863ED4" w:rsidRPr="00583FE5" w:rsidRDefault="00863ED4" w:rsidP="008230E2">
      <w:pPr>
        <w:spacing w:after="120"/>
      </w:pPr>
      <w:r>
        <w:tab/>
      </w:r>
      <w:r>
        <w:tab/>
        <w:t>eigene Darstellung</w:t>
      </w:r>
    </w:p>
    <w:tbl>
      <w:tblPr>
        <w:tblStyle w:val="Tabellenraster"/>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0"/>
        <w:gridCol w:w="2693"/>
      </w:tblGrid>
      <w:tr w:rsidR="00863ED4" w14:paraId="0CE0D0C0" w14:textId="77777777" w:rsidTr="008E0BA8">
        <w:tc>
          <w:tcPr>
            <w:tcW w:w="5920" w:type="dxa"/>
            <w:tcBorders>
              <w:top w:val="single" w:sz="8" w:space="0" w:color="auto"/>
              <w:bottom w:val="single" w:sz="6" w:space="0" w:color="auto"/>
            </w:tcBorders>
            <w:vAlign w:val="bottom"/>
          </w:tcPr>
          <w:p w14:paraId="392CFAA0" w14:textId="2AE9F641" w:rsidR="00863ED4" w:rsidRPr="00F158FA" w:rsidRDefault="00863ED4" w:rsidP="00284CE1">
            <w:pPr>
              <w:spacing w:before="60" w:after="60" w:line="240" w:lineRule="auto"/>
              <w:jc w:val="left"/>
              <w:rPr>
                <w:rFonts w:cs="Times New Roman"/>
                <w:b/>
                <w:bCs/>
                <w:sz w:val="20"/>
                <w:szCs w:val="20"/>
              </w:rPr>
            </w:pPr>
            <w:r w:rsidRPr="00F158FA">
              <w:rPr>
                <w:rFonts w:cs="Times New Roman"/>
                <w:b/>
                <w:bCs/>
                <w:sz w:val="20"/>
                <w:szCs w:val="20"/>
              </w:rPr>
              <w:t>Finanzierungs</w:t>
            </w:r>
            <w:r w:rsidR="007D6E8A" w:rsidRPr="00F158FA">
              <w:rPr>
                <w:rFonts w:cs="Times New Roman"/>
                <w:b/>
                <w:bCs/>
                <w:sz w:val="20"/>
                <w:szCs w:val="20"/>
              </w:rPr>
              <w:t>quelle</w:t>
            </w:r>
          </w:p>
        </w:tc>
        <w:tc>
          <w:tcPr>
            <w:tcW w:w="2693" w:type="dxa"/>
            <w:tcBorders>
              <w:top w:val="single" w:sz="8" w:space="0" w:color="auto"/>
              <w:bottom w:val="single" w:sz="6" w:space="0" w:color="auto"/>
            </w:tcBorders>
            <w:vAlign w:val="center"/>
          </w:tcPr>
          <w:p w14:paraId="0D979FF9" w14:textId="28DC22C5" w:rsidR="00863ED4" w:rsidRPr="00F158FA" w:rsidRDefault="007D6E8A" w:rsidP="00284CE1">
            <w:pPr>
              <w:spacing w:before="60" w:after="60" w:line="240" w:lineRule="auto"/>
              <w:jc w:val="center"/>
              <w:rPr>
                <w:rFonts w:cs="Times New Roman"/>
                <w:b/>
                <w:bCs/>
                <w:spacing w:val="-2"/>
                <w:sz w:val="20"/>
                <w:szCs w:val="20"/>
              </w:rPr>
            </w:pPr>
            <w:r w:rsidRPr="00F158FA">
              <w:rPr>
                <w:rFonts w:cs="Times New Roman"/>
                <w:b/>
                <w:bCs/>
                <w:spacing w:val="-2"/>
                <w:sz w:val="20"/>
                <w:szCs w:val="20"/>
              </w:rPr>
              <w:t>Anteil der Unternehmen</w:t>
            </w:r>
          </w:p>
        </w:tc>
      </w:tr>
      <w:tr w:rsidR="00863ED4" w14:paraId="0D05E0D5" w14:textId="77777777" w:rsidTr="008E0BA8">
        <w:tc>
          <w:tcPr>
            <w:tcW w:w="5920" w:type="dxa"/>
            <w:tcBorders>
              <w:top w:val="single" w:sz="6" w:space="0" w:color="auto"/>
            </w:tcBorders>
            <w:vAlign w:val="center"/>
          </w:tcPr>
          <w:p w14:paraId="27B51F8E" w14:textId="0986F876" w:rsidR="00863ED4" w:rsidRPr="00F158FA" w:rsidRDefault="00863ED4" w:rsidP="00243C36">
            <w:pPr>
              <w:spacing w:before="60" w:after="60" w:line="240" w:lineRule="auto"/>
              <w:jc w:val="left"/>
              <w:rPr>
                <w:rFonts w:cs="Times New Roman"/>
                <w:sz w:val="20"/>
                <w:szCs w:val="20"/>
              </w:rPr>
            </w:pPr>
            <w:r w:rsidRPr="00F158FA">
              <w:rPr>
                <w:rFonts w:cs="Times New Roman"/>
                <w:sz w:val="20"/>
                <w:szCs w:val="20"/>
              </w:rPr>
              <w:t xml:space="preserve">Gewinnthesaurierung </w:t>
            </w:r>
            <w:r w:rsidR="00944D34" w:rsidRPr="00F158FA">
              <w:rPr>
                <w:rFonts w:cs="Times New Roman"/>
                <w:sz w:val="20"/>
                <w:szCs w:val="20"/>
              </w:rPr>
              <w:t>und</w:t>
            </w:r>
            <w:r w:rsidRPr="00F158FA">
              <w:rPr>
                <w:rFonts w:cs="Times New Roman"/>
                <w:sz w:val="20"/>
                <w:szCs w:val="20"/>
              </w:rPr>
              <w:t xml:space="preserve"> Vermögensumschichtung</w:t>
            </w:r>
          </w:p>
        </w:tc>
        <w:tc>
          <w:tcPr>
            <w:tcW w:w="2693" w:type="dxa"/>
            <w:tcBorders>
              <w:top w:val="single" w:sz="6" w:space="0" w:color="auto"/>
            </w:tcBorders>
            <w:vAlign w:val="center"/>
          </w:tcPr>
          <w:p w14:paraId="6A886133" w14:textId="77777777" w:rsidR="00863ED4" w:rsidRPr="00F158FA" w:rsidRDefault="00863ED4" w:rsidP="00243C36">
            <w:pPr>
              <w:spacing w:before="60" w:after="60" w:line="240" w:lineRule="auto"/>
              <w:jc w:val="center"/>
              <w:rPr>
                <w:rFonts w:cs="Times New Roman"/>
                <w:sz w:val="20"/>
                <w:szCs w:val="20"/>
              </w:rPr>
            </w:pPr>
            <w:r w:rsidRPr="00F158FA">
              <w:rPr>
                <w:rFonts w:cs="Times New Roman"/>
                <w:sz w:val="20"/>
                <w:szCs w:val="20"/>
              </w:rPr>
              <w:t>15,0%</w:t>
            </w:r>
          </w:p>
        </w:tc>
      </w:tr>
      <w:tr w:rsidR="00863ED4" w14:paraId="5931F9D1" w14:textId="77777777" w:rsidTr="003E2717">
        <w:tc>
          <w:tcPr>
            <w:tcW w:w="5920" w:type="dxa"/>
            <w:vAlign w:val="center"/>
          </w:tcPr>
          <w:p w14:paraId="358F1629" w14:textId="0BD1C2EB" w:rsidR="00863ED4" w:rsidRPr="00F158FA" w:rsidRDefault="00863ED4" w:rsidP="00243C36">
            <w:pPr>
              <w:spacing w:before="60" w:after="60" w:line="240" w:lineRule="auto"/>
              <w:jc w:val="left"/>
              <w:rPr>
                <w:rFonts w:cs="Times New Roman"/>
                <w:sz w:val="20"/>
                <w:szCs w:val="20"/>
              </w:rPr>
            </w:pPr>
            <w:r w:rsidRPr="00F158FA">
              <w:rPr>
                <w:rFonts w:cs="Times New Roman"/>
                <w:sz w:val="20"/>
                <w:szCs w:val="20"/>
              </w:rPr>
              <w:t xml:space="preserve">Zuschüsse </w:t>
            </w:r>
            <w:r w:rsidR="00944D34" w:rsidRPr="00F158FA">
              <w:rPr>
                <w:rFonts w:cs="Times New Roman"/>
                <w:sz w:val="20"/>
                <w:szCs w:val="20"/>
              </w:rPr>
              <w:t xml:space="preserve">und </w:t>
            </w:r>
            <w:r w:rsidRPr="00F158FA">
              <w:rPr>
                <w:rFonts w:cs="Times New Roman"/>
                <w:sz w:val="20"/>
                <w:szCs w:val="20"/>
              </w:rPr>
              <w:t>subventionierte Bankdarlehen</w:t>
            </w:r>
          </w:p>
        </w:tc>
        <w:tc>
          <w:tcPr>
            <w:tcW w:w="2693" w:type="dxa"/>
            <w:vAlign w:val="center"/>
          </w:tcPr>
          <w:p w14:paraId="4D51E102" w14:textId="77777777" w:rsidR="00863ED4" w:rsidRPr="00F158FA" w:rsidRDefault="00863ED4" w:rsidP="00243C36">
            <w:pPr>
              <w:spacing w:before="60" w:after="60" w:line="240" w:lineRule="auto"/>
              <w:jc w:val="center"/>
              <w:rPr>
                <w:rFonts w:cs="Times New Roman"/>
                <w:sz w:val="20"/>
                <w:szCs w:val="20"/>
              </w:rPr>
            </w:pPr>
            <w:r w:rsidRPr="00F158FA">
              <w:rPr>
                <w:rFonts w:cs="Times New Roman"/>
                <w:sz w:val="20"/>
                <w:szCs w:val="20"/>
              </w:rPr>
              <w:t>8,0%</w:t>
            </w:r>
          </w:p>
        </w:tc>
      </w:tr>
      <w:tr w:rsidR="00863ED4" w14:paraId="3DFC01CE" w14:textId="77777777" w:rsidTr="003E2717">
        <w:tc>
          <w:tcPr>
            <w:tcW w:w="5920" w:type="dxa"/>
            <w:vAlign w:val="center"/>
          </w:tcPr>
          <w:p w14:paraId="6D49BCEF" w14:textId="78B89BF6" w:rsidR="00863ED4" w:rsidRPr="00F158FA" w:rsidRDefault="00863ED4" w:rsidP="00243C36">
            <w:pPr>
              <w:spacing w:before="60" w:after="60" w:line="240" w:lineRule="auto"/>
              <w:jc w:val="left"/>
              <w:rPr>
                <w:rFonts w:cs="Times New Roman"/>
                <w:spacing w:val="-4"/>
                <w:sz w:val="20"/>
                <w:szCs w:val="20"/>
              </w:rPr>
            </w:pPr>
            <w:r w:rsidRPr="00F158FA">
              <w:rPr>
                <w:rFonts w:cs="Times New Roman"/>
                <w:spacing w:val="-4"/>
                <w:sz w:val="20"/>
                <w:szCs w:val="20"/>
              </w:rPr>
              <w:t xml:space="preserve">Kreditlinien, Überziehung von Bankkonten </w:t>
            </w:r>
            <w:r w:rsidR="00944D34" w:rsidRPr="00F158FA">
              <w:rPr>
                <w:rFonts w:cs="Times New Roman"/>
                <w:spacing w:val="-4"/>
                <w:sz w:val="20"/>
                <w:szCs w:val="20"/>
              </w:rPr>
              <w:t>und</w:t>
            </w:r>
            <w:r w:rsidRPr="00F158FA">
              <w:rPr>
                <w:rFonts w:cs="Times New Roman"/>
                <w:spacing w:val="-4"/>
                <w:sz w:val="20"/>
                <w:szCs w:val="20"/>
              </w:rPr>
              <w:t xml:space="preserve"> Kreditkarten</w:t>
            </w:r>
          </w:p>
        </w:tc>
        <w:tc>
          <w:tcPr>
            <w:tcW w:w="2693" w:type="dxa"/>
            <w:vAlign w:val="center"/>
          </w:tcPr>
          <w:p w14:paraId="40E22040" w14:textId="77777777" w:rsidR="00863ED4" w:rsidRPr="00F158FA" w:rsidRDefault="00863ED4" w:rsidP="00243C36">
            <w:pPr>
              <w:spacing w:before="60" w:after="60" w:line="240" w:lineRule="auto"/>
              <w:jc w:val="center"/>
              <w:rPr>
                <w:rFonts w:cs="Times New Roman"/>
                <w:sz w:val="20"/>
                <w:szCs w:val="20"/>
              </w:rPr>
            </w:pPr>
            <w:r w:rsidRPr="00F158FA">
              <w:rPr>
                <w:rFonts w:cs="Times New Roman"/>
                <w:sz w:val="20"/>
                <w:szCs w:val="20"/>
              </w:rPr>
              <w:t>37,3%</w:t>
            </w:r>
          </w:p>
        </w:tc>
      </w:tr>
      <w:tr w:rsidR="00863ED4" w14:paraId="02989FB0" w14:textId="77777777" w:rsidTr="003E2717">
        <w:tc>
          <w:tcPr>
            <w:tcW w:w="5920" w:type="dxa"/>
            <w:vAlign w:val="center"/>
          </w:tcPr>
          <w:p w14:paraId="07DE0B6A" w14:textId="77777777" w:rsidR="00863ED4" w:rsidRPr="00F158FA" w:rsidRDefault="00863ED4" w:rsidP="00243C36">
            <w:pPr>
              <w:spacing w:before="60" w:after="60" w:line="240" w:lineRule="auto"/>
              <w:jc w:val="left"/>
              <w:rPr>
                <w:rFonts w:cs="Times New Roman"/>
                <w:sz w:val="20"/>
                <w:szCs w:val="20"/>
              </w:rPr>
            </w:pPr>
            <w:r w:rsidRPr="00F158FA">
              <w:rPr>
                <w:rFonts w:cs="Times New Roman"/>
                <w:sz w:val="20"/>
                <w:szCs w:val="20"/>
              </w:rPr>
              <w:t>Bankdarlehen</w:t>
            </w:r>
          </w:p>
        </w:tc>
        <w:tc>
          <w:tcPr>
            <w:tcW w:w="2693" w:type="dxa"/>
            <w:vAlign w:val="center"/>
          </w:tcPr>
          <w:p w14:paraId="6C68913C" w14:textId="77777777" w:rsidR="00863ED4" w:rsidRPr="00F158FA" w:rsidRDefault="00863ED4" w:rsidP="00243C36">
            <w:pPr>
              <w:spacing w:before="60" w:after="60" w:line="240" w:lineRule="auto"/>
              <w:jc w:val="center"/>
              <w:rPr>
                <w:rFonts w:cs="Times New Roman"/>
                <w:sz w:val="20"/>
                <w:szCs w:val="20"/>
              </w:rPr>
            </w:pPr>
            <w:r w:rsidRPr="00F158FA">
              <w:rPr>
                <w:rFonts w:cs="Times New Roman"/>
                <w:sz w:val="20"/>
                <w:szCs w:val="20"/>
              </w:rPr>
              <w:t>16,7%</w:t>
            </w:r>
          </w:p>
        </w:tc>
      </w:tr>
      <w:tr w:rsidR="00863ED4" w14:paraId="27BD5AFD" w14:textId="77777777" w:rsidTr="003E2717">
        <w:tc>
          <w:tcPr>
            <w:tcW w:w="5920" w:type="dxa"/>
            <w:vAlign w:val="center"/>
          </w:tcPr>
          <w:p w14:paraId="3432E433" w14:textId="77777777" w:rsidR="00863ED4" w:rsidRPr="00F158FA" w:rsidRDefault="00863ED4" w:rsidP="00243C36">
            <w:pPr>
              <w:spacing w:before="60" w:after="60" w:line="240" w:lineRule="auto"/>
              <w:jc w:val="left"/>
              <w:rPr>
                <w:rFonts w:cs="Times New Roman"/>
                <w:sz w:val="20"/>
                <w:szCs w:val="20"/>
              </w:rPr>
            </w:pPr>
            <w:r w:rsidRPr="00F158FA">
              <w:rPr>
                <w:rFonts w:cs="Times New Roman"/>
                <w:sz w:val="20"/>
                <w:szCs w:val="20"/>
              </w:rPr>
              <w:t>Lieferantenkredite</w:t>
            </w:r>
          </w:p>
        </w:tc>
        <w:tc>
          <w:tcPr>
            <w:tcW w:w="2693" w:type="dxa"/>
            <w:vAlign w:val="center"/>
          </w:tcPr>
          <w:p w14:paraId="1F695A63" w14:textId="77777777" w:rsidR="00863ED4" w:rsidRPr="00F158FA" w:rsidRDefault="00863ED4" w:rsidP="00243C36">
            <w:pPr>
              <w:spacing w:before="60" w:after="60" w:line="240" w:lineRule="auto"/>
              <w:jc w:val="center"/>
              <w:rPr>
                <w:rFonts w:cs="Times New Roman"/>
                <w:sz w:val="20"/>
                <w:szCs w:val="20"/>
              </w:rPr>
            </w:pPr>
            <w:r w:rsidRPr="00F158FA">
              <w:rPr>
                <w:rFonts w:cs="Times New Roman"/>
                <w:sz w:val="20"/>
                <w:szCs w:val="20"/>
              </w:rPr>
              <w:t>19,3%</w:t>
            </w:r>
          </w:p>
        </w:tc>
      </w:tr>
      <w:tr w:rsidR="00863ED4" w14:paraId="29F2922C" w14:textId="77777777" w:rsidTr="003E2717">
        <w:tc>
          <w:tcPr>
            <w:tcW w:w="5920" w:type="dxa"/>
            <w:vAlign w:val="center"/>
          </w:tcPr>
          <w:p w14:paraId="26585947" w14:textId="4082E94B" w:rsidR="00863ED4" w:rsidRPr="00F158FA" w:rsidRDefault="00863ED4" w:rsidP="00243C36">
            <w:pPr>
              <w:spacing w:before="60" w:after="60" w:line="240" w:lineRule="auto"/>
              <w:jc w:val="left"/>
              <w:rPr>
                <w:rFonts w:cs="Times New Roman"/>
                <w:sz w:val="20"/>
                <w:szCs w:val="20"/>
              </w:rPr>
            </w:pPr>
            <w:r w:rsidRPr="00F158FA">
              <w:rPr>
                <w:rFonts w:cs="Times New Roman"/>
                <w:sz w:val="20"/>
                <w:szCs w:val="20"/>
              </w:rPr>
              <w:t>Andere Darlehen</w:t>
            </w:r>
            <w:r w:rsidR="00950B10" w:rsidRPr="00F158FA">
              <w:rPr>
                <w:rFonts w:cs="Times New Roman"/>
                <w:sz w:val="20"/>
                <w:szCs w:val="20"/>
              </w:rPr>
              <w:t xml:space="preserve"> (z.B. von Freunden und Familie, zugehörigen Unternehmen oder Anteilseignern)</w:t>
            </w:r>
          </w:p>
        </w:tc>
        <w:tc>
          <w:tcPr>
            <w:tcW w:w="2693" w:type="dxa"/>
            <w:vAlign w:val="center"/>
          </w:tcPr>
          <w:p w14:paraId="2665C991" w14:textId="77777777" w:rsidR="00863ED4" w:rsidRPr="00F158FA" w:rsidRDefault="00863ED4" w:rsidP="00243C36">
            <w:pPr>
              <w:spacing w:before="60" w:after="60" w:line="240" w:lineRule="auto"/>
              <w:jc w:val="center"/>
              <w:rPr>
                <w:rFonts w:cs="Times New Roman"/>
                <w:sz w:val="20"/>
                <w:szCs w:val="20"/>
              </w:rPr>
            </w:pPr>
            <w:r w:rsidRPr="00F158FA">
              <w:rPr>
                <w:rFonts w:cs="Times New Roman"/>
                <w:sz w:val="20"/>
                <w:szCs w:val="20"/>
              </w:rPr>
              <w:t>8,2%</w:t>
            </w:r>
          </w:p>
        </w:tc>
      </w:tr>
      <w:tr w:rsidR="00863ED4" w14:paraId="246EA74F" w14:textId="77777777" w:rsidTr="003E2717">
        <w:tc>
          <w:tcPr>
            <w:tcW w:w="5920" w:type="dxa"/>
            <w:vAlign w:val="center"/>
          </w:tcPr>
          <w:p w14:paraId="59DE7B4C" w14:textId="77777777" w:rsidR="00863ED4" w:rsidRPr="00F158FA" w:rsidRDefault="00863ED4" w:rsidP="00243C36">
            <w:pPr>
              <w:spacing w:before="60" w:after="60" w:line="240" w:lineRule="auto"/>
              <w:jc w:val="left"/>
              <w:rPr>
                <w:rFonts w:cs="Times New Roman"/>
                <w:sz w:val="20"/>
                <w:szCs w:val="20"/>
              </w:rPr>
            </w:pPr>
            <w:r w:rsidRPr="00F158FA">
              <w:rPr>
                <w:rFonts w:cs="Times New Roman"/>
                <w:sz w:val="20"/>
                <w:szCs w:val="20"/>
              </w:rPr>
              <w:t>Schuldverschreibungen</w:t>
            </w:r>
          </w:p>
        </w:tc>
        <w:tc>
          <w:tcPr>
            <w:tcW w:w="2693" w:type="dxa"/>
            <w:vAlign w:val="center"/>
          </w:tcPr>
          <w:p w14:paraId="472D003B" w14:textId="77777777" w:rsidR="00863ED4" w:rsidRPr="00F158FA" w:rsidRDefault="00863ED4" w:rsidP="00243C36">
            <w:pPr>
              <w:spacing w:before="60" w:after="60" w:line="240" w:lineRule="auto"/>
              <w:jc w:val="center"/>
              <w:rPr>
                <w:rFonts w:cs="Times New Roman"/>
                <w:sz w:val="20"/>
                <w:szCs w:val="20"/>
              </w:rPr>
            </w:pPr>
            <w:r w:rsidRPr="00F158FA">
              <w:rPr>
                <w:rFonts w:cs="Times New Roman"/>
                <w:sz w:val="20"/>
                <w:szCs w:val="20"/>
              </w:rPr>
              <w:t>1,0%</w:t>
            </w:r>
          </w:p>
        </w:tc>
      </w:tr>
      <w:tr w:rsidR="00863ED4" w14:paraId="34E1B700" w14:textId="77777777" w:rsidTr="003E2717">
        <w:tc>
          <w:tcPr>
            <w:tcW w:w="5920" w:type="dxa"/>
            <w:vAlign w:val="center"/>
          </w:tcPr>
          <w:p w14:paraId="44154D4D" w14:textId="77777777" w:rsidR="00863ED4" w:rsidRPr="00F158FA" w:rsidRDefault="00863ED4" w:rsidP="00243C36">
            <w:pPr>
              <w:spacing w:before="60" w:after="60" w:line="240" w:lineRule="auto"/>
              <w:jc w:val="left"/>
              <w:rPr>
                <w:rFonts w:cs="Times New Roman"/>
                <w:sz w:val="20"/>
                <w:szCs w:val="20"/>
              </w:rPr>
            </w:pPr>
            <w:r w:rsidRPr="00F158FA">
              <w:rPr>
                <w:rFonts w:cs="Times New Roman"/>
                <w:sz w:val="20"/>
                <w:szCs w:val="20"/>
              </w:rPr>
              <w:t>Eigenkapital</w:t>
            </w:r>
          </w:p>
        </w:tc>
        <w:tc>
          <w:tcPr>
            <w:tcW w:w="2693" w:type="dxa"/>
            <w:vAlign w:val="center"/>
          </w:tcPr>
          <w:p w14:paraId="00436761" w14:textId="77777777" w:rsidR="00863ED4" w:rsidRPr="00F158FA" w:rsidRDefault="00863ED4" w:rsidP="00243C36">
            <w:pPr>
              <w:spacing w:before="60" w:after="60" w:line="240" w:lineRule="auto"/>
              <w:jc w:val="center"/>
              <w:rPr>
                <w:rFonts w:cs="Times New Roman"/>
                <w:sz w:val="20"/>
                <w:szCs w:val="20"/>
              </w:rPr>
            </w:pPr>
            <w:r w:rsidRPr="00F158FA">
              <w:rPr>
                <w:rFonts w:cs="Times New Roman"/>
                <w:sz w:val="20"/>
                <w:szCs w:val="20"/>
              </w:rPr>
              <w:t>1,6%</w:t>
            </w:r>
          </w:p>
        </w:tc>
      </w:tr>
      <w:tr w:rsidR="00863ED4" w14:paraId="1C694AB6" w14:textId="77777777" w:rsidTr="003E2717">
        <w:tc>
          <w:tcPr>
            <w:tcW w:w="5920" w:type="dxa"/>
            <w:vAlign w:val="center"/>
          </w:tcPr>
          <w:p w14:paraId="52364EC5" w14:textId="6F2696E8" w:rsidR="00863ED4" w:rsidRPr="00F158FA" w:rsidRDefault="00863ED4" w:rsidP="00243C36">
            <w:pPr>
              <w:spacing w:before="60" w:after="60" w:line="240" w:lineRule="auto"/>
              <w:jc w:val="left"/>
              <w:rPr>
                <w:rFonts w:cs="Times New Roman"/>
                <w:sz w:val="20"/>
                <w:szCs w:val="20"/>
              </w:rPr>
            </w:pPr>
            <w:r w:rsidRPr="00F158FA">
              <w:rPr>
                <w:rFonts w:cs="Times New Roman"/>
                <w:sz w:val="20"/>
                <w:szCs w:val="20"/>
              </w:rPr>
              <w:t xml:space="preserve">Leasing, Ratenkauf </w:t>
            </w:r>
            <w:r w:rsidR="00944D34" w:rsidRPr="00F158FA">
              <w:rPr>
                <w:rFonts w:cs="Times New Roman"/>
                <w:sz w:val="20"/>
                <w:szCs w:val="20"/>
              </w:rPr>
              <w:t>und</w:t>
            </w:r>
            <w:r w:rsidRPr="00F158FA">
              <w:rPr>
                <w:rFonts w:cs="Times New Roman"/>
                <w:sz w:val="20"/>
                <w:szCs w:val="20"/>
              </w:rPr>
              <w:t xml:space="preserve"> Factoring</w:t>
            </w:r>
          </w:p>
        </w:tc>
        <w:tc>
          <w:tcPr>
            <w:tcW w:w="2693" w:type="dxa"/>
            <w:vAlign w:val="center"/>
          </w:tcPr>
          <w:p w14:paraId="0878C6A5" w14:textId="77777777" w:rsidR="00863ED4" w:rsidRPr="00F158FA" w:rsidRDefault="00863ED4" w:rsidP="00243C36">
            <w:pPr>
              <w:spacing w:before="60" w:after="60" w:line="240" w:lineRule="auto"/>
              <w:jc w:val="center"/>
              <w:rPr>
                <w:rFonts w:cs="Times New Roman"/>
                <w:sz w:val="20"/>
                <w:szCs w:val="20"/>
              </w:rPr>
            </w:pPr>
            <w:r w:rsidRPr="00F158FA">
              <w:rPr>
                <w:rFonts w:cs="Times New Roman"/>
                <w:sz w:val="20"/>
                <w:szCs w:val="20"/>
              </w:rPr>
              <w:t>29,2%</w:t>
            </w:r>
          </w:p>
        </w:tc>
      </w:tr>
      <w:tr w:rsidR="00863ED4" w14:paraId="315EBF79" w14:textId="77777777" w:rsidTr="008E0BA8">
        <w:tc>
          <w:tcPr>
            <w:tcW w:w="5920" w:type="dxa"/>
            <w:vAlign w:val="center"/>
          </w:tcPr>
          <w:p w14:paraId="0E63E663" w14:textId="768382B4" w:rsidR="00863ED4" w:rsidRPr="00F158FA" w:rsidRDefault="00863ED4" w:rsidP="00243C36">
            <w:pPr>
              <w:spacing w:before="60" w:after="60" w:line="240" w:lineRule="auto"/>
              <w:jc w:val="left"/>
              <w:rPr>
                <w:rFonts w:cs="Times New Roman"/>
                <w:sz w:val="20"/>
                <w:szCs w:val="20"/>
              </w:rPr>
            </w:pPr>
            <w:r w:rsidRPr="00F158FA">
              <w:rPr>
                <w:rFonts w:cs="Times New Roman"/>
                <w:sz w:val="20"/>
                <w:szCs w:val="20"/>
              </w:rPr>
              <w:t>Andere Finanzierungs</w:t>
            </w:r>
            <w:r w:rsidR="00B25FFF" w:rsidRPr="00F158FA">
              <w:rPr>
                <w:rFonts w:cs="Times New Roman"/>
                <w:sz w:val="20"/>
                <w:szCs w:val="20"/>
              </w:rPr>
              <w:t>quellen</w:t>
            </w:r>
            <w:r w:rsidR="00950B10" w:rsidRPr="00F158FA">
              <w:rPr>
                <w:rFonts w:cs="Times New Roman"/>
                <w:sz w:val="20"/>
                <w:szCs w:val="20"/>
              </w:rPr>
              <w:t xml:space="preserve"> (z.B. nachrangige Darlehen, Beteiligungsdarlehen, P2P Kredite, Crowdfunding)</w:t>
            </w:r>
          </w:p>
        </w:tc>
        <w:tc>
          <w:tcPr>
            <w:tcW w:w="2693" w:type="dxa"/>
            <w:vAlign w:val="center"/>
          </w:tcPr>
          <w:p w14:paraId="298A1545" w14:textId="77777777" w:rsidR="00863ED4" w:rsidRPr="00F158FA" w:rsidRDefault="00863ED4" w:rsidP="00243C36">
            <w:pPr>
              <w:spacing w:before="60" w:after="60" w:line="240" w:lineRule="auto"/>
              <w:jc w:val="center"/>
              <w:rPr>
                <w:rFonts w:cs="Times New Roman"/>
                <w:sz w:val="20"/>
                <w:szCs w:val="20"/>
              </w:rPr>
            </w:pPr>
            <w:r w:rsidRPr="00F158FA">
              <w:rPr>
                <w:rFonts w:cs="Times New Roman"/>
                <w:sz w:val="20"/>
                <w:szCs w:val="20"/>
              </w:rPr>
              <w:t>0,9%</w:t>
            </w:r>
          </w:p>
        </w:tc>
      </w:tr>
      <w:tr w:rsidR="00863ED4" w14:paraId="17E78341" w14:textId="77777777" w:rsidTr="008E0BA8">
        <w:tc>
          <w:tcPr>
            <w:tcW w:w="5920" w:type="dxa"/>
            <w:tcBorders>
              <w:bottom w:val="single" w:sz="8" w:space="0" w:color="auto"/>
            </w:tcBorders>
            <w:vAlign w:val="center"/>
          </w:tcPr>
          <w:p w14:paraId="1AE462C5" w14:textId="4985F24A" w:rsidR="00863ED4" w:rsidRPr="00F158FA" w:rsidRDefault="00863ED4" w:rsidP="00243C36">
            <w:pPr>
              <w:spacing w:before="60" w:after="60" w:line="240" w:lineRule="auto"/>
              <w:jc w:val="left"/>
              <w:rPr>
                <w:rFonts w:cs="Times New Roman"/>
                <w:sz w:val="20"/>
                <w:szCs w:val="20"/>
              </w:rPr>
            </w:pPr>
            <w:r w:rsidRPr="00F158FA">
              <w:rPr>
                <w:rFonts w:cs="Times New Roman"/>
                <w:sz w:val="20"/>
                <w:szCs w:val="20"/>
              </w:rPr>
              <w:t>Innenfinanzierung</w:t>
            </w:r>
            <w:r w:rsidR="00F127B3" w:rsidRPr="00F158FA">
              <w:rPr>
                <w:rFonts w:cs="Times New Roman"/>
                <w:sz w:val="20"/>
                <w:szCs w:val="20"/>
              </w:rPr>
              <w:t xml:space="preserve"> (ohne Gewinnthesaurierung und Vermögensumschichtung)</w:t>
            </w:r>
          </w:p>
        </w:tc>
        <w:tc>
          <w:tcPr>
            <w:tcW w:w="2693" w:type="dxa"/>
            <w:tcBorders>
              <w:bottom w:val="single" w:sz="8" w:space="0" w:color="auto"/>
            </w:tcBorders>
            <w:vAlign w:val="center"/>
          </w:tcPr>
          <w:p w14:paraId="46ADE2ED" w14:textId="77777777" w:rsidR="00863ED4" w:rsidRPr="00F158FA" w:rsidRDefault="00863ED4" w:rsidP="00243C36">
            <w:pPr>
              <w:spacing w:before="60" w:after="60" w:line="240" w:lineRule="auto"/>
              <w:jc w:val="center"/>
              <w:rPr>
                <w:rFonts w:cs="Times New Roman"/>
                <w:sz w:val="20"/>
                <w:szCs w:val="20"/>
              </w:rPr>
            </w:pPr>
            <w:r w:rsidRPr="00F158FA">
              <w:rPr>
                <w:rFonts w:cs="Times New Roman"/>
                <w:sz w:val="20"/>
                <w:szCs w:val="20"/>
              </w:rPr>
              <w:t>33,8%</w:t>
            </w:r>
          </w:p>
        </w:tc>
      </w:tr>
    </w:tbl>
    <w:p w14:paraId="12E6DBA2" w14:textId="530DBC68" w:rsidR="00B513BC" w:rsidRPr="0009024A" w:rsidRDefault="0009024A" w:rsidP="008B7C80">
      <w:pPr>
        <w:spacing w:line="240" w:lineRule="auto"/>
        <w:jc w:val="left"/>
        <w:rPr>
          <w:sz w:val="32"/>
          <w:szCs w:val="28"/>
        </w:rPr>
      </w:pPr>
      <w:r w:rsidRPr="0009024A">
        <w:rPr>
          <w:sz w:val="20"/>
          <w:szCs w:val="18"/>
          <w:lang w:val="en-US"/>
        </w:rPr>
        <w:t>N = 12.578</w:t>
      </w:r>
    </w:p>
    <w:p w14:paraId="09AD0360" w14:textId="68701C6E" w:rsidR="00C13551" w:rsidRDefault="00C13551" w:rsidP="001A4E15">
      <w:pPr>
        <w:pStyle w:val="berschrift2"/>
        <w:numPr>
          <w:ilvl w:val="1"/>
          <w:numId w:val="3"/>
        </w:numPr>
        <w:spacing w:after="120" w:line="240" w:lineRule="auto"/>
        <w:ind w:left="425" w:hanging="425"/>
      </w:pPr>
      <w:bookmarkStart w:id="22" w:name="_Toc88425826"/>
      <w:r>
        <w:lastRenderedPageBreak/>
        <w:t>Clusteranalyse</w:t>
      </w:r>
      <w:bookmarkEnd w:id="22"/>
    </w:p>
    <w:p w14:paraId="30027723" w14:textId="18486057" w:rsidR="002C38F0" w:rsidRPr="002C38F0" w:rsidRDefault="002C38F0" w:rsidP="004F245B">
      <w:pPr>
        <w:spacing w:after="120"/>
      </w:pPr>
      <w:r>
        <w:t xml:space="preserve">Die empirische Herleitung der Finanzierungsmuster erfolgt anhand einer Clusteranalyse. </w:t>
      </w:r>
      <w:r w:rsidR="00BB3C36" w:rsidRPr="001463F3">
        <w:rPr>
          <w:spacing w:val="-2"/>
        </w:rPr>
        <w:t>Dabei</w:t>
      </w:r>
      <w:r w:rsidR="00AC3CAC" w:rsidRPr="001463F3">
        <w:rPr>
          <w:spacing w:val="-2"/>
        </w:rPr>
        <w:t xml:space="preserve"> </w:t>
      </w:r>
      <w:r w:rsidR="001463F3" w:rsidRPr="001463F3">
        <w:rPr>
          <w:spacing w:val="-2"/>
        </w:rPr>
        <w:t>wird</w:t>
      </w:r>
      <w:r w:rsidR="00AA2510" w:rsidRPr="001463F3">
        <w:rPr>
          <w:spacing w:val="-2"/>
        </w:rPr>
        <w:t xml:space="preserve"> innerhalb eines Datensatzes</w:t>
      </w:r>
      <w:r w:rsidR="001463F3" w:rsidRPr="001463F3">
        <w:rPr>
          <w:spacing w:val="-2"/>
        </w:rPr>
        <w:t xml:space="preserve"> nach</w:t>
      </w:r>
      <w:r w:rsidR="00AA2510" w:rsidRPr="001463F3">
        <w:rPr>
          <w:spacing w:val="-2"/>
        </w:rPr>
        <w:t xml:space="preserve"> Mustern</w:t>
      </w:r>
      <w:r w:rsidR="001463F3" w:rsidRPr="001463F3">
        <w:rPr>
          <w:spacing w:val="-2"/>
        </w:rPr>
        <w:t xml:space="preserve"> gesucht</w:t>
      </w:r>
      <w:r w:rsidR="00AA2510" w:rsidRPr="001463F3">
        <w:rPr>
          <w:spacing w:val="-2"/>
        </w:rPr>
        <w:t>,</w:t>
      </w:r>
      <w:r w:rsidR="00AA2510" w:rsidRPr="001463F3">
        <w:rPr>
          <w:rStyle w:val="Funotenzeichen"/>
          <w:spacing w:val="-2"/>
        </w:rPr>
        <w:footnoteReference w:id="35"/>
      </w:r>
      <w:r w:rsidR="00AA2510" w:rsidRPr="001463F3">
        <w:rPr>
          <w:spacing w:val="-2"/>
        </w:rPr>
        <w:t xml:space="preserve"> sodass eine Gruppierung</w:t>
      </w:r>
      <w:r w:rsidR="00AA2510">
        <w:t xml:space="preserve"> in disjunkte Cluster erfolgt, wobei Beobachtungen innerhalb </w:t>
      </w:r>
      <w:r w:rsidR="00F158FA">
        <w:t>eines</w:t>
      </w:r>
      <w:r w:rsidR="00AA2510">
        <w:t xml:space="preserve"> Cluster</w:t>
      </w:r>
      <w:r w:rsidR="00F158FA">
        <w:t>s</w:t>
      </w:r>
      <w:r w:rsidR="00AA2510">
        <w:t xml:space="preserve"> eine hohe Ähnlichkeit zueinander und große Unterschiede zu Beobachtungen anderer Cluster aufweisen</w:t>
      </w:r>
      <w:r w:rsidR="005E3D18">
        <w:t>.</w:t>
      </w:r>
      <w:r w:rsidR="00AA2510">
        <w:rPr>
          <w:rStyle w:val="Funotenzeichen"/>
        </w:rPr>
        <w:footnoteReference w:id="36"/>
      </w:r>
      <w:r w:rsidR="00B1584C">
        <w:t xml:space="preserve"> </w:t>
      </w:r>
      <w:r>
        <w:t>Nachfolgend werden die theoretischen Aspekte sowie Vor- und Nachteile der einzelnen Verfahren bei der Anwendung auf binäre Datenstrukturen aufgeführt.</w:t>
      </w:r>
    </w:p>
    <w:p w14:paraId="0ABCF1C4" w14:textId="48E144A6" w:rsidR="00157BCE" w:rsidRDefault="002E3893" w:rsidP="004F245B">
      <w:pPr>
        <w:spacing w:after="120"/>
      </w:pPr>
      <w:bookmarkStart w:id="23" w:name="_Hlk87662781"/>
      <w:r>
        <w:t xml:space="preserve">Zu Beginn wird ein zur Datenstruktur passendes </w:t>
      </w:r>
      <w:r w:rsidR="002A2E41">
        <w:t xml:space="preserve">Proximitätsmaß </w:t>
      </w:r>
      <w:r>
        <w:t xml:space="preserve">als Grundlage für das Gruppierungsverfahren festgelegt. Diese bestimmen, wie die Unähnlichkeit </w:t>
      </w:r>
      <w:r w:rsidR="002B2307">
        <w:t>/</w:t>
      </w:r>
      <w:r>
        <w:t xml:space="preserve"> Ähnlichkei</w:t>
      </w:r>
      <w:r w:rsidR="005E3D18">
        <w:t>t</w:t>
      </w:r>
      <w:r>
        <w:t xml:space="preserve"> zwischen zwei Mustern gemessen wird</w:t>
      </w:r>
      <w:r w:rsidR="00F4288B">
        <w:t xml:space="preserve">. Im nächsten Schritt wird ein </w:t>
      </w:r>
      <w:r w:rsidR="002802BC">
        <w:t>Clusterverfahren</w:t>
      </w:r>
      <w:r w:rsidR="00F4288B">
        <w:t xml:space="preserve"> ausgewählt, nach der die Zuteilung der Gruppen erfolgt.</w:t>
      </w:r>
      <w:r w:rsidR="00AA2510">
        <w:t xml:space="preserve"> D</w:t>
      </w:r>
      <w:r w:rsidR="00F4288B">
        <w:t>arauf</w:t>
      </w:r>
      <w:r w:rsidR="00B513BC">
        <w:t>hin</w:t>
      </w:r>
      <w:r w:rsidR="00F4288B">
        <w:t xml:space="preserve"> erfolgt die Bestimmung der optimalen Clusterzahl, indem</w:t>
      </w:r>
      <w:r w:rsidR="00726AD8">
        <w:t xml:space="preserve"> versucht wird,</w:t>
      </w:r>
      <w:r w:rsidR="00AA2510" w:rsidRPr="00AA2510">
        <w:t xml:space="preserve"> </w:t>
      </w:r>
      <w:r w:rsidR="00AA2510">
        <w:t>inhärente Grupp</w:t>
      </w:r>
      <w:r w:rsidR="00084725">
        <w:t>i</w:t>
      </w:r>
      <w:r w:rsidR="00AA2510">
        <w:t>erungen innerhalb der Daten aufzudecken</w:t>
      </w:r>
      <w:r w:rsidR="00F4288B">
        <w:t>.</w:t>
      </w:r>
      <w:r w:rsidR="00F4288B">
        <w:rPr>
          <w:rStyle w:val="Funotenzeichen"/>
        </w:rPr>
        <w:footnoteReference w:id="37"/>
      </w:r>
    </w:p>
    <w:p w14:paraId="7BAC59F0" w14:textId="09C7C637" w:rsidR="002C38F0" w:rsidRDefault="003A5ED4" w:rsidP="001A4E15">
      <w:pPr>
        <w:pStyle w:val="Finalberschrift3"/>
        <w:numPr>
          <w:ilvl w:val="2"/>
          <w:numId w:val="11"/>
        </w:numPr>
      </w:pPr>
      <w:bookmarkStart w:id="24" w:name="_Toc88425827"/>
      <w:bookmarkEnd w:id="23"/>
      <w:r>
        <w:t xml:space="preserve">Auswahl des </w:t>
      </w:r>
      <w:r w:rsidR="002C38F0" w:rsidRPr="00C13551">
        <w:t xml:space="preserve">Distanz- </w:t>
      </w:r>
      <w:r>
        <w:t>/</w:t>
      </w:r>
      <w:r w:rsidR="002C38F0" w:rsidRPr="00C13551">
        <w:t xml:space="preserve"> Ähnlichkeitsmaße</w:t>
      </w:r>
      <w:r>
        <w:t>s</w:t>
      </w:r>
      <w:bookmarkStart w:id="25" w:name="_Hlk87869277"/>
      <w:bookmarkEnd w:id="24"/>
    </w:p>
    <w:bookmarkEnd w:id="25"/>
    <w:p w14:paraId="2AD462B1" w14:textId="06A41A24" w:rsidR="00CC294E" w:rsidRDefault="002A2E41" w:rsidP="00CC294E">
      <w:pPr>
        <w:spacing w:after="120"/>
      </w:pPr>
      <w:r>
        <w:t>Bei den Proximitätsmaßen wird grundsätzlich zwischen Distanz- und Ähnlichkeitsmaßen unterschieden</w:t>
      </w:r>
      <w:r w:rsidR="002802BC">
        <w:t>, wobei die Auswahl des Maßes vom Skalenniveau der Variablen abhängig ist</w:t>
      </w:r>
      <w:r>
        <w:t xml:space="preserve">. </w:t>
      </w:r>
      <w:r w:rsidR="002B2307">
        <w:t>Während D</w:t>
      </w:r>
      <w:r>
        <w:t>istanzmaße</w:t>
      </w:r>
      <w:r w:rsidR="002B2307">
        <w:t xml:space="preserve"> größere Werte annehmen, wenn zwei Beobachtungen weiter auseinanderliegen, und den Wert Null annehmen, wenn zwei Beobachtungen vollkommen identisch sind, funktionieren Ähnlichkeitsmaße genau umgekehrt.</w:t>
      </w:r>
      <w:r w:rsidR="002B2307">
        <w:rPr>
          <w:rStyle w:val="Funotenzeichen"/>
        </w:rPr>
        <w:footnoteReference w:id="38"/>
      </w:r>
      <w:r w:rsidR="002908C4">
        <w:t xml:space="preserve"> Es ist grundsätzlich </w:t>
      </w:r>
      <w:r w:rsidR="002802BC">
        <w:t xml:space="preserve">für das Clusterverfahren </w:t>
      </w:r>
      <w:r w:rsidR="002908C4">
        <w:t>irrelevant, welches der beiden verwendet wird, da Ä</w:t>
      </w:r>
      <w:r w:rsidR="003A29A2">
        <w:t>hnlichkeitsmaße als Distanzmaße angegeben werden</w:t>
      </w:r>
      <w:r w:rsidR="002908C4" w:rsidRPr="002908C4">
        <w:t xml:space="preserve"> </w:t>
      </w:r>
      <w:r w:rsidR="002908C4">
        <w:t xml:space="preserve">können und </w:t>
      </w:r>
      <w:r w:rsidR="00EF094E">
        <w:t>umgekehrt</w:t>
      </w:r>
      <w:r w:rsidR="003A29A2">
        <w:t>.</w:t>
      </w:r>
      <w:r w:rsidR="002908C4">
        <w:rPr>
          <w:rStyle w:val="Funotenzeichen"/>
        </w:rPr>
        <w:footnoteReference w:id="39"/>
      </w:r>
      <w:r w:rsidR="003A29A2">
        <w:t xml:space="preserve"> </w:t>
      </w:r>
    </w:p>
    <w:p w14:paraId="271E424B" w14:textId="7C5D856B" w:rsidR="004F245B" w:rsidRDefault="005B0EBB" w:rsidP="00CC294E">
      <w:pPr>
        <w:spacing w:after="120"/>
      </w:pPr>
      <w:r>
        <w:t xml:space="preserve">Zu den am häufigsten verwendeten Distanzmaßen zählt </w:t>
      </w:r>
      <w:r w:rsidRPr="00FF090E">
        <w:t>die euklidische Distanz,</w:t>
      </w:r>
      <w:r>
        <w:t xml:space="preserve"> </w:t>
      </w:r>
      <w:r w:rsidR="002908C4">
        <w:t>die</w:t>
      </w:r>
      <w:r>
        <w:t xml:space="preserve"> der wahren geometrischen Distanz</w:t>
      </w:r>
      <w:r w:rsidR="00F905C9">
        <w:t xml:space="preserve"> im n-dimensionalen euklidischen Raum</w:t>
      </w:r>
      <w:r>
        <w:t xml:space="preserve"> </w:t>
      </w:r>
      <m:oMath>
        <m:r>
          <m:rPr>
            <m:scr m:val="double-struck"/>
          </m:rPr>
          <w:rPr>
            <w:rFonts w:ascii="Cambria Math" w:hAnsi="Cambria Math"/>
          </w:rPr>
          <m:t>R</m:t>
        </m:r>
      </m:oMath>
      <w:r w:rsidR="009053CB" w:rsidRPr="009053CB">
        <w:rPr>
          <w:i/>
          <w:iCs/>
          <w:vertAlign w:val="superscript"/>
        </w:rPr>
        <w:t>n</w:t>
      </w:r>
      <w:r w:rsidR="009053CB">
        <w:t xml:space="preserve"> z</w:t>
      </w:r>
      <w:r>
        <w:t>wischen den Objekten i und j und deren Koordinaten</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m:t>
        </m:r>
      </m:oMath>
      <w:r w:rsidR="009E1FF8" w:rsidRPr="005B0EBB">
        <w:t xml:space="preserve"> </w:t>
      </w:r>
      <w:r w:rsidR="009E1FF8">
        <w:t>und</w:t>
      </w:r>
      <w:r>
        <w:t xml:space="preserve"> </w:t>
      </w:r>
      <m:oMath>
        <m:sSub>
          <m:sSubPr>
            <m:ctrlPr>
              <w:rPr>
                <w:rFonts w:ascii="Cambria Math" w:hAnsi="Cambria Math"/>
                <w:i/>
              </w:rPr>
            </m:ctrlPr>
          </m:sSubPr>
          <m:e>
            <m:r>
              <w:rPr>
                <w:rFonts w:ascii="Cambria Math" w:hAnsi="Cambria Math"/>
              </w:rPr>
              <m:t>(x</m:t>
            </m:r>
          </m:e>
          <m:sub>
            <m:r>
              <w:rPr>
                <w:rFonts w:ascii="Cambria Math" w:hAnsi="Cambria Math"/>
              </w:rPr>
              <m:t>j1</m:t>
            </m:r>
          </m:sub>
        </m:sSub>
        <m:sSub>
          <m:sSubPr>
            <m:ctrlPr>
              <w:rPr>
                <w:rFonts w:ascii="Cambria Math" w:hAnsi="Cambria Math"/>
                <w:i/>
              </w:rPr>
            </m:ctrlPr>
          </m:sSubPr>
          <m:e>
            <m:r>
              <w:rPr>
                <w:rFonts w:ascii="Cambria Math" w:hAnsi="Cambria Math"/>
              </w:rPr>
              <m:t>,…,x</m:t>
            </m:r>
          </m:e>
          <m:sub>
            <m:r>
              <w:rPr>
                <w:rFonts w:ascii="Cambria Math" w:hAnsi="Cambria Math"/>
              </w:rPr>
              <m:t>jn</m:t>
            </m:r>
          </m:sub>
        </m:sSub>
        <m:r>
          <w:rPr>
            <w:rFonts w:ascii="Cambria Math" w:hAnsi="Cambria Math"/>
          </w:rPr>
          <m:t>)</m:t>
        </m:r>
      </m:oMath>
      <w:r w:rsidRPr="005B0EBB">
        <w:t xml:space="preserve"> </w:t>
      </w:r>
      <w:r>
        <w:t>entspricht:</w:t>
      </w:r>
      <w:r w:rsidR="009053CB">
        <w:rPr>
          <w:rStyle w:val="Funotenzeichen"/>
        </w:rPr>
        <w:footnoteReference w:id="40"/>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7371"/>
        <w:gridCol w:w="624"/>
      </w:tblGrid>
      <w:tr w:rsidR="009E1FF8" w14:paraId="155C3D73" w14:textId="77777777" w:rsidTr="005E0FC3">
        <w:tc>
          <w:tcPr>
            <w:tcW w:w="624" w:type="dxa"/>
          </w:tcPr>
          <w:p w14:paraId="3EE2842A" w14:textId="73D4FF68" w:rsidR="009E1FF8" w:rsidRDefault="009E1FF8" w:rsidP="001D32BC"/>
        </w:tc>
        <w:tc>
          <w:tcPr>
            <w:tcW w:w="7371" w:type="dxa"/>
          </w:tcPr>
          <w:p w14:paraId="12F524CA" w14:textId="635DAFDE" w:rsidR="009E1FF8" w:rsidRDefault="009E1FF8" w:rsidP="006C0526">
            <m:oMathPara>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nary>
                  </m:e>
                </m:rad>
              </m:oMath>
            </m:oMathPara>
          </w:p>
        </w:tc>
        <w:tc>
          <w:tcPr>
            <w:tcW w:w="624" w:type="dxa"/>
            <w:vAlign w:val="center"/>
          </w:tcPr>
          <w:p w14:paraId="61911194" w14:textId="1CA8DD0D" w:rsidR="009E1FF8" w:rsidRDefault="009E1FF8" w:rsidP="005E0FC3">
            <w:pPr>
              <w:jc w:val="right"/>
            </w:pPr>
            <w:r>
              <w:t>(</w:t>
            </w:r>
            <w:r w:rsidR="00CC294E">
              <w:t>1</w:t>
            </w:r>
            <w:r>
              <w:t>)</w:t>
            </w:r>
          </w:p>
        </w:tc>
      </w:tr>
    </w:tbl>
    <w:p w14:paraId="74070B82" w14:textId="59E39DF5" w:rsidR="006C0526" w:rsidRDefault="006C0526" w:rsidP="001B42E9">
      <w:pPr>
        <w:spacing w:before="120" w:after="120"/>
      </w:pPr>
      <w:r>
        <w:lastRenderedPageBreak/>
        <w:t xml:space="preserve">Die Quadrierung </w:t>
      </w:r>
      <w:r w:rsidR="005E0FC3">
        <w:t>der Gleichung (</w:t>
      </w:r>
      <w:r w:rsidR="00CC294E">
        <w:t>1</w:t>
      </w:r>
      <w:r w:rsidR="005E0FC3">
        <w:t>)</w:t>
      </w:r>
      <w:r>
        <w:t xml:space="preserve"> ergibt die </w:t>
      </w:r>
      <w:r w:rsidRPr="00FF090E">
        <w:t>quadrierte euklidische Distanz</w:t>
      </w:r>
      <w:r>
        <w:t xml:space="preserve"> und berücksichtig</w:t>
      </w:r>
      <w:r w:rsidR="005E0FC3">
        <w:t>t</w:t>
      </w:r>
      <w:r>
        <w:t xml:space="preserve"> dadurch größere Differenzen stärker</w:t>
      </w:r>
      <w:r w:rsidR="005E0FC3">
        <w:t xml:space="preserve"> und Kleinere schwächer.</w:t>
      </w:r>
      <w:r w:rsidR="005E0FC3">
        <w:rPr>
          <w:rStyle w:val="Funotenzeichen"/>
        </w:rPr>
        <w:footnoteReference w:id="41"/>
      </w:r>
      <w:r w:rsidR="005E0FC3">
        <w:t xml:space="preserve"> Dieses Distanzmaß wird auch in Masiak et al. (201</w:t>
      </w:r>
      <w:r w:rsidR="007B3838">
        <w:t>9</w:t>
      </w:r>
      <w:r w:rsidR="005E0FC3">
        <w:t>) verwendet</w:t>
      </w:r>
      <w:r w:rsidR="002802BC">
        <w:t>, ist jedoch für binäre Datenstrukturen ungeeignet.</w:t>
      </w:r>
      <w:r w:rsidR="00B5633B">
        <w:rPr>
          <w:rStyle w:val="Funotenzeichen"/>
        </w:rPr>
        <w:footnoteReference w:id="42"/>
      </w:r>
      <w:r w:rsidR="00B5633B">
        <w:t xml:space="preserve"> Während bei metrisch skalierten Variablen Distanzmaße verwendet werden können, sind bei binären Variablen Ähnlichkeitsmaße angemessen.</w:t>
      </w:r>
      <w:r w:rsidR="004911D6">
        <w:rPr>
          <w:rStyle w:val="Funotenzeichen"/>
        </w:rPr>
        <w:footnoteReference w:id="43"/>
      </w:r>
    </w:p>
    <w:p w14:paraId="47C3EF3F" w14:textId="087F73D8" w:rsidR="004F6F58" w:rsidRDefault="004F6F58" w:rsidP="001B42E9">
      <w:pPr>
        <w:spacing w:after="120"/>
      </w:pPr>
      <w:r>
        <w:t>Ähnlichkeitsmaße bei binären Variablen gehen immer von einem Paarvergleich aus</w:t>
      </w:r>
      <w:r w:rsidR="00496EAE">
        <w:t xml:space="preserve">, die bei zwei Objekten </w:t>
      </w:r>
      <m:oMath>
        <m:r>
          <w:rPr>
            <w:rFonts w:ascii="Cambria Math" w:hAnsi="Cambria Math"/>
          </w:rPr>
          <m:t>i</m:t>
        </m:r>
      </m:oMath>
      <w:r w:rsidR="00496EAE">
        <w:t xml:space="preserve"> und </w:t>
      </w:r>
      <m:oMath>
        <m:r>
          <w:rPr>
            <w:rFonts w:ascii="Cambria Math" w:hAnsi="Cambria Math"/>
          </w:rPr>
          <m:t>j</m:t>
        </m:r>
      </m:oMath>
      <w:r w:rsidR="00496EAE">
        <w:t xml:space="preserve"> </w:t>
      </w:r>
      <w:r w:rsidR="00A76756">
        <w:t xml:space="preserve">mit </w:t>
      </w:r>
      <m:oMath>
        <m:r>
          <w:rPr>
            <w:rFonts w:ascii="Cambria Math" w:hAnsi="Cambria Math"/>
          </w:rPr>
          <m:t>M</m:t>
        </m:r>
      </m:oMath>
      <w:r w:rsidR="00A76756">
        <w:t xml:space="preserve"> verschiedenen Variablen </w:t>
      </w:r>
      <w:r w:rsidR="00496EAE">
        <w:t xml:space="preserve">alle </w:t>
      </w:r>
      <w:r w:rsidR="00A76756">
        <w:t>Variablen</w:t>
      </w:r>
      <w:r w:rsidR="00496EAE">
        <w:t xml:space="preserve">ausprägungen miteinander vergleichen. </w:t>
      </w:r>
      <w:r w:rsidR="00A76756">
        <w:t>Dies</w:t>
      </w:r>
      <w:r w:rsidR="00292605">
        <w:t xml:space="preserve"> </w:t>
      </w:r>
      <w:r w:rsidR="00496EAE">
        <w:t>lässt sich in einer Konti</w:t>
      </w:r>
      <w:r w:rsidR="005C356F">
        <w:t>n</w:t>
      </w:r>
      <w:r w:rsidR="00496EAE">
        <w:t>genztabelle darstell</w:t>
      </w:r>
      <w:r w:rsidR="00292605">
        <w:t>en</w:t>
      </w:r>
      <w:r w:rsidR="00496EAE">
        <w:t>:</w:t>
      </w:r>
      <w:r w:rsidR="00496EAE">
        <w:rPr>
          <w:rStyle w:val="Funotenzeichen"/>
        </w:rPr>
        <w:footnoteReference w:id="44"/>
      </w:r>
      <w:r w:rsidR="00496EAE">
        <w:t xml:space="preserve"> </w:t>
      </w:r>
    </w:p>
    <w:p w14:paraId="2AF5A1CC" w14:textId="7D1963F2" w:rsidR="00247A5A" w:rsidRDefault="00247A5A" w:rsidP="00247A5A">
      <w:pPr>
        <w:pStyle w:val="Beschriftung"/>
        <w:keepNext/>
        <w:spacing w:after="0"/>
        <w:rPr>
          <w:i w:val="0"/>
          <w:iCs w:val="0"/>
          <w:color w:val="auto"/>
          <w:sz w:val="24"/>
          <w:szCs w:val="22"/>
        </w:rPr>
      </w:pPr>
      <w:bookmarkStart w:id="26" w:name="_Toc88422976"/>
      <w:r w:rsidRPr="00247A5A">
        <w:rPr>
          <w:b/>
          <w:bCs/>
          <w:i w:val="0"/>
          <w:iCs w:val="0"/>
          <w:color w:val="auto"/>
          <w:sz w:val="24"/>
          <w:szCs w:val="22"/>
        </w:rPr>
        <w:t xml:space="preserve">Abbildung </w:t>
      </w:r>
      <w:r w:rsidRPr="00247A5A">
        <w:rPr>
          <w:b/>
          <w:bCs/>
          <w:i w:val="0"/>
          <w:iCs w:val="0"/>
          <w:color w:val="auto"/>
          <w:sz w:val="24"/>
          <w:szCs w:val="22"/>
        </w:rPr>
        <w:fldChar w:fldCharType="begin"/>
      </w:r>
      <w:r w:rsidRPr="00247A5A">
        <w:rPr>
          <w:b/>
          <w:bCs/>
          <w:i w:val="0"/>
          <w:iCs w:val="0"/>
          <w:color w:val="auto"/>
          <w:sz w:val="24"/>
          <w:szCs w:val="22"/>
        </w:rPr>
        <w:instrText xml:space="preserve"> SEQ Abbildung \* ARABIC </w:instrText>
      </w:r>
      <w:r w:rsidRPr="00247A5A">
        <w:rPr>
          <w:b/>
          <w:bCs/>
          <w:i w:val="0"/>
          <w:iCs w:val="0"/>
          <w:color w:val="auto"/>
          <w:sz w:val="24"/>
          <w:szCs w:val="22"/>
        </w:rPr>
        <w:fldChar w:fldCharType="separate"/>
      </w:r>
      <w:r w:rsidR="00285390">
        <w:rPr>
          <w:b/>
          <w:bCs/>
          <w:i w:val="0"/>
          <w:iCs w:val="0"/>
          <w:noProof/>
          <w:color w:val="auto"/>
          <w:sz w:val="24"/>
          <w:szCs w:val="22"/>
        </w:rPr>
        <w:t>1</w:t>
      </w:r>
      <w:r w:rsidRPr="00247A5A">
        <w:rPr>
          <w:b/>
          <w:bCs/>
          <w:i w:val="0"/>
          <w:iCs w:val="0"/>
          <w:color w:val="auto"/>
          <w:sz w:val="24"/>
          <w:szCs w:val="22"/>
        </w:rPr>
        <w:fldChar w:fldCharType="end"/>
      </w:r>
      <w:r w:rsidRPr="00247A5A">
        <w:rPr>
          <w:b/>
          <w:bCs/>
          <w:i w:val="0"/>
          <w:iCs w:val="0"/>
          <w:color w:val="auto"/>
          <w:sz w:val="24"/>
          <w:szCs w:val="22"/>
        </w:rPr>
        <w:t xml:space="preserve">: </w:t>
      </w:r>
      <w:r w:rsidRPr="00247A5A">
        <w:rPr>
          <w:b/>
          <w:bCs/>
          <w:i w:val="0"/>
          <w:iCs w:val="0"/>
          <w:color w:val="auto"/>
          <w:sz w:val="24"/>
          <w:szCs w:val="22"/>
        </w:rPr>
        <w:tab/>
      </w:r>
      <w:r>
        <w:rPr>
          <w:i w:val="0"/>
          <w:iCs w:val="0"/>
          <w:color w:val="auto"/>
          <w:sz w:val="24"/>
          <w:szCs w:val="22"/>
        </w:rPr>
        <w:t xml:space="preserve">2 x 2 </w:t>
      </w:r>
      <w:r w:rsidRPr="005C356F">
        <w:rPr>
          <w:i w:val="0"/>
          <w:iCs w:val="0"/>
          <w:color w:val="auto"/>
          <w:sz w:val="24"/>
          <w:szCs w:val="22"/>
        </w:rPr>
        <w:t xml:space="preserve">Kontingenztabelle </w:t>
      </w:r>
      <w:r>
        <w:rPr>
          <w:i w:val="0"/>
          <w:iCs w:val="0"/>
          <w:color w:val="auto"/>
          <w:sz w:val="24"/>
          <w:szCs w:val="22"/>
        </w:rPr>
        <w:t xml:space="preserve">zweier Objekte </w:t>
      </w:r>
      <m:oMath>
        <m:r>
          <w:rPr>
            <w:rFonts w:ascii="Cambria Math" w:hAnsi="Cambria Math"/>
            <w:color w:val="auto"/>
            <w:sz w:val="24"/>
            <w:szCs w:val="22"/>
          </w:rPr>
          <m:t>i</m:t>
        </m:r>
      </m:oMath>
      <w:r>
        <w:rPr>
          <w:i w:val="0"/>
          <w:iCs w:val="0"/>
          <w:color w:val="auto"/>
          <w:sz w:val="24"/>
          <w:szCs w:val="22"/>
        </w:rPr>
        <w:t xml:space="preserve"> und </w:t>
      </w:r>
      <m:oMath>
        <m:r>
          <w:rPr>
            <w:rFonts w:ascii="Cambria Math" w:hAnsi="Cambria Math"/>
            <w:color w:val="auto"/>
            <w:sz w:val="24"/>
            <w:szCs w:val="22"/>
          </w:rPr>
          <m:t>j</m:t>
        </m:r>
      </m:oMath>
      <w:bookmarkEnd w:id="26"/>
    </w:p>
    <w:p w14:paraId="0B412DE6" w14:textId="711526B5" w:rsidR="00247A5A" w:rsidRDefault="00247A5A" w:rsidP="00247A5A">
      <w:pPr>
        <w:spacing w:after="0"/>
        <w:ind w:left="709" w:firstLine="709"/>
      </w:pPr>
      <w:r>
        <w:t>eigene Darstellung nach</w:t>
      </w:r>
      <w:r w:rsidRPr="00F52FC9">
        <w:t xml:space="preserve"> Kaufmann / Rousseeuw </w:t>
      </w:r>
      <w:r>
        <w:t xml:space="preserve">(2005), </w:t>
      </w:r>
      <w:r w:rsidRPr="00F52FC9">
        <w:t>S. 23.</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1743"/>
        <w:gridCol w:w="1747"/>
        <w:gridCol w:w="1747"/>
        <w:gridCol w:w="1765"/>
      </w:tblGrid>
      <w:tr w:rsidR="00F52FC9" w14:paraId="3E33ECA4" w14:textId="77777777" w:rsidTr="00F52FC9">
        <w:tc>
          <w:tcPr>
            <w:tcW w:w="1043" w:type="dxa"/>
            <w:vAlign w:val="center"/>
          </w:tcPr>
          <w:p w14:paraId="13044F7F" w14:textId="77777777" w:rsidR="00F52FC9" w:rsidRPr="00F52FC9" w:rsidRDefault="00F52FC9" w:rsidP="00F52FC9">
            <w:pPr>
              <w:jc w:val="center"/>
              <w:rPr>
                <w:i/>
                <w:iCs/>
              </w:rPr>
            </w:pPr>
          </w:p>
        </w:tc>
        <w:tc>
          <w:tcPr>
            <w:tcW w:w="1743" w:type="dxa"/>
            <w:vAlign w:val="center"/>
          </w:tcPr>
          <w:p w14:paraId="6CCE5A13" w14:textId="22AE47C7" w:rsidR="00F52FC9" w:rsidRPr="00F52FC9" w:rsidRDefault="00F52FC9" w:rsidP="00F52FC9">
            <w:pPr>
              <w:jc w:val="center"/>
              <w:rPr>
                <w:i/>
                <w:iCs/>
              </w:rPr>
            </w:pPr>
          </w:p>
        </w:tc>
        <w:tc>
          <w:tcPr>
            <w:tcW w:w="3494" w:type="dxa"/>
            <w:gridSpan w:val="2"/>
            <w:vAlign w:val="center"/>
          </w:tcPr>
          <w:p w14:paraId="3499927D" w14:textId="74EDEE02" w:rsidR="00F52FC9" w:rsidRPr="00F52FC9" w:rsidRDefault="00F52FC9" w:rsidP="00F52FC9">
            <w:pPr>
              <w:jc w:val="center"/>
              <w:rPr>
                <w:i/>
                <w:iCs/>
              </w:rPr>
            </w:pPr>
            <w:r w:rsidRPr="00F52FC9">
              <w:t>Objekt</w:t>
            </w:r>
            <w:r w:rsidRPr="00F52FC9">
              <w:rPr>
                <w:i/>
                <w:iCs/>
              </w:rPr>
              <w:t xml:space="preserve"> j</w:t>
            </w:r>
          </w:p>
        </w:tc>
        <w:tc>
          <w:tcPr>
            <w:tcW w:w="1765" w:type="dxa"/>
            <w:vAlign w:val="center"/>
          </w:tcPr>
          <w:p w14:paraId="02958C4C" w14:textId="77777777" w:rsidR="00F52FC9" w:rsidRPr="00F52FC9" w:rsidRDefault="00F52FC9" w:rsidP="00F52FC9">
            <w:pPr>
              <w:jc w:val="center"/>
              <w:rPr>
                <w:i/>
                <w:iCs/>
              </w:rPr>
            </w:pPr>
          </w:p>
        </w:tc>
      </w:tr>
      <w:tr w:rsidR="00F52FC9" w14:paraId="0B15DCAC" w14:textId="77777777" w:rsidTr="00A64BD8">
        <w:tc>
          <w:tcPr>
            <w:tcW w:w="1043" w:type="dxa"/>
            <w:vAlign w:val="center"/>
          </w:tcPr>
          <w:p w14:paraId="3D276069" w14:textId="77777777" w:rsidR="00F52FC9" w:rsidRPr="00F52FC9" w:rsidRDefault="00F52FC9" w:rsidP="00A64BD8">
            <w:pPr>
              <w:jc w:val="center"/>
              <w:rPr>
                <w:i/>
                <w:iCs/>
              </w:rPr>
            </w:pPr>
          </w:p>
        </w:tc>
        <w:tc>
          <w:tcPr>
            <w:tcW w:w="1743" w:type="dxa"/>
            <w:vAlign w:val="center"/>
          </w:tcPr>
          <w:p w14:paraId="690A2FC9" w14:textId="276A8970" w:rsidR="00F52FC9" w:rsidRPr="00F52FC9" w:rsidRDefault="00F52FC9" w:rsidP="00A64BD8">
            <w:pPr>
              <w:jc w:val="center"/>
              <w:rPr>
                <w:i/>
                <w:iCs/>
              </w:rPr>
            </w:pPr>
          </w:p>
        </w:tc>
        <w:tc>
          <w:tcPr>
            <w:tcW w:w="1747" w:type="dxa"/>
            <w:tcBorders>
              <w:bottom w:val="single" w:sz="6" w:space="0" w:color="auto"/>
            </w:tcBorders>
            <w:vAlign w:val="center"/>
          </w:tcPr>
          <w:p w14:paraId="46D82B8E" w14:textId="2A21D50C" w:rsidR="00F52FC9" w:rsidRPr="00F52FC9" w:rsidRDefault="00F52FC9" w:rsidP="00A64BD8">
            <w:pPr>
              <w:jc w:val="center"/>
            </w:pPr>
            <w:r w:rsidRPr="00F52FC9">
              <w:t>1</w:t>
            </w:r>
          </w:p>
        </w:tc>
        <w:tc>
          <w:tcPr>
            <w:tcW w:w="1747" w:type="dxa"/>
            <w:tcBorders>
              <w:bottom w:val="single" w:sz="6" w:space="0" w:color="auto"/>
            </w:tcBorders>
            <w:vAlign w:val="center"/>
          </w:tcPr>
          <w:p w14:paraId="6E0BB1E3" w14:textId="6EF70493" w:rsidR="00F52FC9" w:rsidRPr="00F52FC9" w:rsidRDefault="00F52FC9" w:rsidP="00A64BD8">
            <w:pPr>
              <w:jc w:val="center"/>
            </w:pPr>
            <w:r w:rsidRPr="00F52FC9">
              <w:t>0</w:t>
            </w:r>
          </w:p>
        </w:tc>
        <w:tc>
          <w:tcPr>
            <w:tcW w:w="1765" w:type="dxa"/>
            <w:vAlign w:val="center"/>
          </w:tcPr>
          <w:p w14:paraId="51B4405C" w14:textId="77777777" w:rsidR="00F52FC9" w:rsidRPr="00F52FC9" w:rsidRDefault="00F52FC9" w:rsidP="00A64BD8">
            <w:pPr>
              <w:jc w:val="center"/>
              <w:rPr>
                <w:i/>
                <w:iCs/>
              </w:rPr>
            </w:pPr>
          </w:p>
        </w:tc>
      </w:tr>
      <w:tr w:rsidR="00F52FC9" w14:paraId="4AE78E57" w14:textId="77777777" w:rsidTr="00A64BD8">
        <w:tc>
          <w:tcPr>
            <w:tcW w:w="1043" w:type="dxa"/>
            <w:vMerge w:val="restart"/>
            <w:vAlign w:val="center"/>
          </w:tcPr>
          <w:p w14:paraId="65CB3541" w14:textId="36D16DD1" w:rsidR="00F52FC9" w:rsidRPr="00F52FC9" w:rsidRDefault="00F52FC9" w:rsidP="00A64BD8">
            <w:pPr>
              <w:jc w:val="center"/>
              <w:rPr>
                <w:i/>
                <w:iCs/>
              </w:rPr>
            </w:pPr>
            <w:r w:rsidRPr="00F52FC9">
              <w:t>Objekt</w:t>
            </w:r>
            <w:r w:rsidRPr="00F52FC9">
              <w:rPr>
                <w:i/>
                <w:iCs/>
              </w:rPr>
              <w:t xml:space="preserve"> i</w:t>
            </w:r>
          </w:p>
        </w:tc>
        <w:tc>
          <w:tcPr>
            <w:tcW w:w="1743" w:type="dxa"/>
            <w:tcBorders>
              <w:right w:val="single" w:sz="6" w:space="0" w:color="auto"/>
            </w:tcBorders>
            <w:vAlign w:val="center"/>
          </w:tcPr>
          <w:p w14:paraId="60BF5E64" w14:textId="2AAA6401" w:rsidR="00F52FC9" w:rsidRPr="00F52FC9" w:rsidRDefault="00F52FC9" w:rsidP="00A64BD8">
            <w:pPr>
              <w:jc w:val="center"/>
            </w:pPr>
            <w:r w:rsidRPr="00F52FC9">
              <w:t>1</w:t>
            </w:r>
          </w:p>
        </w:tc>
        <w:tc>
          <w:tcPr>
            <w:tcW w:w="1747" w:type="dxa"/>
            <w:tcBorders>
              <w:top w:val="single" w:sz="6" w:space="0" w:color="auto"/>
              <w:left w:val="single" w:sz="6" w:space="0" w:color="auto"/>
              <w:bottom w:val="single" w:sz="6" w:space="0" w:color="auto"/>
              <w:right w:val="single" w:sz="6" w:space="0" w:color="auto"/>
            </w:tcBorders>
            <w:vAlign w:val="center"/>
          </w:tcPr>
          <w:p w14:paraId="28950D1A" w14:textId="5E3D205E" w:rsidR="00F52FC9" w:rsidRPr="00F52FC9" w:rsidRDefault="00F52FC9" w:rsidP="00A64BD8">
            <w:pPr>
              <w:jc w:val="center"/>
              <w:rPr>
                <w:i/>
                <w:iCs/>
              </w:rPr>
            </w:pPr>
            <w:r w:rsidRPr="00F52FC9">
              <w:rPr>
                <w:i/>
                <w:iCs/>
              </w:rPr>
              <w:t>a</w:t>
            </w:r>
          </w:p>
        </w:tc>
        <w:tc>
          <w:tcPr>
            <w:tcW w:w="1747" w:type="dxa"/>
            <w:tcBorders>
              <w:top w:val="single" w:sz="6" w:space="0" w:color="auto"/>
              <w:left w:val="single" w:sz="6" w:space="0" w:color="auto"/>
              <w:bottom w:val="single" w:sz="6" w:space="0" w:color="auto"/>
              <w:right w:val="single" w:sz="6" w:space="0" w:color="auto"/>
            </w:tcBorders>
            <w:vAlign w:val="center"/>
          </w:tcPr>
          <w:p w14:paraId="79247210" w14:textId="4385473C" w:rsidR="00F52FC9" w:rsidRPr="00F52FC9" w:rsidRDefault="00F52FC9" w:rsidP="00A64BD8">
            <w:pPr>
              <w:jc w:val="center"/>
              <w:rPr>
                <w:i/>
                <w:iCs/>
              </w:rPr>
            </w:pPr>
            <w:r w:rsidRPr="00F52FC9">
              <w:rPr>
                <w:i/>
                <w:iCs/>
              </w:rPr>
              <w:t>b</w:t>
            </w:r>
          </w:p>
        </w:tc>
        <w:tc>
          <w:tcPr>
            <w:tcW w:w="1765" w:type="dxa"/>
            <w:tcBorders>
              <w:left w:val="single" w:sz="6" w:space="0" w:color="auto"/>
            </w:tcBorders>
            <w:vAlign w:val="center"/>
          </w:tcPr>
          <w:p w14:paraId="0638C4EE" w14:textId="2466ECA7" w:rsidR="00F52FC9" w:rsidRPr="00F52FC9" w:rsidRDefault="00F52FC9" w:rsidP="00A64BD8">
            <w:pPr>
              <w:jc w:val="center"/>
              <w:rPr>
                <w:i/>
                <w:iCs/>
              </w:rPr>
            </w:pPr>
            <w:r w:rsidRPr="00F52FC9">
              <w:rPr>
                <w:i/>
                <w:iCs/>
              </w:rPr>
              <w:t>a + b</w:t>
            </w:r>
          </w:p>
        </w:tc>
      </w:tr>
      <w:tr w:rsidR="00F52FC9" w14:paraId="52DDD02F" w14:textId="77777777" w:rsidTr="00A64BD8">
        <w:tc>
          <w:tcPr>
            <w:tcW w:w="1043" w:type="dxa"/>
            <w:vMerge/>
            <w:vAlign w:val="center"/>
          </w:tcPr>
          <w:p w14:paraId="4ED738DC" w14:textId="77777777" w:rsidR="00F52FC9" w:rsidRPr="00F52FC9" w:rsidRDefault="00F52FC9" w:rsidP="00A64BD8">
            <w:pPr>
              <w:jc w:val="center"/>
              <w:rPr>
                <w:i/>
                <w:iCs/>
              </w:rPr>
            </w:pPr>
          </w:p>
        </w:tc>
        <w:tc>
          <w:tcPr>
            <w:tcW w:w="1743" w:type="dxa"/>
            <w:tcBorders>
              <w:right w:val="single" w:sz="6" w:space="0" w:color="auto"/>
            </w:tcBorders>
            <w:vAlign w:val="center"/>
          </w:tcPr>
          <w:p w14:paraId="304C7C11" w14:textId="3FC6F5F9" w:rsidR="00F52FC9" w:rsidRPr="00F52FC9" w:rsidRDefault="00F52FC9" w:rsidP="00A64BD8">
            <w:pPr>
              <w:jc w:val="center"/>
            </w:pPr>
            <w:r w:rsidRPr="00F52FC9">
              <w:t>0</w:t>
            </w:r>
          </w:p>
        </w:tc>
        <w:tc>
          <w:tcPr>
            <w:tcW w:w="1747" w:type="dxa"/>
            <w:tcBorders>
              <w:top w:val="single" w:sz="6" w:space="0" w:color="auto"/>
              <w:left w:val="single" w:sz="6" w:space="0" w:color="auto"/>
              <w:bottom w:val="single" w:sz="6" w:space="0" w:color="auto"/>
              <w:right w:val="single" w:sz="6" w:space="0" w:color="auto"/>
            </w:tcBorders>
            <w:vAlign w:val="center"/>
          </w:tcPr>
          <w:p w14:paraId="01407790" w14:textId="792E2042" w:rsidR="00F52FC9" w:rsidRPr="00F52FC9" w:rsidRDefault="00F52FC9" w:rsidP="00A64BD8">
            <w:pPr>
              <w:jc w:val="center"/>
              <w:rPr>
                <w:i/>
                <w:iCs/>
              </w:rPr>
            </w:pPr>
            <w:r w:rsidRPr="00F52FC9">
              <w:rPr>
                <w:i/>
                <w:iCs/>
              </w:rPr>
              <w:t>c</w:t>
            </w:r>
          </w:p>
        </w:tc>
        <w:tc>
          <w:tcPr>
            <w:tcW w:w="1747" w:type="dxa"/>
            <w:tcBorders>
              <w:top w:val="single" w:sz="6" w:space="0" w:color="auto"/>
              <w:left w:val="single" w:sz="6" w:space="0" w:color="auto"/>
              <w:bottom w:val="single" w:sz="6" w:space="0" w:color="auto"/>
              <w:right w:val="single" w:sz="6" w:space="0" w:color="auto"/>
            </w:tcBorders>
            <w:vAlign w:val="center"/>
          </w:tcPr>
          <w:p w14:paraId="21378B8F" w14:textId="2BBA4731" w:rsidR="00F52FC9" w:rsidRPr="00F52FC9" w:rsidRDefault="00F52FC9" w:rsidP="00A64BD8">
            <w:pPr>
              <w:jc w:val="center"/>
              <w:rPr>
                <w:i/>
                <w:iCs/>
              </w:rPr>
            </w:pPr>
            <w:r w:rsidRPr="00F52FC9">
              <w:rPr>
                <w:i/>
                <w:iCs/>
              </w:rPr>
              <w:t>d</w:t>
            </w:r>
          </w:p>
        </w:tc>
        <w:tc>
          <w:tcPr>
            <w:tcW w:w="1765" w:type="dxa"/>
            <w:tcBorders>
              <w:left w:val="single" w:sz="6" w:space="0" w:color="auto"/>
            </w:tcBorders>
            <w:vAlign w:val="center"/>
          </w:tcPr>
          <w:p w14:paraId="6AF1A1EC" w14:textId="662290E5" w:rsidR="00F52FC9" w:rsidRPr="00F52FC9" w:rsidRDefault="00F52FC9" w:rsidP="00A64BD8">
            <w:pPr>
              <w:jc w:val="center"/>
              <w:rPr>
                <w:i/>
                <w:iCs/>
              </w:rPr>
            </w:pPr>
            <w:r w:rsidRPr="00F52FC9">
              <w:rPr>
                <w:i/>
                <w:iCs/>
              </w:rPr>
              <w:t>c + d</w:t>
            </w:r>
          </w:p>
        </w:tc>
      </w:tr>
      <w:tr w:rsidR="00F52FC9" w14:paraId="2EA5CFCE" w14:textId="77777777" w:rsidTr="00A64BD8">
        <w:tc>
          <w:tcPr>
            <w:tcW w:w="1043" w:type="dxa"/>
            <w:vAlign w:val="center"/>
          </w:tcPr>
          <w:p w14:paraId="593985C1" w14:textId="77777777" w:rsidR="00F52FC9" w:rsidRPr="00F52FC9" w:rsidRDefault="00F52FC9" w:rsidP="00A64BD8">
            <w:pPr>
              <w:jc w:val="center"/>
              <w:rPr>
                <w:i/>
                <w:iCs/>
              </w:rPr>
            </w:pPr>
          </w:p>
        </w:tc>
        <w:tc>
          <w:tcPr>
            <w:tcW w:w="1743" w:type="dxa"/>
            <w:vAlign w:val="center"/>
          </w:tcPr>
          <w:p w14:paraId="22887D75" w14:textId="31AD1CE0" w:rsidR="00F52FC9" w:rsidRPr="00F52FC9" w:rsidRDefault="00F52FC9" w:rsidP="00A64BD8">
            <w:pPr>
              <w:jc w:val="center"/>
              <w:rPr>
                <w:i/>
                <w:iCs/>
              </w:rPr>
            </w:pPr>
          </w:p>
        </w:tc>
        <w:tc>
          <w:tcPr>
            <w:tcW w:w="1747" w:type="dxa"/>
            <w:tcBorders>
              <w:top w:val="single" w:sz="6" w:space="0" w:color="auto"/>
            </w:tcBorders>
            <w:vAlign w:val="center"/>
          </w:tcPr>
          <w:p w14:paraId="6941B7EF" w14:textId="70A5AC1E" w:rsidR="00F52FC9" w:rsidRPr="00F52FC9" w:rsidRDefault="00F52FC9" w:rsidP="00A64BD8">
            <w:pPr>
              <w:jc w:val="center"/>
              <w:rPr>
                <w:i/>
                <w:iCs/>
              </w:rPr>
            </w:pPr>
            <w:r w:rsidRPr="00F52FC9">
              <w:rPr>
                <w:i/>
                <w:iCs/>
              </w:rPr>
              <w:t>a + c</w:t>
            </w:r>
          </w:p>
        </w:tc>
        <w:tc>
          <w:tcPr>
            <w:tcW w:w="1747" w:type="dxa"/>
            <w:tcBorders>
              <w:top w:val="single" w:sz="6" w:space="0" w:color="auto"/>
            </w:tcBorders>
            <w:vAlign w:val="center"/>
          </w:tcPr>
          <w:p w14:paraId="193A4224" w14:textId="1D5204B9" w:rsidR="00F52FC9" w:rsidRPr="00F52FC9" w:rsidRDefault="00F52FC9" w:rsidP="00A64BD8">
            <w:pPr>
              <w:jc w:val="center"/>
              <w:rPr>
                <w:i/>
                <w:iCs/>
              </w:rPr>
            </w:pPr>
            <w:r w:rsidRPr="00F52FC9">
              <w:rPr>
                <w:i/>
                <w:iCs/>
              </w:rPr>
              <w:t>b + d</w:t>
            </w:r>
          </w:p>
        </w:tc>
        <w:tc>
          <w:tcPr>
            <w:tcW w:w="1765" w:type="dxa"/>
            <w:vAlign w:val="center"/>
          </w:tcPr>
          <w:p w14:paraId="6B080B49" w14:textId="6E8BE494" w:rsidR="00F52FC9" w:rsidRPr="00F52FC9" w:rsidRDefault="00F52FC9" w:rsidP="00A64BD8">
            <w:pPr>
              <w:keepNext/>
              <w:jc w:val="center"/>
              <w:rPr>
                <w:i/>
                <w:iCs/>
              </w:rPr>
            </w:pPr>
            <w:r w:rsidRPr="00F52FC9">
              <w:rPr>
                <w:i/>
                <w:iCs/>
              </w:rPr>
              <w:t>M</w:t>
            </w:r>
          </w:p>
        </w:tc>
      </w:tr>
    </w:tbl>
    <w:p w14:paraId="0FD019FD" w14:textId="77411F02" w:rsidR="004F6F58" w:rsidRDefault="00A76756" w:rsidP="00EB0B5A">
      <w:pPr>
        <w:spacing w:before="120" w:after="120"/>
      </w:pPr>
      <m:oMath>
        <m:r>
          <w:rPr>
            <w:rFonts w:ascii="Cambria Math" w:hAnsi="Cambria Math"/>
          </w:rPr>
          <m:t xml:space="preserve">a </m:t>
        </m:r>
      </m:oMath>
      <w:r>
        <w:t xml:space="preserve">stellt die Anzahl aller </w:t>
      </w:r>
      <w:r w:rsidR="003F66A9">
        <w:t xml:space="preserve">Variablen dar, die </w:t>
      </w:r>
      <w:r w:rsidR="00F52FC9">
        <w:t xml:space="preserve">bei </w:t>
      </w:r>
      <w:r w:rsidR="007C5430">
        <w:t>beiden</w:t>
      </w:r>
      <w:r w:rsidR="00F52FC9">
        <w:t xml:space="preserve"> Objekten</w:t>
      </w:r>
      <w:r w:rsidR="003F66A9">
        <w:t xml:space="preserve"> </w:t>
      </w:r>
      <m:oMath>
        <m:r>
          <w:rPr>
            <w:rFonts w:ascii="Cambria Math" w:hAnsi="Cambria Math"/>
          </w:rPr>
          <m:t>i</m:t>
        </m:r>
      </m:oMath>
      <w:r w:rsidR="00F52FC9">
        <w:rPr>
          <w:i/>
          <w:iCs/>
        </w:rPr>
        <w:t xml:space="preserve"> </w:t>
      </w:r>
      <w:r w:rsidR="00F52FC9" w:rsidRPr="00F52FC9">
        <w:t>und</w:t>
      </w:r>
      <w:r w:rsidR="00F52FC9" w:rsidRPr="007C5430">
        <w:rPr>
          <w:i/>
          <w:iCs/>
        </w:rPr>
        <w:t xml:space="preserve"> </w:t>
      </w:r>
      <m:oMath>
        <m:r>
          <w:rPr>
            <w:rFonts w:ascii="Cambria Math" w:hAnsi="Cambria Math"/>
          </w:rPr>
          <m:t>j</m:t>
        </m:r>
      </m:oMath>
      <w:r w:rsidR="00F52FC9">
        <w:t xml:space="preserve"> </w:t>
      </w:r>
      <w:r w:rsidR="00AE356C">
        <w:t xml:space="preserve">jeweils </w:t>
      </w:r>
      <w:r w:rsidR="003F66A9">
        <w:t xml:space="preserve">gleich 1 sind. Analog dazu lassen sich </w:t>
      </w:r>
      <m:oMath>
        <m:r>
          <w:rPr>
            <w:rFonts w:ascii="Cambria Math" w:hAnsi="Cambria Math"/>
          </w:rPr>
          <m:t>b, c</m:t>
        </m:r>
      </m:oMath>
      <w:r w:rsidR="003F66A9">
        <w:t xml:space="preserve"> und </w:t>
      </w:r>
      <m:oMath>
        <m:r>
          <w:rPr>
            <w:rFonts w:ascii="Cambria Math" w:hAnsi="Cambria Math"/>
          </w:rPr>
          <m:t>d</m:t>
        </m:r>
      </m:oMath>
      <w:r w:rsidR="003F66A9">
        <w:t xml:space="preserve"> interpretiere</w:t>
      </w:r>
      <w:r w:rsidR="006D0E45">
        <w:t xml:space="preserve">n mit </w:t>
      </w:r>
      <m:oMath>
        <m:r>
          <w:rPr>
            <w:rFonts w:ascii="Cambria Math" w:hAnsi="Cambria Math"/>
          </w:rPr>
          <m:t>M=a+b+c+d</m:t>
        </m:r>
      </m:oMath>
      <w:r w:rsidR="003F66A9">
        <w:t xml:space="preserve">. </w:t>
      </w:r>
      <w:r w:rsidR="007B4A01">
        <w:t xml:space="preserve">Auf Basis dieser Werte lassen sich eine Vielzahl von Ähnlichkeitsmaße darstellen. </w:t>
      </w:r>
      <w:r w:rsidR="004F6F58">
        <w:t xml:space="preserve">Tabelle </w:t>
      </w:r>
      <w:r w:rsidR="00C245B4">
        <w:t>3</w:t>
      </w:r>
      <w:r w:rsidR="004F6F58">
        <w:t xml:space="preserve"> zeigt eine Übersicht ausgewählter Ähnlichkeitsmaße</w:t>
      </w:r>
      <w:r w:rsidR="001B056E" w:rsidRPr="001B056E">
        <w:rPr>
          <w:rFonts w:ascii="Cambria Math" w:hAnsi="Cambria Math"/>
          <w:bCs/>
          <w:i/>
        </w:rPr>
        <w:t xml:space="preserve"> </w:t>
      </w:r>
      <m:oMath>
        <m:r>
          <w:rPr>
            <w:rFonts w:ascii="Cambria Math" w:hAnsi="Cambria Math"/>
          </w:rPr>
          <m:t>s</m:t>
        </m:r>
        <m:d>
          <m:dPr>
            <m:ctrlPr>
              <w:rPr>
                <w:rFonts w:ascii="Cambria Math" w:hAnsi="Cambria Math"/>
                <w:i/>
              </w:rPr>
            </m:ctrlPr>
          </m:dPr>
          <m:e>
            <m:r>
              <w:rPr>
                <w:rFonts w:ascii="Cambria Math" w:hAnsi="Cambria Math"/>
              </w:rPr>
              <m:t>i,j</m:t>
            </m:r>
          </m:e>
        </m:d>
      </m:oMath>
      <w:r w:rsidR="004874B8">
        <w:t xml:space="preserve"> und deren komplementäre Darstellung als</w:t>
      </w:r>
      <w:r w:rsidR="004F6F58">
        <w:t xml:space="preserve"> </w:t>
      </w:r>
      <w:r w:rsidR="004874B8">
        <w:t xml:space="preserve">Distanzmaße </w:t>
      </w: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=1-s</m:t>
        </m:r>
        <m:d>
          <m:dPr>
            <m:ctrlPr>
              <w:rPr>
                <w:rFonts w:ascii="Cambria Math" w:hAnsi="Cambria Math"/>
                <w:i/>
              </w:rPr>
            </m:ctrlPr>
          </m:dPr>
          <m:e>
            <m:r>
              <w:rPr>
                <w:rFonts w:ascii="Cambria Math" w:hAnsi="Cambria Math"/>
              </w:rPr>
              <m:t>i,j</m:t>
            </m:r>
          </m:e>
        </m:d>
        <m:r>
          <m:rPr>
            <m:sty m:val="bi"/>
          </m:rPr>
          <w:rPr>
            <w:rFonts w:ascii="Cambria Math" w:hAnsi="Cambria Math"/>
          </w:rPr>
          <m:t xml:space="preserve"> </m:t>
        </m:r>
      </m:oMath>
      <w:r w:rsidR="004F6F58">
        <w:t>für binäre Variablen.</w:t>
      </w:r>
    </w:p>
    <w:p w14:paraId="38BF00E1" w14:textId="7BF99178" w:rsidR="00A64BD8" w:rsidRDefault="00A64BD8" w:rsidP="00A64BD8">
      <w:pPr>
        <w:pStyle w:val="Beschriftung"/>
        <w:keepNext/>
        <w:spacing w:after="0"/>
        <w:ind w:left="1418" w:hanging="1418"/>
        <w:rPr>
          <w:i w:val="0"/>
          <w:iCs w:val="0"/>
          <w:color w:val="auto"/>
          <w:sz w:val="24"/>
          <w:szCs w:val="22"/>
        </w:rPr>
      </w:pPr>
      <w:bookmarkStart w:id="27" w:name="_Toc88423390"/>
      <w:r w:rsidRPr="0058649C">
        <w:rPr>
          <w:b/>
          <w:bCs/>
          <w:i w:val="0"/>
          <w:iCs w:val="0"/>
          <w:color w:val="auto"/>
          <w:sz w:val="24"/>
          <w:szCs w:val="22"/>
        </w:rPr>
        <w:t xml:space="preserve">Tabelle </w:t>
      </w:r>
      <w:r w:rsidRPr="0058649C">
        <w:rPr>
          <w:b/>
          <w:bCs/>
          <w:i w:val="0"/>
          <w:iCs w:val="0"/>
          <w:color w:val="auto"/>
          <w:sz w:val="24"/>
          <w:szCs w:val="22"/>
        </w:rPr>
        <w:fldChar w:fldCharType="begin"/>
      </w:r>
      <w:r w:rsidRPr="0058649C">
        <w:rPr>
          <w:b/>
          <w:bCs/>
          <w:i w:val="0"/>
          <w:iCs w:val="0"/>
          <w:color w:val="auto"/>
          <w:sz w:val="24"/>
          <w:szCs w:val="22"/>
        </w:rPr>
        <w:instrText xml:space="preserve"> SEQ Tabelle \* ARABIC </w:instrText>
      </w:r>
      <w:r w:rsidRPr="0058649C">
        <w:rPr>
          <w:b/>
          <w:bCs/>
          <w:i w:val="0"/>
          <w:iCs w:val="0"/>
          <w:color w:val="auto"/>
          <w:sz w:val="24"/>
          <w:szCs w:val="22"/>
        </w:rPr>
        <w:fldChar w:fldCharType="separate"/>
      </w:r>
      <w:r w:rsidR="00285390">
        <w:rPr>
          <w:b/>
          <w:bCs/>
          <w:i w:val="0"/>
          <w:iCs w:val="0"/>
          <w:noProof/>
          <w:color w:val="auto"/>
          <w:sz w:val="24"/>
          <w:szCs w:val="22"/>
        </w:rPr>
        <w:t>3</w:t>
      </w:r>
      <w:r w:rsidRPr="0058649C">
        <w:rPr>
          <w:b/>
          <w:bCs/>
          <w:i w:val="0"/>
          <w:iCs w:val="0"/>
          <w:color w:val="auto"/>
          <w:sz w:val="24"/>
          <w:szCs w:val="22"/>
        </w:rPr>
        <w:fldChar w:fldCharType="end"/>
      </w:r>
      <w:r w:rsidRPr="0058649C">
        <w:rPr>
          <w:b/>
          <w:bCs/>
          <w:i w:val="0"/>
          <w:iCs w:val="0"/>
          <w:color w:val="auto"/>
          <w:sz w:val="24"/>
          <w:szCs w:val="22"/>
        </w:rPr>
        <w:t>:</w:t>
      </w:r>
      <w:r w:rsidRPr="0058649C">
        <w:rPr>
          <w:i w:val="0"/>
          <w:iCs w:val="0"/>
          <w:color w:val="auto"/>
          <w:sz w:val="24"/>
          <w:szCs w:val="22"/>
        </w:rPr>
        <w:t xml:space="preserve"> </w:t>
      </w:r>
      <w:r>
        <w:rPr>
          <w:i w:val="0"/>
          <w:iCs w:val="0"/>
          <w:color w:val="auto"/>
          <w:sz w:val="24"/>
          <w:szCs w:val="22"/>
        </w:rPr>
        <w:tab/>
      </w:r>
      <w:r w:rsidRPr="00A64BD8">
        <w:rPr>
          <w:i w:val="0"/>
          <w:iCs w:val="0"/>
          <w:color w:val="auto"/>
          <w:sz w:val="24"/>
          <w:szCs w:val="22"/>
        </w:rPr>
        <w:t>Übersicht ausgewählter Ähnlichkeitsmaße für binäre Variablen</w:t>
      </w:r>
      <w:bookmarkEnd w:id="27"/>
    </w:p>
    <w:p w14:paraId="12919ADF" w14:textId="4EB82D1D" w:rsidR="00A64BD8" w:rsidRPr="001A0BAE" w:rsidRDefault="00A64BD8" w:rsidP="00A64BD8">
      <w:pPr>
        <w:spacing w:after="0"/>
      </w:pPr>
      <w:r w:rsidRPr="001A0BAE">
        <w:tab/>
      </w:r>
      <w:r w:rsidRPr="001A0BAE">
        <w:tab/>
        <w:t>eigene Darstellung</w:t>
      </w:r>
      <w:r w:rsidRPr="00A64BD8">
        <w:t xml:space="preserve"> nach Kaufmann / Rousseeuw</w:t>
      </w:r>
      <w:r>
        <w:t xml:space="preserve"> (2005)</w:t>
      </w:r>
      <w:r w:rsidR="00E6267D">
        <w:t>,</w:t>
      </w:r>
      <w:r w:rsidRPr="00A64BD8">
        <w:t xml:space="preserve"> S. 24.</w:t>
      </w:r>
    </w:p>
    <w:tbl>
      <w:tblPr>
        <w:tblW w:w="5000" w:type="pct"/>
        <w:jc w:val="center"/>
        <w:tblLook w:val="04A0" w:firstRow="1" w:lastRow="0" w:firstColumn="1" w:lastColumn="0" w:noHBand="0" w:noVBand="1"/>
        <w:tblCaption w:val="Tabelle A1: Stichprobenauswahl"/>
      </w:tblPr>
      <w:tblGrid>
        <w:gridCol w:w="4380"/>
        <w:gridCol w:w="2170"/>
        <w:gridCol w:w="2170"/>
      </w:tblGrid>
      <w:tr w:rsidR="004874B8" w:rsidRPr="00CF3B2D" w14:paraId="72B38CB5" w14:textId="28C5CBC4" w:rsidTr="00016B32">
        <w:trPr>
          <w:trHeight w:val="20"/>
          <w:jc w:val="center"/>
        </w:trPr>
        <w:tc>
          <w:tcPr>
            <w:tcW w:w="2511" w:type="pct"/>
            <w:tcBorders>
              <w:top w:val="single" w:sz="8" w:space="0" w:color="auto"/>
              <w:left w:val="nil"/>
              <w:bottom w:val="single" w:sz="6" w:space="0" w:color="auto"/>
              <w:right w:val="nil"/>
            </w:tcBorders>
            <w:shd w:val="clear" w:color="000000" w:fill="FFFFFF"/>
            <w:noWrap/>
            <w:vAlign w:val="center"/>
            <w:hideMark/>
          </w:tcPr>
          <w:p w14:paraId="76EF1C66" w14:textId="1B33ABAB" w:rsidR="004874B8" w:rsidRPr="001B42E9" w:rsidRDefault="004874B8" w:rsidP="006C0618">
            <w:pPr>
              <w:spacing w:before="60" w:after="60" w:line="240" w:lineRule="auto"/>
              <w:jc w:val="left"/>
              <w:rPr>
                <w:b/>
                <w:bCs/>
                <w:color w:val="000000"/>
                <w:sz w:val="20"/>
                <w:szCs w:val="20"/>
              </w:rPr>
            </w:pPr>
            <w:bookmarkStart w:id="28" w:name="_Hlk88351534"/>
            <w:r w:rsidRPr="001B42E9">
              <w:rPr>
                <w:b/>
                <w:bCs/>
                <w:color w:val="000000"/>
                <w:sz w:val="20"/>
                <w:szCs w:val="20"/>
              </w:rPr>
              <w:t>Ähnlichkeitskoeffizient</w:t>
            </w:r>
          </w:p>
        </w:tc>
        <w:tc>
          <w:tcPr>
            <w:tcW w:w="1244" w:type="pct"/>
            <w:tcBorders>
              <w:top w:val="single" w:sz="8" w:space="0" w:color="auto"/>
              <w:left w:val="nil"/>
              <w:bottom w:val="single" w:sz="6" w:space="0" w:color="auto"/>
              <w:right w:val="nil"/>
            </w:tcBorders>
            <w:shd w:val="clear" w:color="000000" w:fill="FFFFFF"/>
            <w:noWrap/>
            <w:vAlign w:val="center"/>
            <w:hideMark/>
          </w:tcPr>
          <w:p w14:paraId="4E216885" w14:textId="149A39A7" w:rsidR="004874B8" w:rsidRPr="001B42E9" w:rsidRDefault="004874B8" w:rsidP="006C0618">
            <w:pPr>
              <w:spacing w:before="60" w:after="60" w:line="240" w:lineRule="auto"/>
              <w:jc w:val="center"/>
              <w:rPr>
                <w:b/>
                <w:bCs/>
                <w:color w:val="000000"/>
                <w:sz w:val="20"/>
                <w:szCs w:val="20"/>
              </w:rPr>
            </w:pPr>
            <m:oMathPara>
              <m:oMath>
                <m:r>
                  <m:rPr>
                    <m:sty m:val="bi"/>
                  </m:rPr>
                  <w:rPr>
                    <w:rFonts w:ascii="Cambria Math" w:hAnsi="Cambria Math"/>
                    <w:sz w:val="20"/>
                    <w:szCs w:val="20"/>
                  </w:rPr>
                  <m:t>s(i, j)</m:t>
                </m:r>
              </m:oMath>
            </m:oMathPara>
          </w:p>
        </w:tc>
        <w:tc>
          <w:tcPr>
            <w:tcW w:w="1244" w:type="pct"/>
            <w:tcBorders>
              <w:top w:val="single" w:sz="8" w:space="0" w:color="auto"/>
              <w:left w:val="nil"/>
              <w:bottom w:val="single" w:sz="6" w:space="0" w:color="auto"/>
              <w:right w:val="nil"/>
            </w:tcBorders>
            <w:shd w:val="clear" w:color="000000" w:fill="FFFFFF"/>
          </w:tcPr>
          <w:p w14:paraId="4726D7AC" w14:textId="53BA7F4B" w:rsidR="004874B8" w:rsidRPr="001B42E9" w:rsidRDefault="004874B8" w:rsidP="006C0618">
            <w:pPr>
              <w:spacing w:before="60" w:after="60" w:line="240" w:lineRule="auto"/>
              <w:jc w:val="center"/>
              <w:rPr>
                <w:rFonts w:eastAsia="SimSun" w:cs="Times New Roman"/>
                <w:b/>
                <w:sz w:val="20"/>
                <w:szCs w:val="20"/>
              </w:rPr>
            </w:pPr>
            <m:oMathPara>
              <m:oMath>
                <m:r>
                  <m:rPr>
                    <m:sty m:val="bi"/>
                  </m:rPr>
                  <w:rPr>
                    <w:rFonts w:ascii="Cambria Math" w:hAnsi="Cambria Math"/>
                    <w:sz w:val="20"/>
                    <w:szCs w:val="20"/>
                  </w:rPr>
                  <m:t>d(i, j)</m:t>
                </m:r>
              </m:oMath>
            </m:oMathPara>
          </w:p>
        </w:tc>
      </w:tr>
      <w:bookmarkEnd w:id="28"/>
      <w:tr w:rsidR="004874B8" w:rsidRPr="00CF3B2D" w14:paraId="758FE320" w14:textId="382CC78A" w:rsidTr="00016B32">
        <w:trPr>
          <w:trHeight w:val="20"/>
          <w:jc w:val="center"/>
        </w:trPr>
        <w:tc>
          <w:tcPr>
            <w:tcW w:w="2511" w:type="pct"/>
            <w:tcBorders>
              <w:top w:val="single" w:sz="6" w:space="0" w:color="auto"/>
              <w:left w:val="nil"/>
              <w:right w:val="nil"/>
            </w:tcBorders>
            <w:shd w:val="clear" w:color="000000" w:fill="FFFFFF"/>
            <w:vAlign w:val="center"/>
            <w:hideMark/>
          </w:tcPr>
          <w:p w14:paraId="6D29E626" w14:textId="1DCA2838" w:rsidR="004874B8" w:rsidRPr="001B42E9" w:rsidRDefault="004874B8" w:rsidP="002D1642">
            <w:pPr>
              <w:spacing w:before="60" w:after="60" w:line="240" w:lineRule="auto"/>
              <w:jc w:val="left"/>
              <w:rPr>
                <w:i/>
                <w:iCs/>
                <w:color w:val="000000"/>
                <w:sz w:val="20"/>
                <w:szCs w:val="20"/>
                <w:lang w:val="en-US"/>
              </w:rPr>
            </w:pPr>
            <w:r w:rsidRPr="001B42E9">
              <w:rPr>
                <w:i/>
                <w:iCs/>
                <w:color w:val="000000"/>
                <w:sz w:val="20"/>
                <w:szCs w:val="20"/>
                <w:lang w:val="en-US"/>
              </w:rPr>
              <w:t>Nicht invariante Koeffizienten</w:t>
            </w:r>
          </w:p>
        </w:tc>
        <w:tc>
          <w:tcPr>
            <w:tcW w:w="1244" w:type="pct"/>
            <w:tcBorders>
              <w:top w:val="single" w:sz="6" w:space="0" w:color="auto"/>
              <w:left w:val="nil"/>
              <w:right w:val="nil"/>
            </w:tcBorders>
            <w:shd w:val="clear" w:color="000000" w:fill="FFFFFF"/>
            <w:noWrap/>
            <w:vAlign w:val="center"/>
            <w:hideMark/>
          </w:tcPr>
          <w:p w14:paraId="7B6F3D4E" w14:textId="29E739E5" w:rsidR="004874B8" w:rsidRPr="001B42E9" w:rsidRDefault="004874B8" w:rsidP="002D1642">
            <w:pPr>
              <w:spacing w:before="60" w:after="60" w:line="240" w:lineRule="auto"/>
              <w:jc w:val="center"/>
              <w:rPr>
                <w:color w:val="000000"/>
                <w:sz w:val="20"/>
                <w:szCs w:val="20"/>
              </w:rPr>
            </w:pPr>
          </w:p>
        </w:tc>
        <w:tc>
          <w:tcPr>
            <w:tcW w:w="1244" w:type="pct"/>
            <w:tcBorders>
              <w:top w:val="single" w:sz="6" w:space="0" w:color="auto"/>
              <w:left w:val="nil"/>
              <w:right w:val="nil"/>
            </w:tcBorders>
            <w:shd w:val="clear" w:color="000000" w:fill="FFFFFF"/>
          </w:tcPr>
          <w:p w14:paraId="28EFBBBF" w14:textId="77777777" w:rsidR="004874B8" w:rsidRPr="001B42E9" w:rsidRDefault="004874B8" w:rsidP="002D1642">
            <w:pPr>
              <w:spacing w:before="60" w:after="60" w:line="240" w:lineRule="auto"/>
              <w:jc w:val="center"/>
              <w:rPr>
                <w:color w:val="000000"/>
                <w:sz w:val="20"/>
                <w:szCs w:val="20"/>
              </w:rPr>
            </w:pPr>
          </w:p>
        </w:tc>
      </w:tr>
      <w:tr w:rsidR="004874B8" w:rsidRPr="00CF3B2D" w14:paraId="5D1FAF02" w14:textId="10025439" w:rsidTr="00441F6F">
        <w:trPr>
          <w:trHeight w:val="20"/>
          <w:jc w:val="center"/>
        </w:trPr>
        <w:tc>
          <w:tcPr>
            <w:tcW w:w="2511" w:type="pct"/>
            <w:tcBorders>
              <w:left w:val="nil"/>
              <w:right w:val="nil"/>
            </w:tcBorders>
            <w:shd w:val="clear" w:color="000000" w:fill="FFFFFF"/>
            <w:vAlign w:val="center"/>
            <w:hideMark/>
          </w:tcPr>
          <w:p w14:paraId="2C094454" w14:textId="26A6274F" w:rsidR="004874B8" w:rsidRPr="001B42E9" w:rsidRDefault="004874B8" w:rsidP="004874B8">
            <w:pPr>
              <w:spacing w:before="120" w:after="120"/>
              <w:jc w:val="left"/>
              <w:rPr>
                <w:color w:val="000000"/>
                <w:sz w:val="20"/>
                <w:szCs w:val="20"/>
                <w:lang w:val="en-US"/>
              </w:rPr>
            </w:pPr>
            <w:r w:rsidRPr="001B42E9">
              <w:rPr>
                <w:color w:val="000000"/>
                <w:sz w:val="20"/>
                <w:szCs w:val="20"/>
                <w:lang w:val="en-US"/>
              </w:rPr>
              <w:t>Jaccard Koeffizient</w:t>
            </w:r>
          </w:p>
        </w:tc>
        <w:tc>
          <w:tcPr>
            <w:tcW w:w="1244" w:type="pct"/>
            <w:tcBorders>
              <w:left w:val="nil"/>
              <w:right w:val="nil"/>
            </w:tcBorders>
            <w:shd w:val="clear" w:color="000000" w:fill="FFFFFF"/>
            <w:noWrap/>
            <w:vAlign w:val="center"/>
            <w:hideMark/>
          </w:tcPr>
          <w:p w14:paraId="7A8F0E2C" w14:textId="417B46FD" w:rsidR="004874B8" w:rsidRPr="001B42E9" w:rsidRDefault="004F311F" w:rsidP="004874B8">
            <w:pPr>
              <w:spacing w:before="120" w:after="120"/>
              <w:jc w:val="center"/>
              <w:rPr>
                <w:i/>
                <w:color w:val="000000"/>
                <w:sz w:val="20"/>
                <w:szCs w:val="20"/>
              </w:rPr>
            </w:pPr>
            <m:oMathPara>
              <m:oMath>
                <m:f>
                  <m:fPr>
                    <m:ctrlPr>
                      <w:rPr>
                        <w:rFonts w:ascii="Cambria Math" w:hAnsi="Cambria Math"/>
                        <w:i/>
                        <w:color w:val="000000"/>
                        <w:sz w:val="20"/>
                        <w:szCs w:val="20"/>
                      </w:rPr>
                    </m:ctrlPr>
                  </m:fPr>
                  <m:num>
                    <m:r>
                      <w:rPr>
                        <w:rFonts w:ascii="Cambria Math" w:hAnsi="Cambria Math"/>
                        <w:color w:val="000000"/>
                        <w:sz w:val="20"/>
                        <w:szCs w:val="20"/>
                      </w:rPr>
                      <m:t>a</m:t>
                    </m:r>
                  </m:num>
                  <m:den>
                    <m:r>
                      <w:rPr>
                        <w:rFonts w:ascii="Cambria Math" w:hAnsi="Cambria Math"/>
                        <w:color w:val="000000"/>
                        <w:sz w:val="20"/>
                        <w:szCs w:val="20"/>
                      </w:rPr>
                      <m:t>a+b+c</m:t>
                    </m:r>
                  </m:den>
                </m:f>
              </m:oMath>
            </m:oMathPara>
          </w:p>
        </w:tc>
        <w:tc>
          <w:tcPr>
            <w:tcW w:w="1244" w:type="pct"/>
            <w:tcBorders>
              <w:left w:val="nil"/>
              <w:right w:val="nil"/>
            </w:tcBorders>
            <w:shd w:val="clear" w:color="000000" w:fill="FFFFFF"/>
            <w:vAlign w:val="center"/>
          </w:tcPr>
          <w:p w14:paraId="4465CD46" w14:textId="60808F1D" w:rsidR="004874B8" w:rsidRPr="001B42E9" w:rsidRDefault="004F311F" w:rsidP="004874B8">
            <w:pPr>
              <w:spacing w:before="120" w:after="120"/>
              <w:jc w:val="center"/>
              <w:rPr>
                <w:rFonts w:eastAsia="SimSun" w:cs="Times New Roman"/>
                <w:i/>
                <w:color w:val="000000"/>
                <w:sz w:val="20"/>
                <w:szCs w:val="20"/>
              </w:rPr>
            </w:pPr>
            <m:oMathPara>
              <m:oMath>
                <m:f>
                  <m:fPr>
                    <m:ctrlPr>
                      <w:rPr>
                        <w:rFonts w:ascii="Cambria Math" w:hAnsi="Cambria Math"/>
                        <w:i/>
                        <w:color w:val="000000"/>
                        <w:sz w:val="20"/>
                        <w:szCs w:val="20"/>
                      </w:rPr>
                    </m:ctrlPr>
                  </m:fPr>
                  <m:num>
                    <m:r>
                      <w:rPr>
                        <w:rFonts w:ascii="Cambria Math" w:hAnsi="Cambria Math"/>
                        <w:color w:val="000000"/>
                        <w:sz w:val="20"/>
                        <w:szCs w:val="20"/>
                      </w:rPr>
                      <m:t>b+c</m:t>
                    </m:r>
                  </m:num>
                  <m:den>
                    <m:r>
                      <w:rPr>
                        <w:rFonts w:ascii="Cambria Math" w:hAnsi="Cambria Math"/>
                        <w:color w:val="000000"/>
                        <w:sz w:val="20"/>
                        <w:szCs w:val="20"/>
                      </w:rPr>
                      <m:t>a+b+c</m:t>
                    </m:r>
                  </m:den>
                </m:f>
              </m:oMath>
            </m:oMathPara>
          </w:p>
        </w:tc>
      </w:tr>
      <w:tr w:rsidR="004874B8" w:rsidRPr="00CF3B2D" w14:paraId="3A45688D" w14:textId="1080C39C" w:rsidTr="00016B32">
        <w:trPr>
          <w:trHeight w:val="20"/>
          <w:jc w:val="center"/>
        </w:trPr>
        <w:tc>
          <w:tcPr>
            <w:tcW w:w="2511" w:type="pct"/>
            <w:tcBorders>
              <w:left w:val="nil"/>
              <w:right w:val="nil"/>
            </w:tcBorders>
            <w:shd w:val="clear" w:color="000000" w:fill="FFFFFF"/>
            <w:vAlign w:val="center"/>
            <w:hideMark/>
          </w:tcPr>
          <w:p w14:paraId="2389D7D7" w14:textId="73F4173F" w:rsidR="004874B8" w:rsidRPr="001B42E9" w:rsidRDefault="004874B8" w:rsidP="004874B8">
            <w:pPr>
              <w:spacing w:before="120" w:after="120"/>
              <w:jc w:val="left"/>
              <w:rPr>
                <w:color w:val="000000"/>
                <w:sz w:val="20"/>
                <w:szCs w:val="20"/>
                <w:lang w:val="en-US"/>
              </w:rPr>
            </w:pPr>
            <w:r w:rsidRPr="001B42E9">
              <w:rPr>
                <w:color w:val="000000"/>
                <w:sz w:val="20"/>
                <w:szCs w:val="20"/>
                <w:lang w:val="en-US"/>
              </w:rPr>
              <w:t>Russel / Rao Koeffizient</w:t>
            </w:r>
          </w:p>
        </w:tc>
        <w:tc>
          <w:tcPr>
            <w:tcW w:w="1244" w:type="pct"/>
            <w:tcBorders>
              <w:left w:val="nil"/>
              <w:right w:val="nil"/>
            </w:tcBorders>
            <w:shd w:val="clear" w:color="000000" w:fill="FFFFFF"/>
            <w:noWrap/>
            <w:hideMark/>
          </w:tcPr>
          <w:p w14:paraId="7A2A0D19" w14:textId="1B2EAC02" w:rsidR="004874B8" w:rsidRPr="001B42E9" w:rsidRDefault="004F311F" w:rsidP="004874B8">
            <w:pPr>
              <w:spacing w:before="120" w:after="120"/>
              <w:jc w:val="center"/>
              <w:rPr>
                <w:i/>
                <w:color w:val="000000"/>
                <w:sz w:val="20"/>
                <w:szCs w:val="20"/>
              </w:rPr>
            </w:pPr>
            <m:oMathPara>
              <m:oMath>
                <m:f>
                  <m:fPr>
                    <m:ctrlPr>
                      <w:rPr>
                        <w:rFonts w:ascii="Cambria Math" w:hAnsi="Cambria Math"/>
                        <w:i/>
                        <w:color w:val="000000"/>
                        <w:sz w:val="20"/>
                        <w:szCs w:val="20"/>
                      </w:rPr>
                    </m:ctrlPr>
                  </m:fPr>
                  <m:num>
                    <m:r>
                      <w:rPr>
                        <w:rFonts w:ascii="Cambria Math" w:hAnsi="Cambria Math"/>
                        <w:color w:val="000000"/>
                        <w:sz w:val="20"/>
                        <w:szCs w:val="20"/>
                      </w:rPr>
                      <m:t>a</m:t>
                    </m:r>
                  </m:num>
                  <m:den>
                    <m:r>
                      <w:rPr>
                        <w:rFonts w:ascii="Cambria Math" w:hAnsi="Cambria Math"/>
                        <w:color w:val="000000"/>
                        <w:sz w:val="20"/>
                        <w:szCs w:val="20"/>
                      </w:rPr>
                      <m:t>M</m:t>
                    </m:r>
                  </m:den>
                </m:f>
              </m:oMath>
            </m:oMathPara>
          </w:p>
        </w:tc>
        <w:tc>
          <w:tcPr>
            <w:tcW w:w="1244" w:type="pct"/>
            <w:tcBorders>
              <w:left w:val="nil"/>
              <w:right w:val="nil"/>
            </w:tcBorders>
            <w:shd w:val="clear" w:color="000000" w:fill="FFFFFF"/>
          </w:tcPr>
          <w:p w14:paraId="36DCEE98" w14:textId="3991320E" w:rsidR="004874B8" w:rsidRPr="001B42E9" w:rsidRDefault="004F311F" w:rsidP="004874B8">
            <w:pPr>
              <w:spacing w:before="120" w:after="120"/>
              <w:jc w:val="center"/>
              <w:rPr>
                <w:rFonts w:eastAsia="SimSun" w:cs="Times New Roman"/>
                <w:i/>
                <w:color w:val="000000"/>
                <w:sz w:val="20"/>
                <w:szCs w:val="20"/>
              </w:rPr>
            </w:pPr>
            <m:oMathPara>
              <m:oMath>
                <m:f>
                  <m:fPr>
                    <m:ctrlPr>
                      <w:rPr>
                        <w:rFonts w:ascii="Cambria Math" w:hAnsi="Cambria Math"/>
                        <w:i/>
                        <w:color w:val="000000"/>
                        <w:sz w:val="20"/>
                        <w:szCs w:val="20"/>
                      </w:rPr>
                    </m:ctrlPr>
                  </m:fPr>
                  <m:num>
                    <m:r>
                      <w:rPr>
                        <w:rFonts w:ascii="Cambria Math" w:hAnsi="Cambria Math"/>
                        <w:color w:val="000000"/>
                        <w:sz w:val="20"/>
                        <w:szCs w:val="20"/>
                      </w:rPr>
                      <m:t>b+c+d</m:t>
                    </m:r>
                  </m:num>
                  <m:den>
                    <m:r>
                      <w:rPr>
                        <w:rFonts w:ascii="Cambria Math" w:hAnsi="Cambria Math"/>
                        <w:color w:val="000000"/>
                        <w:sz w:val="20"/>
                        <w:szCs w:val="20"/>
                      </w:rPr>
                      <m:t>M</m:t>
                    </m:r>
                  </m:den>
                </m:f>
              </m:oMath>
            </m:oMathPara>
          </w:p>
        </w:tc>
      </w:tr>
      <w:tr w:rsidR="004874B8" w:rsidRPr="00CF3B2D" w14:paraId="09593C57" w14:textId="54BA1C87" w:rsidTr="00016B32">
        <w:trPr>
          <w:trHeight w:val="20"/>
          <w:jc w:val="center"/>
        </w:trPr>
        <w:tc>
          <w:tcPr>
            <w:tcW w:w="2511" w:type="pct"/>
            <w:tcBorders>
              <w:left w:val="nil"/>
              <w:bottom w:val="single" w:sz="8" w:space="0" w:color="auto"/>
              <w:right w:val="nil"/>
            </w:tcBorders>
            <w:shd w:val="clear" w:color="000000" w:fill="FFFFFF"/>
            <w:noWrap/>
            <w:vAlign w:val="center"/>
            <w:hideMark/>
          </w:tcPr>
          <w:p w14:paraId="13C8B56E" w14:textId="30115AEE" w:rsidR="004874B8" w:rsidRPr="001B42E9" w:rsidRDefault="004874B8" w:rsidP="004874B8">
            <w:pPr>
              <w:spacing w:before="120" w:after="120"/>
              <w:jc w:val="left"/>
              <w:rPr>
                <w:color w:val="000000"/>
                <w:sz w:val="20"/>
                <w:szCs w:val="20"/>
                <w:lang w:val="en-US"/>
              </w:rPr>
            </w:pPr>
            <w:r w:rsidRPr="001B42E9">
              <w:rPr>
                <w:color w:val="000000"/>
                <w:sz w:val="20"/>
                <w:szCs w:val="20"/>
                <w:lang w:val="en-US"/>
              </w:rPr>
              <w:t>Dice Koeffizient</w:t>
            </w:r>
          </w:p>
        </w:tc>
        <w:tc>
          <w:tcPr>
            <w:tcW w:w="1244" w:type="pct"/>
            <w:tcBorders>
              <w:left w:val="nil"/>
              <w:bottom w:val="single" w:sz="8" w:space="0" w:color="auto"/>
              <w:right w:val="nil"/>
            </w:tcBorders>
            <w:shd w:val="clear" w:color="000000" w:fill="FFFFFF"/>
            <w:noWrap/>
            <w:hideMark/>
          </w:tcPr>
          <w:p w14:paraId="15E4E606" w14:textId="22F65D8F" w:rsidR="004874B8" w:rsidRPr="001B42E9" w:rsidRDefault="004F311F" w:rsidP="004874B8">
            <w:pPr>
              <w:spacing w:before="120" w:after="120"/>
              <w:jc w:val="center"/>
              <w:rPr>
                <w:i/>
                <w:color w:val="000000"/>
                <w:sz w:val="20"/>
                <w:szCs w:val="20"/>
              </w:rPr>
            </w:pPr>
            <m:oMathPara>
              <m:oMath>
                <m:f>
                  <m:fPr>
                    <m:ctrlPr>
                      <w:rPr>
                        <w:rFonts w:ascii="Cambria Math" w:hAnsi="Cambria Math"/>
                        <w:i/>
                        <w:color w:val="000000"/>
                        <w:sz w:val="20"/>
                        <w:szCs w:val="20"/>
                      </w:rPr>
                    </m:ctrlPr>
                  </m:fPr>
                  <m:num>
                    <m:r>
                      <w:rPr>
                        <w:rFonts w:ascii="Cambria Math" w:hAnsi="Cambria Math"/>
                        <w:color w:val="000000"/>
                        <w:sz w:val="20"/>
                        <w:szCs w:val="20"/>
                      </w:rPr>
                      <m:t>2a</m:t>
                    </m:r>
                  </m:num>
                  <m:den>
                    <m:r>
                      <w:rPr>
                        <w:rFonts w:ascii="Cambria Math" w:hAnsi="Cambria Math"/>
                        <w:color w:val="000000"/>
                        <w:sz w:val="20"/>
                        <w:szCs w:val="20"/>
                      </w:rPr>
                      <m:t>2a+b+c</m:t>
                    </m:r>
                  </m:den>
                </m:f>
              </m:oMath>
            </m:oMathPara>
          </w:p>
        </w:tc>
        <w:tc>
          <w:tcPr>
            <w:tcW w:w="1244" w:type="pct"/>
            <w:tcBorders>
              <w:left w:val="nil"/>
              <w:bottom w:val="single" w:sz="8" w:space="0" w:color="auto"/>
              <w:right w:val="nil"/>
            </w:tcBorders>
            <w:shd w:val="clear" w:color="000000" w:fill="FFFFFF"/>
          </w:tcPr>
          <w:p w14:paraId="02E542AF" w14:textId="2FF2C250" w:rsidR="004874B8" w:rsidRPr="001B42E9" w:rsidRDefault="004F311F" w:rsidP="004874B8">
            <w:pPr>
              <w:spacing w:before="120" w:after="120"/>
              <w:jc w:val="center"/>
              <w:rPr>
                <w:rFonts w:eastAsia="SimSun" w:cs="Times New Roman"/>
                <w:i/>
                <w:color w:val="000000"/>
                <w:sz w:val="20"/>
                <w:szCs w:val="20"/>
              </w:rPr>
            </w:pPr>
            <m:oMathPara>
              <m:oMath>
                <m:f>
                  <m:fPr>
                    <m:ctrlPr>
                      <w:rPr>
                        <w:rFonts w:ascii="Cambria Math" w:hAnsi="Cambria Math"/>
                        <w:i/>
                        <w:color w:val="000000"/>
                        <w:sz w:val="20"/>
                        <w:szCs w:val="20"/>
                      </w:rPr>
                    </m:ctrlPr>
                  </m:fPr>
                  <m:num>
                    <m:r>
                      <w:rPr>
                        <w:rFonts w:ascii="Cambria Math" w:hAnsi="Cambria Math"/>
                        <w:color w:val="000000"/>
                        <w:sz w:val="20"/>
                        <w:szCs w:val="20"/>
                      </w:rPr>
                      <m:t>b+c</m:t>
                    </m:r>
                  </m:num>
                  <m:den>
                    <m:r>
                      <w:rPr>
                        <w:rFonts w:ascii="Cambria Math" w:hAnsi="Cambria Math"/>
                        <w:color w:val="000000"/>
                        <w:sz w:val="20"/>
                        <w:szCs w:val="20"/>
                      </w:rPr>
                      <m:t>2a+b+c</m:t>
                    </m:r>
                  </m:den>
                </m:f>
              </m:oMath>
            </m:oMathPara>
          </w:p>
        </w:tc>
      </w:tr>
    </w:tbl>
    <w:p w14:paraId="2A4048A0" w14:textId="7B754CB7" w:rsidR="00EB0B5A" w:rsidRPr="00EB0B5A" w:rsidRDefault="00EB0B5A" w:rsidP="00EB0B5A">
      <w:pPr>
        <w:spacing w:after="120"/>
        <w:rPr>
          <w:b/>
          <w:bCs/>
        </w:rPr>
      </w:pPr>
      <w:r w:rsidRPr="00EB0B5A">
        <w:rPr>
          <w:b/>
          <w:bCs/>
        </w:rPr>
        <w:lastRenderedPageBreak/>
        <w:t>Tabelle 3 (</w:t>
      </w:r>
      <w:r w:rsidR="00996DC5" w:rsidRPr="00996DC5">
        <w:rPr>
          <w:b/>
          <w:bCs/>
        </w:rPr>
        <w:t>fortgesetzt</w:t>
      </w:r>
      <w:r w:rsidRPr="00EB0B5A">
        <w:rPr>
          <w:b/>
          <w:bCs/>
        </w:rPr>
        <w:t>):</w:t>
      </w:r>
    </w:p>
    <w:tbl>
      <w:tblPr>
        <w:tblW w:w="5000" w:type="pct"/>
        <w:jc w:val="center"/>
        <w:tblLook w:val="04A0" w:firstRow="1" w:lastRow="0" w:firstColumn="1" w:lastColumn="0" w:noHBand="0" w:noVBand="1"/>
        <w:tblCaption w:val="Tabelle A1: Stichprobenauswahl"/>
      </w:tblPr>
      <w:tblGrid>
        <w:gridCol w:w="4380"/>
        <w:gridCol w:w="2170"/>
        <w:gridCol w:w="2170"/>
      </w:tblGrid>
      <w:tr w:rsidR="00EB0B5A" w:rsidRPr="001B42E9" w14:paraId="105C627D" w14:textId="77777777" w:rsidTr="00016B32">
        <w:trPr>
          <w:trHeight w:val="20"/>
          <w:jc w:val="center"/>
        </w:trPr>
        <w:tc>
          <w:tcPr>
            <w:tcW w:w="2511" w:type="pct"/>
            <w:tcBorders>
              <w:top w:val="single" w:sz="8" w:space="0" w:color="auto"/>
              <w:left w:val="nil"/>
              <w:bottom w:val="single" w:sz="6" w:space="0" w:color="auto"/>
              <w:right w:val="nil"/>
            </w:tcBorders>
            <w:shd w:val="clear" w:color="000000" w:fill="FFFFFF"/>
            <w:noWrap/>
            <w:vAlign w:val="center"/>
            <w:hideMark/>
          </w:tcPr>
          <w:p w14:paraId="7999FA3E" w14:textId="77777777" w:rsidR="00EB0B5A" w:rsidRPr="001B42E9" w:rsidRDefault="00EB0B5A" w:rsidP="003B1C0E">
            <w:pPr>
              <w:spacing w:before="60" w:after="60" w:line="240" w:lineRule="auto"/>
              <w:jc w:val="left"/>
              <w:rPr>
                <w:b/>
                <w:bCs/>
                <w:color w:val="000000"/>
                <w:sz w:val="20"/>
                <w:szCs w:val="20"/>
              </w:rPr>
            </w:pPr>
            <w:r w:rsidRPr="001B42E9">
              <w:rPr>
                <w:b/>
                <w:bCs/>
                <w:color w:val="000000"/>
                <w:sz w:val="20"/>
                <w:szCs w:val="20"/>
              </w:rPr>
              <w:t>Ähnlichkeitskoeffizient</w:t>
            </w:r>
          </w:p>
        </w:tc>
        <w:tc>
          <w:tcPr>
            <w:tcW w:w="1244" w:type="pct"/>
            <w:tcBorders>
              <w:top w:val="single" w:sz="8" w:space="0" w:color="auto"/>
              <w:left w:val="nil"/>
              <w:bottom w:val="single" w:sz="6" w:space="0" w:color="auto"/>
              <w:right w:val="nil"/>
            </w:tcBorders>
            <w:shd w:val="clear" w:color="000000" w:fill="FFFFFF"/>
            <w:noWrap/>
            <w:vAlign w:val="center"/>
            <w:hideMark/>
          </w:tcPr>
          <w:p w14:paraId="23220F51" w14:textId="77777777" w:rsidR="00EB0B5A" w:rsidRPr="001B42E9" w:rsidRDefault="00EB0B5A" w:rsidP="003B1C0E">
            <w:pPr>
              <w:spacing w:before="60" w:after="60" w:line="240" w:lineRule="auto"/>
              <w:jc w:val="center"/>
              <w:rPr>
                <w:b/>
                <w:bCs/>
                <w:color w:val="000000"/>
                <w:sz w:val="20"/>
                <w:szCs w:val="20"/>
              </w:rPr>
            </w:pPr>
            <m:oMathPara>
              <m:oMath>
                <m:r>
                  <m:rPr>
                    <m:sty m:val="bi"/>
                  </m:rPr>
                  <w:rPr>
                    <w:rFonts w:ascii="Cambria Math" w:hAnsi="Cambria Math"/>
                    <w:sz w:val="20"/>
                    <w:szCs w:val="20"/>
                  </w:rPr>
                  <m:t>s(i, j)</m:t>
                </m:r>
              </m:oMath>
            </m:oMathPara>
          </w:p>
        </w:tc>
        <w:tc>
          <w:tcPr>
            <w:tcW w:w="1244" w:type="pct"/>
            <w:tcBorders>
              <w:top w:val="single" w:sz="8" w:space="0" w:color="auto"/>
              <w:left w:val="nil"/>
              <w:bottom w:val="single" w:sz="6" w:space="0" w:color="auto"/>
              <w:right w:val="nil"/>
            </w:tcBorders>
            <w:shd w:val="clear" w:color="000000" w:fill="FFFFFF"/>
          </w:tcPr>
          <w:p w14:paraId="6CB25464" w14:textId="77777777" w:rsidR="00EB0B5A" w:rsidRPr="001B42E9" w:rsidRDefault="00EB0B5A" w:rsidP="003B1C0E">
            <w:pPr>
              <w:spacing w:before="60" w:after="60" w:line="240" w:lineRule="auto"/>
              <w:jc w:val="center"/>
              <w:rPr>
                <w:rFonts w:eastAsia="SimSun" w:cs="Times New Roman"/>
                <w:b/>
                <w:sz w:val="20"/>
                <w:szCs w:val="20"/>
              </w:rPr>
            </w:pPr>
            <m:oMathPara>
              <m:oMath>
                <m:r>
                  <m:rPr>
                    <m:sty m:val="bi"/>
                  </m:rPr>
                  <w:rPr>
                    <w:rFonts w:ascii="Cambria Math" w:hAnsi="Cambria Math"/>
                    <w:sz w:val="20"/>
                    <w:szCs w:val="20"/>
                  </w:rPr>
                  <m:t>d(i, j)</m:t>
                </m:r>
              </m:oMath>
            </m:oMathPara>
          </w:p>
        </w:tc>
      </w:tr>
      <w:tr w:rsidR="00EB0B5A" w:rsidRPr="001B42E9" w14:paraId="45A6C780" w14:textId="77777777" w:rsidTr="00016B32">
        <w:trPr>
          <w:trHeight w:val="20"/>
          <w:jc w:val="center"/>
        </w:trPr>
        <w:tc>
          <w:tcPr>
            <w:tcW w:w="2511" w:type="pct"/>
            <w:tcBorders>
              <w:top w:val="single" w:sz="6" w:space="0" w:color="auto"/>
              <w:left w:val="nil"/>
              <w:right w:val="nil"/>
            </w:tcBorders>
            <w:shd w:val="clear" w:color="000000" w:fill="FFFFFF"/>
            <w:noWrap/>
            <w:vAlign w:val="center"/>
          </w:tcPr>
          <w:p w14:paraId="0B4F5984" w14:textId="77777777" w:rsidR="00EB0B5A" w:rsidRPr="001B42E9" w:rsidRDefault="00EB0B5A" w:rsidP="003B1C0E">
            <w:pPr>
              <w:spacing w:before="60" w:after="60" w:line="240" w:lineRule="auto"/>
              <w:jc w:val="left"/>
              <w:rPr>
                <w:color w:val="000000"/>
                <w:sz w:val="20"/>
                <w:szCs w:val="20"/>
                <w:lang w:val="en-US"/>
              </w:rPr>
            </w:pPr>
            <w:r w:rsidRPr="001B42E9">
              <w:rPr>
                <w:i/>
                <w:iCs/>
                <w:color w:val="000000"/>
                <w:sz w:val="20"/>
                <w:szCs w:val="20"/>
                <w:lang w:val="en-US"/>
              </w:rPr>
              <w:t>Invariante Koeffizienten</w:t>
            </w:r>
          </w:p>
        </w:tc>
        <w:tc>
          <w:tcPr>
            <w:tcW w:w="1244" w:type="pct"/>
            <w:tcBorders>
              <w:top w:val="single" w:sz="6" w:space="0" w:color="auto"/>
              <w:left w:val="nil"/>
              <w:right w:val="nil"/>
            </w:tcBorders>
            <w:shd w:val="clear" w:color="000000" w:fill="FFFFFF"/>
            <w:noWrap/>
            <w:vAlign w:val="center"/>
          </w:tcPr>
          <w:p w14:paraId="7E29E63B" w14:textId="77777777" w:rsidR="00EB0B5A" w:rsidRPr="001B42E9" w:rsidRDefault="00EB0B5A" w:rsidP="003B1C0E">
            <w:pPr>
              <w:spacing w:before="60" w:after="60" w:line="240" w:lineRule="auto"/>
              <w:jc w:val="center"/>
              <w:rPr>
                <w:i/>
                <w:color w:val="000000"/>
                <w:sz w:val="20"/>
                <w:szCs w:val="20"/>
              </w:rPr>
            </w:pPr>
          </w:p>
        </w:tc>
        <w:tc>
          <w:tcPr>
            <w:tcW w:w="1244" w:type="pct"/>
            <w:tcBorders>
              <w:top w:val="single" w:sz="6" w:space="0" w:color="auto"/>
              <w:left w:val="nil"/>
              <w:right w:val="nil"/>
            </w:tcBorders>
            <w:shd w:val="clear" w:color="000000" w:fill="FFFFFF"/>
            <w:vAlign w:val="center"/>
          </w:tcPr>
          <w:p w14:paraId="28725800" w14:textId="77777777" w:rsidR="00EB0B5A" w:rsidRPr="001B42E9" w:rsidRDefault="00EB0B5A" w:rsidP="003B1C0E">
            <w:pPr>
              <w:spacing w:before="60" w:after="60" w:line="240" w:lineRule="auto"/>
              <w:jc w:val="center"/>
              <w:rPr>
                <w:i/>
                <w:color w:val="000000"/>
                <w:sz w:val="20"/>
                <w:szCs w:val="20"/>
              </w:rPr>
            </w:pPr>
          </w:p>
        </w:tc>
      </w:tr>
      <w:tr w:rsidR="004874B8" w:rsidRPr="00CF3B2D" w14:paraId="17A4D760" w14:textId="60C5ABE2" w:rsidTr="002B739D">
        <w:trPr>
          <w:trHeight w:val="20"/>
          <w:jc w:val="center"/>
        </w:trPr>
        <w:tc>
          <w:tcPr>
            <w:tcW w:w="2511" w:type="pct"/>
            <w:tcBorders>
              <w:left w:val="nil"/>
              <w:bottom w:val="single" w:sz="8" w:space="0" w:color="auto"/>
              <w:right w:val="nil"/>
            </w:tcBorders>
            <w:shd w:val="clear" w:color="000000" w:fill="FFFFFF"/>
            <w:noWrap/>
            <w:vAlign w:val="center"/>
          </w:tcPr>
          <w:p w14:paraId="0AA1EF45" w14:textId="70E90569" w:rsidR="004874B8" w:rsidRPr="001B42E9" w:rsidRDefault="004874B8" w:rsidP="004874B8">
            <w:pPr>
              <w:spacing w:before="120" w:after="120"/>
              <w:jc w:val="left"/>
              <w:rPr>
                <w:color w:val="000000"/>
                <w:sz w:val="20"/>
                <w:szCs w:val="20"/>
                <w:lang w:val="en-US"/>
              </w:rPr>
            </w:pPr>
            <w:r w:rsidRPr="001B42E9">
              <w:rPr>
                <w:color w:val="000000"/>
                <w:sz w:val="20"/>
                <w:szCs w:val="20"/>
                <w:lang w:val="en-US"/>
              </w:rPr>
              <w:t>M-Koeffizient</w:t>
            </w:r>
          </w:p>
        </w:tc>
        <w:tc>
          <w:tcPr>
            <w:tcW w:w="1244" w:type="pct"/>
            <w:tcBorders>
              <w:left w:val="nil"/>
              <w:bottom w:val="single" w:sz="8" w:space="0" w:color="auto"/>
              <w:right w:val="nil"/>
            </w:tcBorders>
            <w:shd w:val="clear" w:color="000000" w:fill="FFFFFF"/>
            <w:noWrap/>
            <w:vAlign w:val="center"/>
          </w:tcPr>
          <w:p w14:paraId="0164EB55" w14:textId="0AD1E534" w:rsidR="004874B8" w:rsidRPr="001B42E9" w:rsidRDefault="004F311F" w:rsidP="004874B8">
            <w:pPr>
              <w:spacing w:before="120" w:after="120"/>
              <w:jc w:val="center"/>
              <w:rPr>
                <w:i/>
                <w:color w:val="000000"/>
                <w:sz w:val="20"/>
                <w:szCs w:val="20"/>
              </w:rPr>
            </w:pPr>
            <m:oMathPara>
              <m:oMath>
                <m:f>
                  <m:fPr>
                    <m:ctrlPr>
                      <w:rPr>
                        <w:rFonts w:ascii="Cambria Math" w:hAnsi="Cambria Math"/>
                        <w:i/>
                        <w:color w:val="000000"/>
                        <w:sz w:val="20"/>
                        <w:szCs w:val="20"/>
                      </w:rPr>
                    </m:ctrlPr>
                  </m:fPr>
                  <m:num>
                    <m:r>
                      <w:rPr>
                        <w:rFonts w:ascii="Cambria Math" w:hAnsi="Cambria Math"/>
                        <w:color w:val="000000"/>
                        <w:sz w:val="20"/>
                        <w:szCs w:val="20"/>
                      </w:rPr>
                      <m:t>a+d</m:t>
                    </m:r>
                  </m:num>
                  <m:den>
                    <m:r>
                      <w:rPr>
                        <w:rFonts w:ascii="Cambria Math" w:hAnsi="Cambria Math"/>
                        <w:color w:val="000000"/>
                        <w:sz w:val="20"/>
                        <w:szCs w:val="20"/>
                      </w:rPr>
                      <m:t>M</m:t>
                    </m:r>
                  </m:den>
                </m:f>
              </m:oMath>
            </m:oMathPara>
          </w:p>
        </w:tc>
        <w:tc>
          <w:tcPr>
            <w:tcW w:w="1244" w:type="pct"/>
            <w:tcBorders>
              <w:left w:val="nil"/>
              <w:bottom w:val="single" w:sz="8" w:space="0" w:color="auto"/>
              <w:right w:val="nil"/>
            </w:tcBorders>
            <w:shd w:val="clear" w:color="000000" w:fill="FFFFFF"/>
            <w:vAlign w:val="center"/>
          </w:tcPr>
          <w:p w14:paraId="1A5FDE5C" w14:textId="5AF230BB" w:rsidR="004874B8" w:rsidRPr="001B42E9" w:rsidRDefault="004F311F" w:rsidP="004874B8">
            <w:pPr>
              <w:spacing w:before="120" w:after="120"/>
              <w:jc w:val="center"/>
              <w:rPr>
                <w:rFonts w:eastAsia="SimSun" w:cs="Times New Roman"/>
                <w:i/>
                <w:color w:val="000000"/>
                <w:sz w:val="20"/>
                <w:szCs w:val="20"/>
              </w:rPr>
            </w:pPr>
            <m:oMathPara>
              <m:oMath>
                <m:f>
                  <m:fPr>
                    <m:ctrlPr>
                      <w:rPr>
                        <w:rFonts w:ascii="Cambria Math" w:hAnsi="Cambria Math"/>
                        <w:i/>
                        <w:color w:val="000000"/>
                        <w:sz w:val="20"/>
                        <w:szCs w:val="20"/>
                      </w:rPr>
                    </m:ctrlPr>
                  </m:fPr>
                  <m:num>
                    <m:r>
                      <w:rPr>
                        <w:rFonts w:ascii="Cambria Math" w:hAnsi="Cambria Math"/>
                        <w:color w:val="000000"/>
                        <w:sz w:val="20"/>
                        <w:szCs w:val="20"/>
                      </w:rPr>
                      <m:t>b+c</m:t>
                    </m:r>
                  </m:num>
                  <m:den>
                    <m:r>
                      <w:rPr>
                        <w:rFonts w:ascii="Cambria Math" w:hAnsi="Cambria Math"/>
                        <w:color w:val="000000"/>
                        <w:sz w:val="20"/>
                        <w:szCs w:val="20"/>
                      </w:rPr>
                      <m:t>M</m:t>
                    </m:r>
                  </m:den>
                </m:f>
              </m:oMath>
            </m:oMathPara>
          </w:p>
        </w:tc>
      </w:tr>
      <w:tr w:rsidR="002B739D" w:rsidRPr="00CF3B2D" w14:paraId="1EB3C0A5" w14:textId="77777777" w:rsidTr="002B739D">
        <w:trPr>
          <w:trHeight w:val="40"/>
          <w:jc w:val="center"/>
        </w:trPr>
        <w:tc>
          <w:tcPr>
            <w:tcW w:w="2511" w:type="pct"/>
            <w:tcBorders>
              <w:top w:val="single" w:sz="8" w:space="0" w:color="auto"/>
              <w:left w:val="nil"/>
              <w:right w:val="nil"/>
            </w:tcBorders>
            <w:shd w:val="clear" w:color="000000" w:fill="FFFFFF"/>
            <w:noWrap/>
            <w:vAlign w:val="center"/>
          </w:tcPr>
          <w:p w14:paraId="19C00AAD" w14:textId="77777777" w:rsidR="002B739D" w:rsidRPr="002B739D" w:rsidRDefault="002B739D" w:rsidP="004874B8">
            <w:pPr>
              <w:spacing w:before="120" w:after="120"/>
              <w:jc w:val="left"/>
              <w:rPr>
                <w:color w:val="000000"/>
                <w:sz w:val="2"/>
                <w:szCs w:val="2"/>
                <w:lang w:val="en-US"/>
              </w:rPr>
            </w:pPr>
          </w:p>
        </w:tc>
        <w:tc>
          <w:tcPr>
            <w:tcW w:w="1244" w:type="pct"/>
            <w:tcBorders>
              <w:top w:val="single" w:sz="8" w:space="0" w:color="auto"/>
              <w:left w:val="nil"/>
              <w:right w:val="nil"/>
            </w:tcBorders>
            <w:shd w:val="clear" w:color="000000" w:fill="FFFFFF"/>
            <w:noWrap/>
            <w:vAlign w:val="center"/>
          </w:tcPr>
          <w:p w14:paraId="77665893" w14:textId="77777777" w:rsidR="002B739D" w:rsidRPr="002B739D" w:rsidRDefault="002B739D" w:rsidP="004874B8">
            <w:pPr>
              <w:spacing w:before="120" w:after="120"/>
              <w:jc w:val="center"/>
              <w:rPr>
                <w:rFonts w:eastAsia="SimSun" w:cs="Times New Roman"/>
                <w:color w:val="000000"/>
                <w:sz w:val="2"/>
                <w:szCs w:val="2"/>
              </w:rPr>
            </w:pPr>
          </w:p>
        </w:tc>
        <w:tc>
          <w:tcPr>
            <w:tcW w:w="1244" w:type="pct"/>
            <w:tcBorders>
              <w:top w:val="single" w:sz="8" w:space="0" w:color="auto"/>
              <w:left w:val="nil"/>
              <w:right w:val="nil"/>
            </w:tcBorders>
            <w:shd w:val="clear" w:color="000000" w:fill="FFFFFF"/>
            <w:vAlign w:val="center"/>
          </w:tcPr>
          <w:p w14:paraId="2C60F56A" w14:textId="77777777" w:rsidR="002B739D" w:rsidRPr="002B739D" w:rsidRDefault="002B739D" w:rsidP="004874B8">
            <w:pPr>
              <w:spacing w:before="120" w:after="120"/>
              <w:jc w:val="center"/>
              <w:rPr>
                <w:rFonts w:eastAsia="SimSun" w:cs="Times New Roman"/>
                <w:i/>
                <w:color w:val="000000"/>
                <w:sz w:val="2"/>
                <w:szCs w:val="2"/>
              </w:rPr>
            </w:pPr>
          </w:p>
        </w:tc>
      </w:tr>
    </w:tbl>
    <w:p w14:paraId="55C54E6D" w14:textId="39892EA3" w:rsidR="007B3838" w:rsidRDefault="007B3838" w:rsidP="00EB0B5A">
      <w:pPr>
        <w:spacing w:before="120" w:after="120"/>
      </w:pPr>
      <w:r>
        <w:t xml:space="preserve">Bei der Wahl des Ähnlichkeitskoeffizienten spielt die Symmetrie der binären Variable eine </w:t>
      </w:r>
      <w:r w:rsidR="00FC5BEC">
        <w:t>wichtige</w:t>
      </w:r>
      <w:r>
        <w:t xml:space="preserve"> Rolle. Bei </w:t>
      </w:r>
      <w:r w:rsidR="00FC5BEC">
        <w:t>symmetrischen binären Variablen sind beid</w:t>
      </w:r>
      <w:r w:rsidR="00A8013F">
        <w:t>e</w:t>
      </w:r>
      <w:r w:rsidR="00FC5BEC">
        <w:t xml:space="preserve"> Ausprägungen gleichwertig und haben die gleiche Gewichtung. So wäre beispielsweise die Variable </w:t>
      </w:r>
      <w:r w:rsidR="00FC5BEC" w:rsidRPr="00FC5BEC">
        <w:rPr>
          <w:i/>
          <w:iCs/>
        </w:rPr>
        <w:t>Geschlecht</w:t>
      </w:r>
      <w:r w:rsidR="00FC5BEC">
        <w:t xml:space="preserve"> mit den Ausprägungen </w:t>
      </w:r>
      <w:r w:rsidR="00FC5BEC" w:rsidRPr="00FC5BEC">
        <w:rPr>
          <w:i/>
          <w:iCs/>
        </w:rPr>
        <w:t>männlich</w:t>
      </w:r>
      <w:r w:rsidR="00FC5BEC">
        <w:t xml:space="preserve"> und </w:t>
      </w:r>
      <w:r w:rsidR="00FC5BEC" w:rsidRPr="00FC5BEC">
        <w:rPr>
          <w:i/>
          <w:iCs/>
        </w:rPr>
        <w:t>weiblich</w:t>
      </w:r>
      <w:r>
        <w:t xml:space="preserve"> </w:t>
      </w:r>
      <w:r w:rsidR="00FC5BEC">
        <w:t>symmetrisch.</w:t>
      </w:r>
      <w:r w:rsidR="00C20A23">
        <w:t xml:space="preserve"> Während bei asymmetrischen Variablen die seltenere Ausprägung mit 1 codiert wird und umgekehrt, ist die Reihenfolge der Codierung bei symmetrischen Variablen irrelevant.</w:t>
      </w:r>
      <w:r w:rsidR="00FC5BEC">
        <w:t xml:space="preserve"> </w:t>
      </w:r>
      <w:r w:rsidR="00C20A23">
        <w:t xml:space="preserve">So sollten demnach </w:t>
      </w:r>
      <m:oMath>
        <m:r>
          <w:rPr>
            <w:rFonts w:ascii="Cambria Math" w:hAnsi="Cambria Math"/>
          </w:rPr>
          <m:t>a</m:t>
        </m:r>
      </m:oMath>
      <w:r w:rsidR="00C20A23">
        <w:t xml:space="preserve"> und </w:t>
      </w:r>
      <m:oMath>
        <m:r>
          <w:rPr>
            <w:rFonts w:ascii="Cambria Math" w:hAnsi="Cambria Math"/>
          </w:rPr>
          <m:t>d</m:t>
        </m:r>
      </m:oMath>
      <w:r w:rsidR="00C20A23">
        <w:t xml:space="preserve"> keinen Unterschied im Koeffizienten ausmachen. </w:t>
      </w:r>
      <w:r>
        <w:t xml:space="preserve">Man </w:t>
      </w:r>
      <w:r w:rsidR="00A275EF">
        <w:t>un</w:t>
      </w:r>
      <w:r>
        <w:t>terscheidet</w:t>
      </w:r>
      <w:r w:rsidR="00FC5BEC">
        <w:t xml:space="preserve"> daher</w:t>
      </w:r>
      <w:r>
        <w:t xml:space="preserve"> zwischen invarianten und nicht invarianten Ähnlichkeitskoeffizenten</w:t>
      </w:r>
      <w:r w:rsidR="00FC5BEC">
        <w:t>, welche</w:t>
      </w:r>
      <w:r w:rsidR="00C20A23">
        <w:t xml:space="preserve"> nach diesem Kriterium</w:t>
      </w:r>
      <w:r w:rsidR="00FC5BEC">
        <w:t xml:space="preserve"> jeweils für symmetrische und asymmetrische binäre Variablen geeignet sind</w:t>
      </w:r>
      <w:r>
        <w:t>.</w:t>
      </w:r>
      <w:r>
        <w:rPr>
          <w:rStyle w:val="Funotenzeichen"/>
        </w:rPr>
        <w:footnoteReference w:id="45"/>
      </w:r>
    </w:p>
    <w:p w14:paraId="2E0BC422" w14:textId="4D269CCF" w:rsidR="00504048" w:rsidRDefault="00504048" w:rsidP="00EB0B5A">
      <w:pPr>
        <w:spacing w:after="120"/>
      </w:pPr>
      <w:r>
        <w:t>Es lässt sich nicht allgemeingültig bestimmen, welches Ähnlichkeitsmaß zu präferieren ist.</w:t>
      </w:r>
      <w:r>
        <w:rPr>
          <w:rStyle w:val="Funotenzeichen"/>
        </w:rPr>
        <w:footnoteReference w:id="46"/>
      </w:r>
      <w:r>
        <w:t xml:space="preserve"> Finch (2005) vergleicht dazu mithilfe einer Monte-Carlo-Studie die vier oben dargestellten Ähnlichkeitsmaße mit der </w:t>
      </w:r>
      <w:r w:rsidRPr="00FF090E">
        <w:t>quadrierte</w:t>
      </w:r>
      <w:r>
        <w:t>n</w:t>
      </w:r>
      <w:r w:rsidRPr="00FF090E">
        <w:t xml:space="preserve"> euklidische</w:t>
      </w:r>
      <w:r>
        <w:t>n</w:t>
      </w:r>
      <w:r w:rsidRPr="00FF090E">
        <w:t xml:space="preserve"> Distanz</w:t>
      </w:r>
      <w:r w:rsidR="00D027DA">
        <w:rPr>
          <w:rStyle w:val="Funotenzeichen"/>
        </w:rPr>
        <w:footnoteReference w:id="47"/>
      </w:r>
      <w:r w:rsidRPr="00FF090E">
        <w:t xml:space="preserve"> in K</w:t>
      </w:r>
      <w:r>
        <w:t xml:space="preserve">ombination mit dem </w:t>
      </w:r>
      <w:r w:rsidRPr="00FF090E">
        <w:t>Ward-Verfahren</w:t>
      </w:r>
      <w:r>
        <w:t xml:space="preserve"> als </w:t>
      </w:r>
      <w:r w:rsidRPr="00FF090E">
        <w:t>Clusterverfahren</w:t>
      </w:r>
      <w:r>
        <w:t>, welches auch in der nachfolgenden Analyse verwendet wird. Während die Koeffizienten nach Jaccard, Russel / Rao und Dice ähnliche Resultate vorwiesen, lieferten der M-Koeffizient und die quadrierte euklidische Distanz andere Ergebnisse mit weniger gut definierten Clustern.</w:t>
      </w:r>
      <w:r>
        <w:rPr>
          <w:rStyle w:val="Funotenzeichen"/>
        </w:rPr>
        <w:footnoteReference w:id="48"/>
      </w:r>
    </w:p>
    <w:p w14:paraId="6EA7BFED" w14:textId="121CF969" w:rsidR="00D37DE1" w:rsidRDefault="0075272C" w:rsidP="00EB0B5A">
      <w:pPr>
        <w:spacing w:after="120"/>
      </w:pPr>
      <w:r>
        <w:t xml:space="preserve">Für die folgende Clusteranalyse dienen </w:t>
      </w:r>
      <w:r w:rsidR="006D6456">
        <w:t xml:space="preserve">die </w:t>
      </w:r>
      <w:r>
        <w:t>einzelnen Finanzierungsquellen</w:t>
      </w:r>
      <w:r w:rsidR="00875AB9">
        <w:t xml:space="preserve"> –asymmetrische binäre Variablen –</w:t>
      </w:r>
      <w:r>
        <w:t xml:space="preserve"> als </w:t>
      </w:r>
      <w:r w:rsidR="000602F9">
        <w:t>Clustervariablen</w:t>
      </w:r>
      <w:r>
        <w:t xml:space="preserve"> für die Gruppierung. </w:t>
      </w:r>
      <w:r w:rsidR="005A6F4D">
        <w:t>Daher wird im</w:t>
      </w:r>
      <w:r w:rsidR="00875AB9">
        <w:t xml:space="preserve"> Folgenden </w:t>
      </w:r>
      <w:r>
        <w:t>der Jaccard-</w:t>
      </w:r>
      <w:r w:rsidR="00875AB9">
        <w:t>Koeffizient</w:t>
      </w:r>
      <w:r>
        <w:t xml:space="preserve"> als Ähnlichkeitsmaß verwendet</w:t>
      </w:r>
      <w:r w:rsidR="0079705E">
        <w:t xml:space="preserve">, </w:t>
      </w:r>
      <w:r w:rsidR="00A31BCB">
        <w:t>der</w:t>
      </w:r>
      <w:r w:rsidR="000A1DCB">
        <w:t xml:space="preserve"> gleichzeitig</w:t>
      </w:r>
      <w:r w:rsidR="0079705E">
        <w:t xml:space="preserve"> den populärsten nich</w:t>
      </w:r>
      <w:r w:rsidR="00A31BCB">
        <w:t xml:space="preserve">t </w:t>
      </w:r>
      <w:r w:rsidR="0079705E">
        <w:t>invarianten Koeffizienten darstellt</w:t>
      </w:r>
      <w:r>
        <w:t>.</w:t>
      </w:r>
      <w:r w:rsidR="00D83B80">
        <w:rPr>
          <w:rStyle w:val="Funotenzeichen"/>
        </w:rPr>
        <w:footnoteReference w:id="49"/>
      </w:r>
      <w:r w:rsidR="009807EC">
        <w:t xml:space="preserve"> </w:t>
      </w:r>
    </w:p>
    <w:p w14:paraId="18F4EAC5" w14:textId="48C5A42E" w:rsidR="002F0A52" w:rsidRDefault="002F0A52" w:rsidP="001A4E15">
      <w:pPr>
        <w:pStyle w:val="Finalberschrift3"/>
        <w:numPr>
          <w:ilvl w:val="2"/>
          <w:numId w:val="11"/>
        </w:numPr>
      </w:pPr>
      <w:bookmarkStart w:id="29" w:name="_Toc88425828"/>
      <w:r>
        <w:lastRenderedPageBreak/>
        <w:t xml:space="preserve">Auswahl </w:t>
      </w:r>
      <w:r w:rsidR="002E3893">
        <w:t xml:space="preserve">des </w:t>
      </w:r>
      <w:r w:rsidR="00FF090E">
        <w:t>Clusterverfahrens</w:t>
      </w:r>
      <w:bookmarkEnd w:id="29"/>
    </w:p>
    <w:p w14:paraId="14D4E6DC" w14:textId="45EC347F" w:rsidR="00A906BA" w:rsidRDefault="00AD03F4" w:rsidP="00EB0B5A">
      <w:pPr>
        <w:spacing w:after="120"/>
      </w:pPr>
      <w:r>
        <w:t>Nachdem unter Berücksichtigung der vorliegenden Datenstruktur das Distanz- / Ähnlichkeitsmaß festgelegt wurde</w:t>
      </w:r>
      <w:r w:rsidR="00397DE6">
        <w:t>,</w:t>
      </w:r>
      <w:r>
        <w:t xml:space="preserve"> folgt die Auswahl des Clusterverfahrens. Es existiert eine Vielzahl an Algorithmen, welche in verschiedene Gruppen eingeteilt werden können</w:t>
      </w:r>
      <w:r w:rsidR="005E7F83">
        <w:t>. Darunter stellen</w:t>
      </w:r>
      <w:r>
        <w:t xml:space="preserve"> die partitionierenden und hierarchischen Verfahren zwei der gängigsten Gruppen dar.</w:t>
      </w:r>
      <w:r w:rsidR="00836BC1">
        <w:rPr>
          <w:rStyle w:val="Funotenzeichen"/>
        </w:rPr>
        <w:footnoteReference w:id="50"/>
      </w:r>
    </w:p>
    <w:p w14:paraId="39709CE0" w14:textId="76E7DDF1" w:rsidR="00A24ADA" w:rsidRDefault="006843B3" w:rsidP="00EB0B5A">
      <w:pPr>
        <w:spacing w:after="120"/>
      </w:pPr>
      <w:r>
        <w:t xml:space="preserve">Die partitionierenden Verfahren </w:t>
      </w:r>
      <w:r w:rsidR="006605EF">
        <w:t xml:space="preserve">– zu denen auch der </w:t>
      </w:r>
      <m:oMath>
        <m:r>
          <w:rPr>
            <w:rFonts w:ascii="Cambria Math" w:hAnsi="Cambria Math"/>
          </w:rPr>
          <m:t>k</m:t>
        </m:r>
      </m:oMath>
      <w:r w:rsidR="006605EF">
        <w:t xml:space="preserve">-Means-Algorithmus zählt – </w:t>
      </w:r>
      <w:r>
        <w:t xml:space="preserve">starten mit einer festgelegten Anzahl an Clustern </w:t>
      </w:r>
      <m:oMath>
        <m:r>
          <w:rPr>
            <w:rFonts w:ascii="Cambria Math" w:hAnsi="Cambria Math"/>
          </w:rPr>
          <m:t>k</m:t>
        </m:r>
      </m:oMath>
      <w:r>
        <w:t xml:space="preserve">, in die der Datensatz aufgeteilt wird. </w:t>
      </w:r>
      <w:r w:rsidR="00A24ADA">
        <w:t xml:space="preserve">Die Clusterzuordnung der einzelnen Beobachtungen wird iterativ mit Hilfe eines Austauschalgorithmus so lange verändert, bis die Zielfunktion des jeweiligen Verfahrens ein Optimum erreicht. </w:t>
      </w:r>
      <w:r w:rsidR="00D44CAE">
        <w:t xml:space="preserve">Im Gegensatz dazu kann bei den hierarchischen Verfahren die Clusterzuordnung einer Beobachtung nicht mehr nachträglich verändert werden. </w:t>
      </w:r>
      <w:r w:rsidR="00A24ADA">
        <w:t xml:space="preserve">Diese Flexibilität in der Zuordnung stellt </w:t>
      </w:r>
      <w:r w:rsidR="006605EF">
        <w:t xml:space="preserve">einen Vorteil gegenüber den hierarchischen Verfahren dar, allerdings haben letztere in der Praxis eine höhere Verbreitung gefunden. </w:t>
      </w:r>
      <w:r w:rsidR="00D44CAE">
        <w:t>So ist unter anderem die</w:t>
      </w:r>
      <w:r w:rsidR="006605EF">
        <w:t xml:space="preserve"> </w:t>
      </w:r>
      <w:r w:rsidR="00D44CAE">
        <w:t xml:space="preserve">Initialisierung der Startpartition häufig subjektiv begründet und </w:t>
      </w:r>
      <w:r w:rsidR="009F1C7D">
        <w:t>zufällig</w:t>
      </w:r>
      <w:r w:rsidR="00D44CAE">
        <w:t xml:space="preserve"> initialisiert, was zu unterschiedlichen Ergebnissen bei mehrmaliger Ausführung des gleichen Algorithmus führen kann.</w:t>
      </w:r>
      <w:r w:rsidR="00D44CAE">
        <w:rPr>
          <w:rStyle w:val="Funotenzeichen"/>
        </w:rPr>
        <w:footnoteReference w:id="51"/>
      </w:r>
    </w:p>
    <w:p w14:paraId="72440F0D" w14:textId="30631369" w:rsidR="001F690D" w:rsidRDefault="001F690D" w:rsidP="00EB0B5A">
      <w:pPr>
        <w:spacing w:after="120"/>
      </w:pPr>
      <w:r>
        <w:t>Die hierarchischen Verfahren werden nochmals in agglomerative und diversive Algorithmen unterteilt. Während</w:t>
      </w:r>
      <w:r w:rsidR="00DB6BE3">
        <w:t xml:space="preserve"> die diversiven Algorithmen im ersten Schritt alle Beobachtungen in ein einziges Cluster zuordnet und sukzessiv dieses Cluster in weitere aufteilt</w:t>
      </w:r>
      <w:r w:rsidR="003719A3">
        <w:t xml:space="preserve"> (</w:t>
      </w:r>
      <w:r w:rsidR="001C01BE">
        <w:t>T</w:t>
      </w:r>
      <w:r w:rsidR="003719A3">
        <w:t>op-</w:t>
      </w:r>
      <w:r w:rsidR="001C01BE">
        <w:t>d</w:t>
      </w:r>
      <w:r w:rsidR="003719A3">
        <w:t>own Ansatz)</w:t>
      </w:r>
      <w:r w:rsidR="00DB6BE3">
        <w:t xml:space="preserve">, gehen </w:t>
      </w:r>
      <w:r>
        <w:t>die</w:t>
      </w:r>
      <w:r w:rsidR="00DB6BE3">
        <w:t xml:space="preserve"> häufiger verwendeten</w:t>
      </w:r>
      <w:r>
        <w:t xml:space="preserve"> agglomerativen Algorithmen</w:t>
      </w:r>
      <w:r w:rsidR="00DB6BE3">
        <w:t xml:space="preserve"> umgekehrt vor. So stellt zunächst jede Beobachtung ein eigenes Cluster dar</w:t>
      </w:r>
      <w:r w:rsidR="003719A3">
        <w:t>. In jedem Iterationsschritt werden die zwei ähnlichsten Cluster</w:t>
      </w:r>
      <w:r w:rsidR="005F21A9">
        <w:t xml:space="preserve"> </w:t>
      </w:r>
      <w:r w:rsidR="003719A3">
        <w:t>fusioniert</w:t>
      </w:r>
      <w:r w:rsidR="005F21A9">
        <w:t xml:space="preserve">, bis am Ende ein </w:t>
      </w:r>
      <w:r w:rsidR="00052397">
        <w:t>einzelnes</w:t>
      </w:r>
      <w:r w:rsidR="005F21A9">
        <w:t xml:space="preserve"> Cluster mit allen Beobachtungen verbleibt</w:t>
      </w:r>
      <w:r w:rsidR="003719A3">
        <w:t xml:space="preserve"> (</w:t>
      </w:r>
      <w:r w:rsidR="001C01BE">
        <w:t>B</w:t>
      </w:r>
      <w:r w:rsidR="003719A3">
        <w:t>ottom-</w:t>
      </w:r>
      <w:r w:rsidR="001C01BE">
        <w:t>u</w:t>
      </w:r>
      <w:r w:rsidR="003719A3">
        <w:t>p Ansatz).</w:t>
      </w:r>
      <w:r w:rsidR="00DB6BE3">
        <w:rPr>
          <w:rStyle w:val="Funotenzeichen"/>
        </w:rPr>
        <w:footnoteReference w:id="52"/>
      </w:r>
    </w:p>
    <w:p w14:paraId="13929FE9" w14:textId="262B8C97" w:rsidR="002F46CA" w:rsidRDefault="008D6ABE" w:rsidP="00EB0B5A">
      <w:pPr>
        <w:spacing w:after="120"/>
      </w:pPr>
      <w:r>
        <w:t>Zu den a</w:t>
      </w:r>
      <w:r w:rsidR="00A91032">
        <w:t>gglomerative</w:t>
      </w:r>
      <w:r w:rsidR="00D027DA">
        <w:t>n</w:t>
      </w:r>
      <w:r w:rsidR="00A91032">
        <w:t xml:space="preserve"> Algorithmen</w:t>
      </w:r>
      <w:r>
        <w:t xml:space="preserve"> zählen unter anderem</w:t>
      </w:r>
      <w:r w:rsidRPr="008D6ABE">
        <w:t xml:space="preserve"> </w:t>
      </w:r>
      <w:r w:rsidRPr="00F22C0A">
        <w:t>Single Linkage, Complete Linkage, Average Linkage, Centroid</w:t>
      </w:r>
      <w:r w:rsidR="00C37158">
        <w:t xml:space="preserve">, </w:t>
      </w:r>
      <w:r w:rsidRPr="00F22C0A">
        <w:t>Median</w:t>
      </w:r>
      <w:r w:rsidR="00C37158">
        <w:t xml:space="preserve"> sowie das Ward-Verfahren. Sie</w:t>
      </w:r>
      <w:r w:rsidR="00A91032">
        <w:t xml:space="preserve"> unterscheiden sich nur durch d</w:t>
      </w:r>
      <w:r>
        <w:t>as Kriterium</w:t>
      </w:r>
      <w:r w:rsidR="00A91032">
        <w:t>, nach</w:t>
      </w:r>
      <w:r>
        <w:t xml:space="preserve">dem </w:t>
      </w:r>
      <w:r w:rsidR="00A91032">
        <w:t>die Fusion zweier Cluster erfolgt.</w:t>
      </w:r>
      <w:r w:rsidR="00A91032">
        <w:rPr>
          <w:rStyle w:val="Funotenzeichen"/>
        </w:rPr>
        <w:footnoteReference w:id="53"/>
      </w:r>
      <w:r w:rsidR="00A91032">
        <w:t xml:space="preserve"> </w:t>
      </w:r>
      <w:r w:rsidR="00892210">
        <w:t xml:space="preserve">Für den Vergleich </w:t>
      </w:r>
      <w:r w:rsidR="00A91032">
        <w:t xml:space="preserve">dieser Verfahren </w:t>
      </w:r>
      <w:r w:rsidR="00AD3543">
        <w:t>existiert</w:t>
      </w:r>
      <w:r w:rsidR="00892210">
        <w:t xml:space="preserve"> eine Reihe an Monte-Carlo-Studien, bei denen </w:t>
      </w:r>
      <w:r w:rsidR="00AD3543">
        <w:t>größtenteils</w:t>
      </w:r>
      <w:r w:rsidR="00892210">
        <w:t xml:space="preserve"> das Ward-Verfahren als </w:t>
      </w:r>
      <w:r w:rsidR="00F4207A" w:rsidRPr="00F4207A">
        <w:t xml:space="preserve">geeignetster </w:t>
      </w:r>
      <w:r w:rsidR="00892210">
        <w:t xml:space="preserve">Algorithmus </w:t>
      </w:r>
      <w:r w:rsidR="00892210">
        <w:lastRenderedPageBreak/>
        <w:t>hervorstach.</w:t>
      </w:r>
      <w:r w:rsidR="00A91032">
        <w:rPr>
          <w:rStyle w:val="Funotenzeichen"/>
        </w:rPr>
        <w:footnoteReference w:id="54"/>
      </w:r>
      <w:r w:rsidR="007B6155">
        <w:t xml:space="preserve"> Hands / Everitt (1987) </w:t>
      </w:r>
      <w:r w:rsidR="00910AD2">
        <w:t>führt</w:t>
      </w:r>
      <w:r w:rsidR="00B44994">
        <w:t>e</w:t>
      </w:r>
      <w:r w:rsidR="00910AD2">
        <w:t xml:space="preserve"> den Vergleich spezifisch für binäre Datenstrukturen durch und erzielt</w:t>
      </w:r>
      <w:r w:rsidR="00B44994">
        <w:t>e</w:t>
      </w:r>
      <w:r w:rsidR="00910AD2">
        <w:t xml:space="preserve"> dabei ähnliche Ergebnisse.</w:t>
      </w:r>
      <w:r w:rsidR="00910AD2">
        <w:rPr>
          <w:rStyle w:val="Funotenzeichen"/>
        </w:rPr>
        <w:footnoteReference w:id="55"/>
      </w:r>
      <w:r w:rsidR="00910AD2">
        <w:t xml:space="preserve"> </w:t>
      </w:r>
    </w:p>
    <w:p w14:paraId="487D5EF2" w14:textId="68ABBC04" w:rsidR="00CE727A" w:rsidRDefault="00F72D50" w:rsidP="00EB0B5A">
      <w:pPr>
        <w:spacing w:after="120"/>
      </w:pPr>
      <w:r>
        <w:t xml:space="preserve">Ward (1963) stellt einen Algorithmus vor, </w:t>
      </w:r>
      <w:r w:rsidR="002E3DF9">
        <w:t>der</w:t>
      </w:r>
      <w:r w:rsidR="00CE727A">
        <w:t xml:space="preserve"> auf Basis der </w:t>
      </w:r>
      <w:r w:rsidR="00B90DE5">
        <w:t xml:space="preserve">quadrierten euklidischen Distanz </w:t>
      </w:r>
      <w:r w:rsidR="00560E5F">
        <w:t>die Summe der Varianz innerhalb eines Clusters – auch als Fehlerquadratsumme</w:t>
      </w:r>
      <w:r w:rsidR="00D442C3">
        <w:t xml:space="preserve"> </w:t>
      </w:r>
      <w:r w:rsidR="00560E5F">
        <w:t>bezeichnet – minimiert.</w:t>
      </w:r>
      <w:r w:rsidR="00717D7E">
        <w:rPr>
          <w:rStyle w:val="Funotenzeichen"/>
        </w:rPr>
        <w:footnoteReference w:id="56"/>
      </w:r>
      <w:r w:rsidR="00CE727A">
        <w:t xml:space="preserve"> </w:t>
      </w:r>
      <w:r w:rsidR="00717D7E">
        <w:t>So werden in jedem Iterationsschritt diejenigen zwei Cluster zusammengefasst, welche die Fehlerquadratsumme am wenigsten vergrößern. Dies steht im Kontrast zu den Linkage-Verfahren, die stattdessen anhand der geringsten Distanz zwischen Cluster fusionieren.</w:t>
      </w:r>
      <w:r w:rsidR="00466A6F">
        <w:rPr>
          <w:rStyle w:val="Funotenzeichen"/>
        </w:rPr>
        <w:footnoteReference w:id="57"/>
      </w:r>
      <w:r w:rsidR="00D442C3">
        <w:t xml:space="preserve"> </w:t>
      </w:r>
      <w:r w:rsidR="00CE727A">
        <w:t xml:space="preserve">Dieses Varianzkriterium kann durch die Generalisierung der </w:t>
      </w:r>
      <w:r w:rsidR="00CE727A" w:rsidRPr="00CE727A">
        <w:t>Lance-Williams-Update-Forme</w:t>
      </w:r>
      <w:r w:rsidR="00CE727A">
        <w:t>l auch als Distanz zwischen Cluster ausgedrückt werden,</w:t>
      </w:r>
      <w:r w:rsidR="00B90DE5">
        <w:t xml:space="preserve"> wodurch andere Distanzmaße als die quadrierte Euklidische Distanz verwendet werden können</w:t>
      </w:r>
      <w:r w:rsidR="00B90DE5">
        <w:rPr>
          <w:rStyle w:val="Funotenzeichen"/>
        </w:rPr>
        <w:footnoteReference w:id="58"/>
      </w:r>
      <w:r w:rsidR="004874B8">
        <w:t xml:space="preserve"> </w:t>
      </w:r>
      <w:r w:rsidR="00BE32B7">
        <w:t xml:space="preserve">– </w:t>
      </w:r>
      <w:r w:rsidR="004874B8">
        <w:t>hier in der Analyse die Jaccard-Distanz.</w:t>
      </w:r>
      <w:r w:rsidR="00286978">
        <w:t xml:space="preserve"> Seien </w:t>
      </w:r>
      <m:oMath>
        <m:r>
          <w:rPr>
            <w:rFonts w:ascii="Cambria Math" w:hAnsi="Cambria Math"/>
          </w:rPr>
          <m:t>i</m:t>
        </m:r>
      </m:oMath>
      <w:r w:rsidR="00286978">
        <w:t xml:space="preserve"> und </w:t>
      </w:r>
      <m:oMath>
        <m:r>
          <w:rPr>
            <w:rFonts w:ascii="Cambria Math" w:hAnsi="Cambria Math"/>
          </w:rPr>
          <m:t>j</m:t>
        </m:r>
      </m:oMath>
      <w:r w:rsidR="00286978">
        <w:t xml:space="preserve"> Cluster, welche zu </w:t>
      </w:r>
      <w:r w:rsidR="00001CD5">
        <w:t xml:space="preserve">einem neuen </w:t>
      </w:r>
      <w:r w:rsidR="00286978">
        <w:t xml:space="preserve">Cluster </w:t>
      </w:r>
      <m:oMath>
        <m:r>
          <w:rPr>
            <w:rFonts w:ascii="Cambria Math" w:hAnsi="Cambria Math"/>
          </w:rPr>
          <m:t>i∪j</m:t>
        </m:r>
      </m:oMath>
      <w:r w:rsidR="00286978">
        <w:t xml:space="preserve"> fusioniert werden. So gilt für die Distanz zu einem anderen Cluster </w:t>
      </w:r>
      <m:oMath>
        <m:r>
          <w:rPr>
            <w:rFonts w:ascii="Cambria Math" w:hAnsi="Cambria Math"/>
          </w:rPr>
          <m:t>k</m:t>
        </m:r>
      </m:oMath>
      <w:r w:rsidR="00286978">
        <w:t xml:space="preserve"> nach Wards Varianzkriterium:</w:t>
      </w:r>
      <w:r w:rsidR="00286978">
        <w:rPr>
          <w:rStyle w:val="Funotenzeichen"/>
        </w:rPr>
        <w:footnoteReference w:id="59"/>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
        <w:gridCol w:w="7371"/>
        <w:gridCol w:w="624"/>
      </w:tblGrid>
      <w:tr w:rsidR="00CE727A" w14:paraId="2C410A28" w14:textId="77777777" w:rsidTr="00BC7F2B">
        <w:tc>
          <w:tcPr>
            <w:tcW w:w="624" w:type="dxa"/>
          </w:tcPr>
          <w:p w14:paraId="68FDBA90" w14:textId="77777777" w:rsidR="00CE727A" w:rsidRDefault="00CE727A" w:rsidP="00BC7F2B"/>
        </w:tc>
        <w:tc>
          <w:tcPr>
            <w:tcW w:w="7371" w:type="dxa"/>
          </w:tcPr>
          <w:p w14:paraId="68EB2564" w14:textId="19F483C1" w:rsidR="00CE727A" w:rsidRPr="00CA1146" w:rsidRDefault="00CA1146" w:rsidP="004874B8">
            <w:pPr>
              <w:jc w:val="center"/>
              <w:rPr>
                <w:i/>
                <w:iCs/>
              </w:rPr>
            </w:pPr>
            <m:oMathPara>
              <m:oMath>
                <m:r>
                  <w:rPr>
                    <w:rFonts w:ascii="Cambria Math" w:hAnsi="Cambria Math"/>
                  </w:rPr>
                  <m:t>d</m:t>
                </m:r>
                <m:d>
                  <m:dPr>
                    <m:ctrlPr>
                      <w:rPr>
                        <w:rFonts w:ascii="Cambria Math" w:hAnsi="Cambria Math"/>
                        <w:i/>
                        <w:iCs/>
                      </w:rPr>
                    </m:ctrlPr>
                  </m:dPr>
                  <m:e>
                    <m:r>
                      <w:rPr>
                        <w:rFonts w:ascii="Cambria Math" w:hAnsi="Cambria Math"/>
                      </w:rPr>
                      <m:t>i∪j,k</m:t>
                    </m:r>
                  </m:e>
                </m:d>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k</m:t>
                                </m:r>
                              </m:sub>
                            </m:sSub>
                          </m:num>
                          <m:den>
                            <m:sSub>
                              <m:sSubPr>
                                <m:ctrlPr>
                                  <w:rPr>
                                    <w:rFonts w:ascii="Cambria Math" w:hAnsi="Cambria Math"/>
                                    <w:i/>
                                    <w:iCs/>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k</m:t>
                                </m:r>
                              </m:sub>
                            </m:sSub>
                          </m:den>
                        </m:f>
                        <m:sSup>
                          <m:sSupPr>
                            <m:ctrlPr>
                              <w:rPr>
                                <w:rFonts w:ascii="Cambria Math" w:hAnsi="Cambria Math"/>
                                <w:i/>
                                <w:iCs/>
                              </w:rPr>
                            </m:ctrlPr>
                          </m:sSupPr>
                          <m:e>
                            <m:r>
                              <w:rPr>
                                <w:rFonts w:ascii="Cambria Math" w:hAnsi="Cambria Math"/>
                              </w:rPr>
                              <m:t>d</m:t>
                            </m:r>
                          </m:e>
                          <m:sup>
                            <m:r>
                              <w:rPr>
                                <w:rFonts w:ascii="Cambria Math" w:hAnsi="Cambria Math"/>
                              </w:rPr>
                              <m:t>2</m:t>
                            </m:r>
                          </m:sup>
                        </m:sSup>
                        <m:d>
                          <m:dPr>
                            <m:ctrlPr>
                              <w:rPr>
                                <w:rFonts w:ascii="Cambria Math" w:hAnsi="Cambria Math"/>
                                <w:i/>
                                <w:iCs/>
                              </w:rPr>
                            </m:ctrlPr>
                          </m:dPr>
                          <m:e>
                            <m:r>
                              <w:rPr>
                                <w:rFonts w:ascii="Cambria Math" w:hAnsi="Cambria Math"/>
                              </w:rPr>
                              <m:t>i,k</m:t>
                            </m:r>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k</m:t>
                                </m:r>
                              </m:sub>
                            </m:sSub>
                          </m:num>
                          <m:den>
                            <m:sSub>
                              <m:sSubPr>
                                <m:ctrlPr>
                                  <w:rPr>
                                    <w:rFonts w:ascii="Cambria Math" w:hAnsi="Cambria Math"/>
                                    <w:i/>
                                    <w:iCs/>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k</m:t>
                                </m:r>
                              </m:sub>
                            </m:sSub>
                          </m:den>
                        </m:f>
                        <m:sSup>
                          <m:sSupPr>
                            <m:ctrlPr>
                              <w:rPr>
                                <w:rFonts w:ascii="Cambria Math" w:hAnsi="Cambria Math"/>
                                <w:i/>
                                <w:iCs/>
                              </w:rPr>
                            </m:ctrlPr>
                          </m:sSupPr>
                          <m:e>
                            <m:r>
                              <w:rPr>
                                <w:rFonts w:ascii="Cambria Math" w:hAnsi="Cambria Math"/>
                              </w:rPr>
                              <m:t>d</m:t>
                            </m:r>
                          </m:e>
                          <m:sup>
                            <m:r>
                              <w:rPr>
                                <w:rFonts w:ascii="Cambria Math" w:hAnsi="Cambria Math"/>
                              </w:rPr>
                              <m:t>2</m:t>
                            </m:r>
                          </m:sup>
                        </m:sSup>
                        <m:d>
                          <m:dPr>
                            <m:ctrlPr>
                              <w:rPr>
                                <w:rFonts w:ascii="Cambria Math" w:hAnsi="Cambria Math"/>
                                <w:i/>
                                <w:iCs/>
                              </w:rPr>
                            </m:ctrlPr>
                          </m:dPr>
                          <m:e>
                            <m:r>
                              <w:rPr>
                                <w:rFonts w:ascii="Cambria Math" w:hAnsi="Cambria Math"/>
                              </w:rPr>
                              <m:t>j,k</m:t>
                            </m:r>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n</m:t>
                                </m:r>
                              </m:e>
                              <m:sub>
                                <m:r>
                                  <w:rPr>
                                    <w:rFonts w:ascii="Cambria Math" w:hAnsi="Cambria Math"/>
                                  </w:rPr>
                                  <m:t>k</m:t>
                                </m:r>
                              </m:sub>
                            </m:sSub>
                          </m:num>
                          <m:den>
                            <m:sSub>
                              <m:sSubPr>
                                <m:ctrlPr>
                                  <w:rPr>
                                    <w:rFonts w:ascii="Cambria Math" w:hAnsi="Cambria Math"/>
                                    <w:i/>
                                    <w:iCs/>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k</m:t>
                                </m:r>
                              </m:sub>
                            </m:sSub>
                          </m:den>
                        </m:f>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(i, j)</m:t>
                        </m:r>
                      </m:e>
                    </m:d>
                    <m:r>
                      <w:rPr>
                        <w:rFonts w:ascii="Cambria Math" w:hAnsi="Cambria Math"/>
                      </w:rPr>
                      <m:t xml:space="preserve"> </m:t>
                    </m:r>
                  </m:e>
                  <m:sup>
                    <m:r>
                      <w:rPr>
                        <w:rFonts w:ascii="Cambria Math" w:hAnsi="Cambria Math"/>
                      </w:rPr>
                      <m:t>0,5</m:t>
                    </m:r>
                  </m:sup>
                </m:sSup>
              </m:oMath>
            </m:oMathPara>
          </w:p>
        </w:tc>
        <w:tc>
          <w:tcPr>
            <w:tcW w:w="624" w:type="dxa"/>
            <w:vAlign w:val="center"/>
          </w:tcPr>
          <w:p w14:paraId="20064991" w14:textId="29939EB0" w:rsidR="00CE727A" w:rsidRDefault="00CE727A" w:rsidP="00BC7F2B">
            <w:pPr>
              <w:jc w:val="right"/>
            </w:pPr>
            <w:r>
              <w:t>(</w:t>
            </w:r>
            <w:r w:rsidR="00605954">
              <w:t>2</w:t>
            </w:r>
            <w:r>
              <w:t>)</w:t>
            </w:r>
          </w:p>
        </w:tc>
      </w:tr>
    </w:tbl>
    <w:p w14:paraId="1B35F9C0" w14:textId="290FC311" w:rsidR="00CE727A" w:rsidRDefault="00A61DBA" w:rsidP="00EB0B5A">
      <w:pPr>
        <w:spacing w:before="200" w:after="120"/>
      </w:pPr>
      <m:oMath>
        <m:r>
          <w:rPr>
            <w:rFonts w:ascii="Cambria Math" w:hAnsi="Cambria Math"/>
          </w:rPr>
          <m:t>d(i,j)</m:t>
        </m:r>
      </m:oMath>
      <w:r w:rsidR="00286978">
        <w:t xml:space="preserve"> stellt dabei die Distanz zwischen den Clustern </w:t>
      </w:r>
      <m:oMath>
        <m:r>
          <w:rPr>
            <w:rFonts w:ascii="Cambria Math" w:hAnsi="Cambria Math"/>
          </w:rPr>
          <m:t xml:space="preserve">i </m:t>
        </m:r>
      </m:oMath>
      <w:r w:rsidR="00286978">
        <w:t xml:space="preserve">und </w:t>
      </w:r>
      <m:oMath>
        <m:r>
          <w:rPr>
            <w:rFonts w:ascii="Cambria Math" w:hAnsi="Cambria Math"/>
          </w:rPr>
          <m:t>j</m:t>
        </m:r>
      </m:oMath>
      <w:r w:rsidR="00286978">
        <w:t xml:space="preserve"> da, während </w:t>
      </w:r>
      <m:oMath>
        <m:sSub>
          <m:sSubPr>
            <m:ctrlPr>
              <w:rPr>
                <w:rFonts w:ascii="Cambria Math" w:hAnsi="Cambria Math"/>
                <w:i/>
                <w:iCs/>
              </w:rPr>
            </m:ctrlPr>
          </m:sSubPr>
          <m:e>
            <m:r>
              <w:rPr>
                <w:rFonts w:ascii="Cambria Math" w:hAnsi="Cambria Math"/>
              </w:rPr>
              <m:t>n</m:t>
            </m:r>
          </m:e>
          <m:sub>
            <m:r>
              <w:rPr>
                <w:rFonts w:ascii="Cambria Math" w:hAnsi="Cambria Math"/>
              </w:rPr>
              <m:t>i</m:t>
            </m:r>
          </m:sub>
        </m:sSub>
      </m:oMath>
      <w:r w:rsidR="00286978">
        <w:t xml:space="preserve"> der Anzahl der Beobachtungen im Cluster</w:t>
      </w:r>
      <m:oMath>
        <m:r>
          <w:rPr>
            <w:rFonts w:ascii="Cambria Math" w:hAnsi="Cambria Math"/>
          </w:rPr>
          <m:t xml:space="preserve"> i</m:t>
        </m:r>
      </m:oMath>
      <w:r w:rsidR="00286978">
        <w:t xml:space="preserve"> entspricht.</w:t>
      </w:r>
      <w:r>
        <w:t xml:space="preserve"> </w:t>
      </w:r>
      <w:r w:rsidR="00CA1146">
        <w:t>Nach dieser Definition der Distanz zwischen Clustern werden in jedem Schritt die nähesten Cluster fusioniert und die</w:t>
      </w:r>
      <w:r w:rsidR="008F67ED">
        <w:t xml:space="preserve"> neuen Distanzen aller Cluster durch die</w:t>
      </w:r>
      <w:r w:rsidR="00CA1146">
        <w:t xml:space="preserve"> Update-Formel </w:t>
      </w:r>
      <w:r w:rsidR="008F67ED">
        <w:t>aktualisiert</w:t>
      </w:r>
      <w:r w:rsidR="00277637">
        <w:t>. D</w:t>
      </w:r>
      <w:r w:rsidR="00CE727A">
        <w:t>as Verfahren</w:t>
      </w:r>
      <w:r w:rsidR="00277637">
        <w:t xml:space="preserve"> ist außerdem</w:t>
      </w:r>
      <w:r w:rsidR="00CE727A">
        <w:t xml:space="preserve"> unempfindlich für Ausreißer und tendiert dazu, sphärische Cluster mit ähnlicher Clustergröße zu erzeugen.</w:t>
      </w:r>
      <w:r w:rsidR="00BC4175">
        <w:rPr>
          <w:rStyle w:val="Funotenzeichen"/>
        </w:rPr>
        <w:footnoteReference w:id="60"/>
      </w:r>
    </w:p>
    <w:p w14:paraId="5CBB32C0" w14:textId="7D5FFA40" w:rsidR="00396090" w:rsidRDefault="00396090" w:rsidP="00EB0B5A">
      <w:pPr>
        <w:spacing w:after="120"/>
      </w:pPr>
      <w:r>
        <w:t>Für die Analyse wurden nächst zunächst alle oben aufgeführten agglomerativen Algorithmen mit der Stichprobe</w:t>
      </w:r>
      <w:r w:rsidRPr="00F22C0A">
        <w:t xml:space="preserve"> getestet</w:t>
      </w:r>
      <w:r>
        <w:t>. Diese</w:t>
      </w:r>
      <w:r w:rsidRPr="00F22C0A">
        <w:t xml:space="preserve"> ergaben </w:t>
      </w:r>
      <w:r>
        <w:t>mit Ausnahme des Ward-Verfahrens</w:t>
      </w:r>
      <w:r w:rsidRPr="00F22C0A">
        <w:t xml:space="preserve"> jedoch </w:t>
      </w:r>
      <w:r>
        <w:t>nur wenige Cluster mit stark variierender Größe</w:t>
      </w:r>
      <w:r w:rsidRPr="00F22C0A">
        <w:t xml:space="preserve">, </w:t>
      </w:r>
      <w:r>
        <w:t xml:space="preserve">deren Interpretation unklar </w:t>
      </w:r>
      <w:r w:rsidR="00F72DFD">
        <w:t xml:space="preserve">gewesen </w:t>
      </w:r>
      <w:r>
        <w:t>wäre. Infolgedessen findet das Ward-Verfahren Verwendung.</w:t>
      </w:r>
    </w:p>
    <w:p w14:paraId="1E0EB1A8" w14:textId="773F5B0E" w:rsidR="00940448" w:rsidRDefault="00940448" w:rsidP="001A4E15">
      <w:pPr>
        <w:pStyle w:val="Finalberschrift3"/>
        <w:numPr>
          <w:ilvl w:val="2"/>
          <w:numId w:val="11"/>
        </w:numPr>
      </w:pPr>
      <w:bookmarkStart w:id="30" w:name="_Toc88425829"/>
      <w:r>
        <w:lastRenderedPageBreak/>
        <w:t>Bestimmung der optimalen Clusterzahl</w:t>
      </w:r>
      <w:bookmarkEnd w:id="30"/>
    </w:p>
    <w:p w14:paraId="1B2316CE" w14:textId="4582027E" w:rsidR="008B5EF4" w:rsidRDefault="006D5208" w:rsidP="00EB0B5A">
      <w:pPr>
        <w:spacing w:after="120"/>
      </w:pPr>
      <w:r>
        <w:t>Die Bestimmung der optimalen Clusterzahl stellt eine der größten Herausforderungen der Clusteranalyse dar.</w:t>
      </w:r>
      <w:r w:rsidR="00BC4175">
        <w:rPr>
          <w:rStyle w:val="Funotenzeichen"/>
        </w:rPr>
        <w:footnoteReference w:id="61"/>
      </w:r>
      <w:r w:rsidR="00431030">
        <w:t xml:space="preserve"> </w:t>
      </w:r>
      <w:r w:rsidR="00B07BF4">
        <w:t>Es existiert eine Vielzahl von verschiedenen Methoden, die unter anderem durch optische und statistische Kriterien</w:t>
      </w:r>
      <w:r w:rsidR="00CA7075">
        <w:t xml:space="preserve"> (sogenannte Stopping-Rules)</w:t>
      </w:r>
      <w:r w:rsidR="00B07BF4">
        <w:t xml:space="preserve"> die optimale Clusterzahl bestimmen.</w:t>
      </w:r>
      <w:r w:rsidR="00CA7075">
        <w:t xml:space="preserve"> Während optische Kriterien wie das Elbow-Kriterium</w:t>
      </w:r>
      <w:r w:rsidR="00A44B7B">
        <w:t xml:space="preserve"> </w:t>
      </w:r>
      <w:r w:rsidR="00F132BA">
        <w:t xml:space="preserve">– eine der am weitesten Verbreiteten Methoden – </w:t>
      </w:r>
      <w:r w:rsidR="00CA7075">
        <w:t xml:space="preserve">subjektiv und abhängig vom </w:t>
      </w:r>
      <w:r w:rsidR="00CA7075" w:rsidRPr="00760CB2">
        <w:t xml:space="preserve">Anwender sind, erfolgt die Bestimmung durch Stopping-Rules </w:t>
      </w:r>
      <w:r w:rsidR="005D65CB" w:rsidRPr="00760CB2">
        <w:t>weitestgehend</w:t>
      </w:r>
      <w:r w:rsidR="00CA7075" w:rsidRPr="00760CB2">
        <w:t xml:space="preserve"> objektiv.</w:t>
      </w:r>
      <w:r w:rsidR="00BC4175">
        <w:rPr>
          <w:rStyle w:val="Funotenzeichen"/>
        </w:rPr>
        <w:footnoteReference w:id="62"/>
      </w:r>
      <w:r w:rsidR="004605D6" w:rsidRPr="00760CB2">
        <w:t xml:space="preserve"> </w:t>
      </w:r>
      <w:r w:rsidR="008B5EF4" w:rsidRPr="00760CB2">
        <w:t>Milligan / Cooper (1985) hat 30 dieser Stopping-Rules mithilfe einer Monte-Carlo-Studie analysiert</w:t>
      </w:r>
      <w:r w:rsidR="0007321F">
        <w:t>,</w:t>
      </w:r>
      <w:r w:rsidR="008B5EF4" w:rsidRPr="00760CB2">
        <w:t xml:space="preserve"> um zu untersuchen, welche Kriterien die besten Resultate hervorbringen.</w:t>
      </w:r>
      <w:r w:rsidR="0058363D">
        <w:rPr>
          <w:rStyle w:val="Funotenzeichen"/>
        </w:rPr>
        <w:footnoteReference w:id="63"/>
      </w:r>
      <w:r w:rsidR="008B5EF4" w:rsidRPr="00760CB2">
        <w:t xml:space="preserve"> Dimitriandou et al. (2002) </w:t>
      </w:r>
      <w:r w:rsidR="00E262A0">
        <w:t>führte</w:t>
      </w:r>
      <w:r w:rsidR="008B5EF4" w:rsidRPr="00760CB2">
        <w:t xml:space="preserve"> spezifisch für binäre Datenstrukturen eine ähnliche Analyse </w:t>
      </w:r>
      <w:r w:rsidR="00E262A0">
        <w:t>durch</w:t>
      </w:r>
      <w:r w:rsidR="008B5EF4" w:rsidRPr="00760CB2">
        <w:t xml:space="preserve">, in der das Kriterium von </w:t>
      </w:r>
      <w:r w:rsidR="004605D6" w:rsidRPr="00760CB2">
        <w:t xml:space="preserve">Ratkowsky / Lance </w:t>
      </w:r>
      <w:r w:rsidR="008B5EF4" w:rsidRPr="00760CB2">
        <w:t xml:space="preserve">als beste Methode </w:t>
      </w:r>
      <w:r w:rsidR="00F46A0C">
        <w:t>hervorkam</w:t>
      </w:r>
      <w:r w:rsidR="008B5EF4" w:rsidRPr="00760CB2">
        <w:t>.</w:t>
      </w:r>
      <w:r w:rsidR="0058363D">
        <w:rPr>
          <w:rStyle w:val="Funotenzeichen"/>
        </w:rPr>
        <w:footnoteReference w:id="64"/>
      </w:r>
      <w:r w:rsidR="008B5EF4" w:rsidRPr="00760CB2">
        <w:t xml:space="preserve"> In der folgenden Analyse werden daher das Elbow-Kriterium sowie das Kriterium von Ratkowsky / Lance verwendet.</w:t>
      </w:r>
      <w:r w:rsidR="00DE0436">
        <w:rPr>
          <w:rStyle w:val="Funotenzeichen"/>
        </w:rPr>
        <w:footnoteReference w:id="65"/>
      </w:r>
    </w:p>
    <w:p w14:paraId="39D118C8" w14:textId="21C0F69B" w:rsidR="00080F49" w:rsidRDefault="00080F49" w:rsidP="00EB0B5A">
      <w:pPr>
        <w:spacing w:after="120"/>
      </w:pPr>
      <w:r>
        <w:t xml:space="preserve">Beim Elbow-Kriterium </w:t>
      </w:r>
      <w:r w:rsidR="002F746C">
        <w:t>wird</w:t>
      </w:r>
      <w:r w:rsidR="00FD7C8F">
        <w:t xml:space="preserve"> i</w:t>
      </w:r>
      <w:r w:rsidR="00114E34">
        <w:t>n einem</w:t>
      </w:r>
      <w:r w:rsidR="00FD7C8F">
        <w:t xml:space="preserve"> Scree-Plot</w:t>
      </w:r>
      <w:r>
        <w:t xml:space="preserve"> das Heterogenitätsmaß der verwendeten Clusterverfahrens (hier die </w:t>
      </w:r>
      <w:r w:rsidR="00114E34">
        <w:t>Distanz zwischen Cluster nach</w:t>
      </w:r>
      <w:r>
        <w:t xml:space="preserve"> Ward</w:t>
      </w:r>
      <w:r w:rsidR="00114E34">
        <w:t>s Kriterium</w:t>
      </w:r>
      <w:r>
        <w:t>) in Abhängigkeit von der Anzahl der Cluster auf</w:t>
      </w:r>
      <w:r w:rsidR="00C6375E">
        <w:t>getragen</w:t>
      </w:r>
      <w:r w:rsidR="001755DB">
        <w:t xml:space="preserve">.  Eine höhere Anzahl an Cluster verringert das Heterogenitätsmaß mit abnehmenden Grenzertrag, dargestellt durch die Abflachung der Kurve. </w:t>
      </w:r>
      <w:r w:rsidR="004D45BD">
        <w:t xml:space="preserve">Die optimale Clusteranzahl liegt </w:t>
      </w:r>
      <w:r w:rsidR="001755DB">
        <w:t xml:space="preserve">demnach </w:t>
      </w:r>
      <w:r w:rsidR="00114E34">
        <w:t>an der Knickstelle</w:t>
      </w:r>
      <w:r w:rsidR="004D45BD">
        <w:t xml:space="preserve"> </w:t>
      </w:r>
      <w:r w:rsidR="00114E34">
        <w:t>(</w:t>
      </w:r>
      <w:r w:rsidR="004D45BD">
        <w:t>„Ellbogen“</w:t>
      </w:r>
      <w:r w:rsidR="00114E34">
        <w:t>)</w:t>
      </w:r>
      <w:r w:rsidR="004D45BD">
        <w:t xml:space="preserve"> des Graphen, bei der eine Erhöhung der Clusteranzahl nur noch eine geringe Verringerung des Heterogenitätsmaßes bewirkt.</w:t>
      </w:r>
      <w:r w:rsidR="004D45BD">
        <w:rPr>
          <w:rStyle w:val="Funotenzeichen"/>
        </w:rPr>
        <w:footnoteReference w:id="66"/>
      </w:r>
    </w:p>
    <w:p w14:paraId="7EEFDB6A" w14:textId="0BB66AF8" w:rsidR="00803F58" w:rsidRDefault="00DC5238" w:rsidP="00EB0B5A">
      <w:pPr>
        <w:spacing w:after="120"/>
      </w:pPr>
      <w:r w:rsidRPr="00760CB2">
        <w:t>Ratkowsky / Lance</w:t>
      </w:r>
      <w:r>
        <w:t xml:space="preserve"> (</w:t>
      </w:r>
      <w:r w:rsidR="00DE4CC9">
        <w:t>1978</w:t>
      </w:r>
      <w:r>
        <w:t>)</w:t>
      </w:r>
      <w:r w:rsidR="00DE4CC9">
        <w:t xml:space="preserve"> stellt ein Kriterium vor, welches die optimale Clusteranzahl anhand</w:t>
      </w:r>
      <w:r w:rsidR="00441CC9">
        <w:t xml:space="preserve"> der Formel </w:t>
      </w:r>
      <w:bookmarkStart w:id="31" w:name="_Hlk87800869"/>
      <m:oMath>
        <m:acc>
          <m:accPr>
            <m:chr m:val="̅"/>
            <m:ctrlPr>
              <w:rPr>
                <w:rFonts w:ascii="Cambria Math" w:hAnsi="Cambria Math"/>
                <w:i/>
              </w:rPr>
            </m:ctrlPr>
          </m:accPr>
          <m:e>
            <m:r>
              <w:rPr>
                <w:rFonts w:ascii="Cambria Math" w:hAnsi="Cambria Math"/>
              </w:rPr>
              <m:t>S</m:t>
            </m:r>
          </m:e>
        </m:acc>
        <m:r>
          <w:rPr>
            <w:rFonts w:ascii="Cambria Math" w:hAnsi="Cambria Math"/>
          </w:rPr>
          <m:t>/</m:t>
        </m:r>
        <m:rad>
          <m:radPr>
            <m:degHide m:val="1"/>
            <m:ctrlPr>
              <w:rPr>
                <w:rFonts w:ascii="Cambria Math" w:hAnsi="Cambria Math"/>
                <w:i/>
              </w:rPr>
            </m:ctrlPr>
          </m:radPr>
          <m:deg/>
          <m:e>
            <m:r>
              <w:rPr>
                <w:rFonts w:ascii="Cambria Math" w:hAnsi="Cambria Math"/>
              </w:rPr>
              <m:t>k</m:t>
            </m:r>
          </m:e>
        </m:rad>
      </m:oMath>
      <w:r w:rsidR="00441CC9">
        <w:t xml:space="preserve"> </w:t>
      </w:r>
      <w:bookmarkEnd w:id="31"/>
      <w:r w:rsidR="00441CC9">
        <w:t xml:space="preserve">bestimmt. </w:t>
      </w:r>
      <m:oMath>
        <m:acc>
          <m:accPr>
            <m:chr m:val="̅"/>
            <m:ctrlPr>
              <w:rPr>
                <w:rFonts w:ascii="Cambria Math" w:hAnsi="Cambria Math"/>
                <w:i/>
              </w:rPr>
            </m:ctrlPr>
          </m:accPr>
          <m:e>
            <m:r>
              <w:rPr>
                <w:rFonts w:ascii="Cambria Math" w:hAnsi="Cambria Math"/>
              </w:rPr>
              <m:t>S</m:t>
            </m:r>
          </m:e>
        </m:acc>
      </m:oMath>
      <w:r w:rsidR="00441CC9">
        <w:t xml:space="preserve"> </w:t>
      </w:r>
      <w:r w:rsidR="00803F58">
        <w:t>sei</w:t>
      </w:r>
      <w:r w:rsidR="00441CC9">
        <w:t xml:space="preserve"> der Mittelwert des Quotienten</w:t>
      </w:r>
      <w:r w:rsidR="00803F58">
        <w:t xml:space="preserve">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SSB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SST</m:t>
                </m:r>
              </m:e>
              <m:sub>
                <m:r>
                  <w:rPr>
                    <w:rFonts w:ascii="Cambria Math" w:hAnsi="Cambria Math"/>
                  </w:rPr>
                  <m:t>j</m:t>
                </m:r>
              </m:sub>
            </m:sSub>
          </m:e>
        </m:rad>
      </m:oMath>
      <w:r w:rsidR="00441CC9">
        <w:t xml:space="preserve">, wobei </w:t>
      </w:r>
      <m:oMath>
        <m:sSub>
          <m:sSubPr>
            <m:ctrlPr>
              <w:rPr>
                <w:rFonts w:ascii="Cambria Math" w:hAnsi="Cambria Math"/>
                <w:i/>
              </w:rPr>
            </m:ctrlPr>
          </m:sSubPr>
          <m:e>
            <m:r>
              <w:rPr>
                <w:rFonts w:ascii="Cambria Math" w:hAnsi="Cambria Math"/>
              </w:rPr>
              <m:t>SSB</m:t>
            </m:r>
          </m:e>
          <m:sub>
            <m:r>
              <w:rPr>
                <w:rFonts w:ascii="Cambria Math" w:hAnsi="Cambria Math"/>
              </w:rPr>
              <m:t>j</m:t>
            </m:r>
          </m:sub>
        </m:sSub>
      </m:oMath>
      <w:r w:rsidR="00441CC9">
        <w:t xml:space="preserve"> die </w:t>
      </w:r>
      <w:r w:rsidR="00803F58">
        <w:t xml:space="preserve">Quadratsumme zwischen Clustern und </w:t>
      </w:r>
      <m:oMath>
        <m:sSub>
          <m:sSubPr>
            <m:ctrlPr>
              <w:rPr>
                <w:rFonts w:ascii="Cambria Math" w:hAnsi="Cambria Math"/>
                <w:i/>
              </w:rPr>
            </m:ctrlPr>
          </m:sSubPr>
          <m:e>
            <m:r>
              <w:rPr>
                <w:rFonts w:ascii="Cambria Math" w:hAnsi="Cambria Math"/>
              </w:rPr>
              <m:t>SST</m:t>
            </m:r>
          </m:e>
          <m:sub>
            <m:r>
              <w:rPr>
                <w:rFonts w:ascii="Cambria Math" w:hAnsi="Cambria Math"/>
              </w:rPr>
              <m:t>j</m:t>
            </m:r>
          </m:sub>
        </m:sSub>
      </m:oMath>
      <w:r w:rsidR="00546901">
        <w:t xml:space="preserve"> </w:t>
      </w:r>
      <w:r w:rsidR="00803F58">
        <w:t xml:space="preserve">die totale Quadratsumme für jede Variable </w:t>
      </w:r>
      <m:oMath>
        <m:r>
          <w:rPr>
            <w:rFonts w:ascii="Cambria Math" w:hAnsi="Cambria Math"/>
          </w:rPr>
          <m:t>j</m:t>
        </m:r>
      </m:oMath>
      <w:r w:rsidR="00803F58">
        <w:t xml:space="preserve"> darstellt</w:t>
      </w:r>
      <w:r w:rsidR="00441CC9">
        <w:t>.</w:t>
      </w:r>
      <w:r w:rsidR="00803F58">
        <w:t xml:space="preserve"> </w:t>
      </w:r>
      <w:r w:rsidR="00D234A0">
        <w:t xml:space="preserve">Die optimale Clusteranzahl </w:t>
      </w:r>
      <w:r w:rsidR="00CC54AB">
        <w:t>ist gleich der</w:t>
      </w:r>
      <w:r w:rsidR="00D234A0">
        <w:t xml:space="preserve"> Clusterzahl </w:t>
      </w:r>
      <m:oMath>
        <m:r>
          <w:rPr>
            <w:rFonts w:ascii="Cambria Math" w:hAnsi="Cambria Math"/>
          </w:rPr>
          <m:t>k</m:t>
        </m:r>
      </m:oMath>
      <w:r w:rsidR="00D234A0">
        <w:t xml:space="preserve">, </w:t>
      </w:r>
      <w:r w:rsidR="007D483F">
        <w:t>wo</w:t>
      </w:r>
      <w:r w:rsidR="00D234A0">
        <w:t xml:space="preserve"> der</w:t>
      </w:r>
      <w:r w:rsidR="00FB376E" w:rsidRPr="00FB376E">
        <w:t xml:space="preserve"> </w:t>
      </w:r>
      <w:r w:rsidR="00FB376E" w:rsidRPr="00760CB2">
        <w:t>Ratkowsky / Lance</w:t>
      </w:r>
      <w:r w:rsidR="00FB376E">
        <w:t xml:space="preserve"> Index </w:t>
      </w:r>
      <w:r w:rsidR="00D234A0">
        <w:t xml:space="preserve"> </w:t>
      </w:r>
      <m:oMath>
        <m:acc>
          <m:accPr>
            <m:chr m:val="̅"/>
            <m:ctrlPr>
              <w:rPr>
                <w:rFonts w:ascii="Cambria Math" w:hAnsi="Cambria Math"/>
                <w:i/>
              </w:rPr>
            </m:ctrlPr>
          </m:accPr>
          <m:e>
            <m:r>
              <w:rPr>
                <w:rFonts w:ascii="Cambria Math" w:hAnsi="Cambria Math"/>
              </w:rPr>
              <m:t>S</m:t>
            </m:r>
          </m:e>
        </m:acc>
        <m:r>
          <w:rPr>
            <w:rFonts w:ascii="Cambria Math" w:hAnsi="Cambria Math"/>
          </w:rPr>
          <m:t>/</m:t>
        </m:r>
        <m:rad>
          <m:radPr>
            <m:degHide m:val="1"/>
            <m:ctrlPr>
              <w:rPr>
                <w:rFonts w:ascii="Cambria Math" w:hAnsi="Cambria Math"/>
                <w:i/>
              </w:rPr>
            </m:ctrlPr>
          </m:radPr>
          <m:deg/>
          <m:e>
            <m:r>
              <w:rPr>
                <w:rFonts w:ascii="Cambria Math" w:hAnsi="Cambria Math"/>
              </w:rPr>
              <m:t>k</m:t>
            </m:r>
          </m:e>
        </m:rad>
      </m:oMath>
      <w:r w:rsidR="00D234A0">
        <w:t xml:space="preserve">  den Maximalwert annimmt.</w:t>
      </w:r>
      <w:r w:rsidR="007405A1">
        <w:rPr>
          <w:rStyle w:val="Funotenzeichen"/>
        </w:rPr>
        <w:footnoteReference w:id="67"/>
      </w:r>
    </w:p>
    <w:p w14:paraId="218244EE" w14:textId="77777777" w:rsidR="00A875EA" w:rsidRDefault="00A875EA" w:rsidP="00EB0B5A">
      <w:pPr>
        <w:spacing w:after="120"/>
      </w:pPr>
    </w:p>
    <w:p w14:paraId="18A92248" w14:textId="68A1B53D" w:rsidR="00940448" w:rsidRDefault="00940448" w:rsidP="001A4E15">
      <w:pPr>
        <w:pStyle w:val="Finalberschrift3"/>
        <w:numPr>
          <w:ilvl w:val="2"/>
          <w:numId w:val="11"/>
        </w:numPr>
      </w:pPr>
      <w:bookmarkStart w:id="32" w:name="_Toc88425830"/>
      <w:r w:rsidRPr="003A5ED4">
        <w:lastRenderedPageBreak/>
        <w:t>Weitere Teststatistiken</w:t>
      </w:r>
      <w:bookmarkEnd w:id="32"/>
    </w:p>
    <w:p w14:paraId="7D3ED8F0" w14:textId="138F9973" w:rsidR="003A172C" w:rsidRDefault="0077704B" w:rsidP="00EB0B5A">
      <w:pPr>
        <w:spacing w:after="120"/>
        <w:rPr>
          <w:rFonts w:cs="Times New Roman"/>
        </w:rPr>
      </w:pPr>
      <w:r>
        <w:t xml:space="preserve">Zur Untersuchung der statistischen Unabhängigkeit wird Pearsons </w:t>
      </w:r>
      <w:r w:rsidRPr="0077704B">
        <w:rPr>
          <w:rFonts w:cs="Times New Roman"/>
          <w:i/>
          <w:iCs/>
        </w:rPr>
        <w:t>χ</w:t>
      </w:r>
      <w:r w:rsidRPr="0077704B">
        <w:rPr>
          <w:rFonts w:cs="Times New Roman"/>
          <w:vertAlign w:val="superscript"/>
        </w:rPr>
        <w:t>2</w:t>
      </w:r>
      <w:r>
        <w:rPr>
          <w:rFonts w:cs="Times New Roman"/>
        </w:rPr>
        <w:t xml:space="preserve">-Test verwendet. </w:t>
      </w:r>
      <w:r w:rsidRPr="003A172C">
        <w:rPr>
          <w:rFonts w:cs="Times New Roman"/>
        </w:rPr>
        <w:t>Dieser überprüft die Unabhängigkeit zwei</w:t>
      </w:r>
      <w:r w:rsidR="003A172C" w:rsidRPr="003A172C">
        <w:rPr>
          <w:rFonts w:cs="Times New Roman"/>
        </w:rPr>
        <w:t xml:space="preserve">er </w:t>
      </w:r>
      <w:r w:rsidR="003A172C">
        <w:rPr>
          <w:rFonts w:cs="Times New Roman"/>
        </w:rPr>
        <w:t xml:space="preserve">kategorischer </w:t>
      </w:r>
      <w:r w:rsidR="003A172C" w:rsidRPr="003A172C">
        <w:rPr>
          <w:rFonts w:cs="Times New Roman"/>
        </w:rPr>
        <w:t>Merkmale</w:t>
      </w:r>
      <w:r w:rsidR="0004295E">
        <w:rPr>
          <w:rFonts w:cs="Times New Roman"/>
        </w:rPr>
        <w:t xml:space="preserve"> durch den Vergleich der</w:t>
      </w:r>
      <w:r w:rsidR="003A172C">
        <w:rPr>
          <w:rFonts w:cs="Times New Roman"/>
        </w:rPr>
        <w:t xml:space="preserve"> beobachtete</w:t>
      </w:r>
      <w:r w:rsidR="0004295E">
        <w:rPr>
          <w:rFonts w:cs="Times New Roman"/>
        </w:rPr>
        <w:t>n</w:t>
      </w:r>
      <w:r w:rsidR="003A172C">
        <w:rPr>
          <w:rFonts w:cs="Times New Roman"/>
        </w:rPr>
        <w:t xml:space="preserve"> Verteilung mit der theoretisch erwarteten Verteilung.</w:t>
      </w:r>
      <w:r w:rsidR="008602D6">
        <w:rPr>
          <w:rFonts w:cs="Times New Roman"/>
        </w:rPr>
        <w:t xml:space="preserve"> Wird die Nullhypothese abgelehnt, so sind die Merkmale statistisch voneinander abhängig.</w:t>
      </w:r>
      <w:r w:rsidR="003A172C">
        <w:rPr>
          <w:rFonts w:cs="Times New Roman"/>
        </w:rPr>
        <w:t xml:space="preserve"> </w:t>
      </w:r>
      <w:r w:rsidR="009F72AD">
        <w:rPr>
          <w:rFonts w:cs="Times New Roman"/>
        </w:rPr>
        <w:t>Dadurch wird i</w:t>
      </w:r>
      <w:r w:rsidR="0089107F">
        <w:rPr>
          <w:rFonts w:cs="Times New Roman"/>
        </w:rPr>
        <w:t xml:space="preserve">n der folgenden Analyse die Abhängigkeit der Cluster von jeder Finanzierungsquelle </w:t>
      </w:r>
      <w:r w:rsidR="00200C11">
        <w:rPr>
          <w:rFonts w:cs="Times New Roman"/>
        </w:rPr>
        <w:t>bestimmt</w:t>
      </w:r>
      <w:r w:rsidR="008602D6">
        <w:rPr>
          <w:rFonts w:cs="Times New Roman"/>
        </w:rPr>
        <w:t>. Während</w:t>
      </w:r>
      <w:r w:rsidR="0089107F">
        <w:rPr>
          <w:rFonts w:cs="Times New Roman"/>
        </w:rPr>
        <w:t xml:space="preserve"> der </w:t>
      </w:r>
      <w:r w:rsidR="0089107F" w:rsidRPr="0077704B">
        <w:rPr>
          <w:rFonts w:cs="Times New Roman"/>
          <w:i/>
          <w:iCs/>
        </w:rPr>
        <w:t>χ</w:t>
      </w:r>
      <w:r w:rsidR="0089107F" w:rsidRPr="0077704B">
        <w:rPr>
          <w:rFonts w:cs="Times New Roman"/>
          <w:vertAlign w:val="superscript"/>
        </w:rPr>
        <w:t>2</w:t>
      </w:r>
      <w:r w:rsidR="0089107F">
        <w:rPr>
          <w:rFonts w:cs="Times New Roman"/>
        </w:rPr>
        <w:t xml:space="preserve">-Wert keine Aussage über die Stärke der Abhängigkeit </w:t>
      </w:r>
      <w:r w:rsidR="008602D6">
        <w:rPr>
          <w:rFonts w:cs="Times New Roman"/>
        </w:rPr>
        <w:t xml:space="preserve">macht, wird diese von </w:t>
      </w:r>
      <w:r w:rsidR="00CC7D35" w:rsidRPr="002D7C3C">
        <w:rPr>
          <w:rFonts w:cs="Times New Roman"/>
        </w:rPr>
        <w:t>Cr</w:t>
      </w:r>
      <w:r w:rsidR="00CC7D35" w:rsidRPr="00CC7D35">
        <w:rPr>
          <w:rFonts w:cs="Times New Roman"/>
        </w:rPr>
        <w:t xml:space="preserve">amers V </w:t>
      </w:r>
      <w:r w:rsidR="008C5EFF">
        <w:rPr>
          <w:rFonts w:cs="Times New Roman"/>
        </w:rPr>
        <w:t>berücksichtigt</w:t>
      </w:r>
      <w:r w:rsidR="00EA47F2">
        <w:rPr>
          <w:rFonts w:cs="Times New Roman"/>
        </w:rPr>
        <w:t>.</w:t>
      </w:r>
      <w:r w:rsidR="002D7C3C">
        <w:rPr>
          <w:rFonts w:cs="Times New Roman"/>
        </w:rPr>
        <w:t xml:space="preserve"> </w:t>
      </w:r>
      <w:r w:rsidR="00EA47F2">
        <w:rPr>
          <w:rFonts w:cs="Times New Roman"/>
        </w:rPr>
        <w:t>D</w:t>
      </w:r>
      <w:r w:rsidR="00CC7D35">
        <w:rPr>
          <w:rFonts w:cs="Times New Roman"/>
        </w:rPr>
        <w:t xml:space="preserve">ieser </w:t>
      </w:r>
      <w:r w:rsidR="00EA47F2">
        <w:rPr>
          <w:rFonts w:cs="Times New Roman"/>
        </w:rPr>
        <w:t xml:space="preserve">nimmt </w:t>
      </w:r>
      <w:r w:rsidR="00CC7D35">
        <w:rPr>
          <w:rFonts w:cs="Times New Roman"/>
        </w:rPr>
        <w:t xml:space="preserve">den Wert 1 bei vollständiger Abhängigkeit und den Wert 0 bei vollständiger Unabhängigkeit </w:t>
      </w:r>
      <w:r w:rsidR="00EA47F2">
        <w:rPr>
          <w:rFonts w:cs="Times New Roman"/>
        </w:rPr>
        <w:t>an</w:t>
      </w:r>
      <w:r w:rsidR="00CC7D35">
        <w:rPr>
          <w:rFonts w:cs="Times New Roman"/>
        </w:rPr>
        <w:t>.</w:t>
      </w:r>
      <w:r w:rsidR="00860D54">
        <w:rPr>
          <w:rStyle w:val="Funotenzeichen"/>
          <w:rFonts w:cs="Times New Roman"/>
        </w:rPr>
        <w:footnoteReference w:id="68"/>
      </w:r>
    </w:p>
    <w:p w14:paraId="2779FDD5" w14:textId="083602ED" w:rsidR="00EC5EA0" w:rsidRDefault="00653D77" w:rsidP="001A4E15">
      <w:pPr>
        <w:pStyle w:val="berschrift2"/>
        <w:numPr>
          <w:ilvl w:val="1"/>
          <w:numId w:val="3"/>
        </w:numPr>
        <w:spacing w:after="120"/>
        <w:ind w:left="425" w:hanging="425"/>
      </w:pPr>
      <w:bookmarkStart w:id="33" w:name="_Toc88425831"/>
      <w:r>
        <w:t>Regressionsanalyse</w:t>
      </w:r>
      <w:bookmarkEnd w:id="33"/>
    </w:p>
    <w:p w14:paraId="5CD47884" w14:textId="76CAED39" w:rsidR="0062710A" w:rsidRDefault="0062710A" w:rsidP="001A4E15">
      <w:pPr>
        <w:pStyle w:val="Finalberschrift3"/>
        <w:numPr>
          <w:ilvl w:val="0"/>
          <w:numId w:val="8"/>
        </w:numPr>
      </w:pPr>
      <w:bookmarkStart w:id="34" w:name="_Toc88425832"/>
      <w:r>
        <w:t>Probit- und Logit-Modelle</w:t>
      </w:r>
      <w:bookmarkEnd w:id="34"/>
    </w:p>
    <w:p w14:paraId="78DB15A0" w14:textId="022D1E8B" w:rsidR="00BF72F4" w:rsidRDefault="00D54797" w:rsidP="00EB0B5A">
      <w:pPr>
        <w:spacing w:after="120"/>
      </w:pPr>
      <w:r>
        <w:t>Um die Auswirkung der Unternehmensgröße auf die Finanzierungsmuster zu untersuchen, wird folgend eine Regressionsanalyse verwendet.</w:t>
      </w:r>
      <w:r w:rsidR="00067401">
        <w:t xml:space="preserve"> Der Prozess beschreibt</w:t>
      </w:r>
      <w:r w:rsidR="00AE6E04">
        <w:t xml:space="preserve"> die</w:t>
      </w:r>
      <w:r w:rsidR="00067401">
        <w:t xml:space="preserve"> Analyse der Beziehungen zwischen einer oder mehreren unabhängigen Variable und einer</w:t>
      </w:r>
      <w:r w:rsidR="007C3A1B">
        <w:t xml:space="preserve"> (univariat)</w:t>
      </w:r>
      <w:r w:rsidR="00067401">
        <w:t xml:space="preserve"> oder mehrerer</w:t>
      </w:r>
      <w:r w:rsidR="007C3A1B">
        <w:t xml:space="preserve"> (multivariat)</w:t>
      </w:r>
      <w:r w:rsidR="00067401">
        <w:t xml:space="preserve"> abhängigen Variable.</w:t>
      </w:r>
      <w:r w:rsidR="00067401">
        <w:rPr>
          <w:rStyle w:val="Funotenzeichen"/>
        </w:rPr>
        <w:footnoteReference w:id="69"/>
      </w:r>
      <w:r w:rsidR="00DD33D0">
        <w:t xml:space="preserve"> </w:t>
      </w:r>
      <w:r w:rsidR="008350BE">
        <w:t>Zur Schätzung von binären abhängigen Variablen werden hauptsächlich Probit- und Logit-Modelle</w:t>
      </w:r>
      <w:r w:rsidR="00E57458">
        <w:t xml:space="preserve"> (logistische Regression)</w:t>
      </w:r>
      <w:r w:rsidR="008350BE">
        <w:t xml:space="preserve"> verwendet</w:t>
      </w:r>
      <w:r w:rsidR="00BF72F4">
        <w:t>,</w:t>
      </w:r>
      <w:r w:rsidR="008350BE">
        <w:rPr>
          <w:rStyle w:val="Funotenzeichen"/>
        </w:rPr>
        <w:footnoteReference w:id="70"/>
      </w:r>
      <w:r w:rsidR="008350BE">
        <w:t xml:space="preserve"> </w:t>
      </w:r>
      <w:r w:rsidR="00BF72F4">
        <w:t>welche im Folgenden beschrieben werden.</w:t>
      </w:r>
    </w:p>
    <w:p w14:paraId="7ED73489" w14:textId="551EA8E2" w:rsidR="00BF52A3" w:rsidRDefault="00092699" w:rsidP="00EB0B5A">
      <w:pPr>
        <w:spacing w:after="120"/>
      </w:pPr>
      <m:oMath>
        <m:r>
          <w:rPr>
            <w:rFonts w:ascii="Cambria Math" w:hAnsi="Cambria Math"/>
          </w:rPr>
          <m:t>Y</m:t>
        </m:r>
      </m:oMath>
      <w:r>
        <w:t xml:space="preserve"> sei eine binäre abhängige Variable und </w:t>
      </w:r>
      <m:oMath>
        <m:r>
          <w:rPr>
            <w:rFonts w:ascii="Cambria Math" w:hAnsi="Cambria Math"/>
          </w:rPr>
          <m:t>x</m:t>
        </m:r>
        <m:r>
          <w:rPr>
            <w:rFonts w:ascii="Cambria Math" w:hAnsi="Cambria Math" w:cs="Times New Roman"/>
          </w:rPr>
          <m:t xml:space="preserve"> </m:t>
        </m:r>
      </m:oMath>
      <w:r>
        <w:t xml:space="preserve">ein Vektor </w:t>
      </w:r>
      <w:r w:rsidR="00C17FBC">
        <w:t>un</w:t>
      </w:r>
      <w:r>
        <w:t xml:space="preserve">abhängiger Variablen mit den dazugehörigen Koeffizienten </w:t>
      </w:r>
      <m:oMath>
        <m:r>
          <w:rPr>
            <w:rFonts w:ascii="Cambria Math" w:hAnsi="Cambria Math" w:cs="Times New Roman"/>
          </w:rPr>
          <m:t>β</m:t>
        </m:r>
      </m:oMath>
      <w:r w:rsidR="00BF52A3">
        <w:t xml:space="preserve">. </w:t>
      </w:r>
      <w:r w:rsidR="00341C50">
        <w:t>So lässt sich der Zusammenhang</w:t>
      </w:r>
      <w:r w:rsidR="00E179DF">
        <w:t xml:space="preserve"> mithilfe einer latenten Variable </w:t>
      </w:r>
      <w:r w:rsidR="00E179DF" w:rsidRPr="00E179DF">
        <w:rPr>
          <w:rFonts w:ascii="Cambria Math" w:hAnsi="Cambria Math"/>
          <w:i/>
        </w:rPr>
        <w:t xml:space="preserve"> </w:t>
      </w:r>
      <m:oMath>
        <m:r>
          <w:rPr>
            <w:rFonts w:ascii="Cambria Math" w:hAnsi="Cambria Math"/>
          </w:rPr>
          <m:t>Y*</m:t>
        </m:r>
      </m:oMath>
      <w:r w:rsidR="00E179DF">
        <w:t xml:space="preserve"> </w:t>
      </w:r>
      <w:r w:rsidR="00341C50">
        <w:t xml:space="preserve"> in einem latenten linearen Modell interpretieren: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624"/>
      </w:tblGrid>
      <w:tr w:rsidR="00DE6E03" w14:paraId="381A6564" w14:textId="77777777" w:rsidTr="000374C6">
        <w:tc>
          <w:tcPr>
            <w:tcW w:w="7371" w:type="dxa"/>
          </w:tcPr>
          <w:p w14:paraId="3D019254" w14:textId="1A8C778D" w:rsidR="00DE6E03" w:rsidRPr="00DE6E03" w:rsidRDefault="00DE6E03" w:rsidP="000374C6">
            <w:pPr>
              <w:jc w:val="center"/>
              <w:rPr>
                <w:i/>
              </w:rPr>
            </w:pPr>
            <m:oMathPara>
              <m:oMath>
                <m:r>
                  <w:rPr>
                    <w:rFonts w:ascii="Cambria Math" w:hAnsi="Cambria Math"/>
                  </w:rPr>
                  <m:t xml:space="preserve">Y*=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β+ε</m:t>
                </m:r>
              </m:oMath>
            </m:oMathPara>
          </w:p>
        </w:tc>
        <w:tc>
          <w:tcPr>
            <w:tcW w:w="624" w:type="dxa"/>
            <w:vAlign w:val="center"/>
          </w:tcPr>
          <w:p w14:paraId="005781C7" w14:textId="674DD072" w:rsidR="00DE6E03" w:rsidRDefault="00DE6E03" w:rsidP="000374C6">
            <w:pPr>
              <w:jc w:val="right"/>
            </w:pPr>
            <w:r>
              <w:t>(</w:t>
            </w:r>
            <w:r w:rsidR="00605954">
              <w:t>3</w:t>
            </w:r>
            <w:r>
              <w:t>)</w:t>
            </w:r>
          </w:p>
        </w:tc>
      </w:tr>
      <w:tr w:rsidR="00DE6E03" w14:paraId="0B13B066" w14:textId="77777777" w:rsidTr="000374C6">
        <w:tc>
          <w:tcPr>
            <w:tcW w:w="7371" w:type="dxa"/>
          </w:tcPr>
          <w:p w14:paraId="48094E30" w14:textId="150D85B6" w:rsidR="00DE6E03" w:rsidRPr="00DE6E03" w:rsidRDefault="00DE6E03" w:rsidP="00D03E73">
            <w:pPr>
              <w:spacing w:before="200"/>
              <w:jc w:val="center"/>
              <w:rPr>
                <w:i/>
              </w:rP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&amp;Y*&gt;0</m:t>
                        </m:r>
                      </m:e>
                      <m:e>
                        <m:r>
                          <w:rPr>
                            <w:rFonts w:ascii="Cambria Math" w:hAnsi="Cambria Math"/>
                          </w:rPr>
                          <m:t>0,  &amp;Y*≤0</m:t>
                        </m:r>
                      </m:e>
                    </m:eqArr>
                  </m:e>
                </m:d>
              </m:oMath>
            </m:oMathPara>
          </w:p>
        </w:tc>
        <w:tc>
          <w:tcPr>
            <w:tcW w:w="624" w:type="dxa"/>
            <w:vAlign w:val="center"/>
          </w:tcPr>
          <w:p w14:paraId="2809627A" w14:textId="2EDFA9E1" w:rsidR="00DE6E03" w:rsidRDefault="00DE6E03" w:rsidP="00D03E73">
            <w:pPr>
              <w:spacing w:before="200"/>
              <w:jc w:val="right"/>
            </w:pPr>
            <w:r>
              <w:t>(</w:t>
            </w:r>
            <w:r w:rsidR="00605954">
              <w:t>4</w:t>
            </w:r>
            <w:r>
              <w:t>)</w:t>
            </w:r>
          </w:p>
        </w:tc>
      </w:tr>
    </w:tbl>
    <w:p w14:paraId="5BD0290B" w14:textId="70DCF04B" w:rsidR="00DE6E03" w:rsidRDefault="00DE6E03" w:rsidP="00EB0B5A">
      <w:pPr>
        <w:spacing w:before="120" w:after="120"/>
      </w:pPr>
      <m:oMath>
        <m:r>
          <w:rPr>
            <w:rFonts w:ascii="Cambria Math" w:hAnsi="Cambria Math"/>
          </w:rPr>
          <m:t>ε</m:t>
        </m:r>
      </m:oMath>
      <w:r>
        <w:t xml:space="preserve"> </w:t>
      </w:r>
      <w:r w:rsidR="00751998">
        <w:t xml:space="preserve">bildet dabei </w:t>
      </w:r>
      <w:r>
        <w:t xml:space="preserve">die Fehlervariable ab. Der Unterschied </w:t>
      </w:r>
      <w:r w:rsidR="00751998">
        <w:t>zwischen den</w:t>
      </w:r>
      <w:r>
        <w:t xml:space="preserve"> beiden Methoden besteht darin, dass beim Probit-Modell </w:t>
      </w:r>
      <m:oMath>
        <m:r>
          <w:rPr>
            <w:rFonts w:ascii="Cambria Math" w:hAnsi="Cambria Math"/>
          </w:rPr>
          <m:t>ε</m:t>
        </m:r>
      </m:oMath>
      <w:r w:rsidR="006F5C4B">
        <w:t xml:space="preserve"> </w:t>
      </w:r>
      <w:r>
        <w:t>standardnormalverteilt und beim Logit-Modell</w:t>
      </w:r>
      <w:r w:rsidR="00552824">
        <w:t xml:space="preserve"> </w:t>
      </w:r>
      <w:r>
        <w:t>logistisch verteilt</w:t>
      </w:r>
      <w:r w:rsidR="00E71917">
        <w:t xml:space="preserve"> ist</w:t>
      </w:r>
      <w:r>
        <w:t>.</w:t>
      </w:r>
      <w:r w:rsidR="00625B77">
        <w:t xml:space="preserve"> Daraus ergibt sich für die bedingte Wahrscheinlichkeit</w:t>
      </w:r>
      <w:r w:rsidR="00751998">
        <w:t xml:space="preserve">        </w:t>
      </w:r>
      <w:r w:rsidR="00625B77">
        <w:t xml:space="preserve"> </w:t>
      </w:r>
      <m:oMath>
        <m:r>
          <w:rPr>
            <w:rFonts w:ascii="Cambria Math" w:hAnsi="Cambria Math"/>
          </w:rPr>
          <m:t>P(Y=1|x)</m:t>
        </m:r>
      </m:oMath>
      <w:r w:rsidR="00625B77">
        <w:t xml:space="preserve">, die das Eintreten von </w:t>
      </w:r>
      <m:oMath>
        <m:r>
          <w:rPr>
            <w:rFonts w:ascii="Cambria Math" w:hAnsi="Cambria Math"/>
          </w:rPr>
          <m:t>Y</m:t>
        </m:r>
      </m:oMath>
      <w:r w:rsidR="00625B77">
        <w:t xml:space="preserve"> durch die für gegebene Werte von </w:t>
      </w:r>
      <m:oMath>
        <m:r>
          <w:rPr>
            <w:rFonts w:ascii="Cambria Math" w:hAnsi="Cambria Math"/>
          </w:rPr>
          <m:t>x</m:t>
        </m:r>
      </m:oMath>
      <w:r w:rsidR="00625B77">
        <w:t xml:space="preserve"> schätzt</w:t>
      </w:r>
      <w:r w:rsidR="00864142">
        <w:t>:</w:t>
      </w:r>
      <w:r w:rsidR="003C2F69">
        <w:rPr>
          <w:rStyle w:val="Funotenzeichen"/>
        </w:rPr>
        <w:footnoteReference w:id="71"/>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624"/>
      </w:tblGrid>
      <w:tr w:rsidR="00625B77" w14:paraId="7FC7FD70" w14:textId="77777777" w:rsidTr="000374C6">
        <w:tc>
          <w:tcPr>
            <w:tcW w:w="7371" w:type="dxa"/>
          </w:tcPr>
          <w:p w14:paraId="1B6597F5" w14:textId="7B3124EB" w:rsidR="00625B77" w:rsidRPr="00D43805" w:rsidRDefault="00D43805" w:rsidP="00625B77">
            <w:pPr>
              <w:jc w:val="center"/>
              <w:rPr>
                <w:rFonts w:ascii="Cambria Math" w:hAnsi="Cambria Math"/>
                <w:i/>
              </w:rPr>
            </w:pPr>
            <m:oMathPara>
              <m:oMath>
                <m:r>
                  <w:rPr>
                    <w:rFonts w:ascii="Cambria Math" w:hAnsi="Cambria Math"/>
                  </w:rPr>
                  <m:t>P(Y=1|x)=P(Y*&gt;0|x)=P(</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β+ε&gt;0|x)=P(</m:t>
                </m:r>
                <m:sSup>
                  <m:sSupPr>
                    <m:ctrlPr>
                      <w:rPr>
                        <w:rFonts w:ascii="Cambria Math" w:hAnsi="Cambria Math"/>
                        <w:i/>
                      </w:rPr>
                    </m:ctrlPr>
                  </m:sSupPr>
                  <m:e>
                    <m:r>
                      <w:rPr>
                        <w:rFonts w:ascii="Cambria Math" w:hAnsi="Cambria Math"/>
                      </w:rPr>
                      <m:t>ε&gt;-x</m:t>
                    </m:r>
                  </m:e>
                  <m:sup>
                    <m:r>
                      <w:rPr>
                        <w:rFonts w:ascii="Cambria Math" w:hAnsi="Cambria Math"/>
                      </w:rPr>
                      <m:t>T</m:t>
                    </m:r>
                  </m:sup>
                </m:sSup>
                <m:r>
                  <w:rPr>
                    <w:rFonts w:ascii="Cambria Math" w:hAnsi="Cambria Math"/>
                  </w:rPr>
                  <m:t>β|x)</m:t>
                </m:r>
              </m:oMath>
            </m:oMathPara>
          </w:p>
        </w:tc>
        <w:tc>
          <w:tcPr>
            <w:tcW w:w="624" w:type="dxa"/>
            <w:vAlign w:val="center"/>
          </w:tcPr>
          <w:p w14:paraId="23835105" w14:textId="17802847" w:rsidR="00625B77" w:rsidRDefault="00625B77" w:rsidP="00625B77">
            <w:pPr>
              <w:jc w:val="right"/>
            </w:pPr>
            <w:r>
              <w:t>(5)</w:t>
            </w:r>
          </w:p>
        </w:tc>
      </w:tr>
    </w:tbl>
    <w:p w14:paraId="6EA403E5" w14:textId="32D859E7" w:rsidR="00625B77" w:rsidRPr="0094628F" w:rsidRDefault="0054318E" w:rsidP="00EB0B5A">
      <w:pPr>
        <w:spacing w:before="120" w:after="120"/>
        <w:rPr>
          <w:b/>
          <w:bCs/>
        </w:rPr>
      </w:pPr>
      <w:r w:rsidRPr="0094628F">
        <w:rPr>
          <w:b/>
          <w:bCs/>
        </w:rPr>
        <w:lastRenderedPageBreak/>
        <w:t>Probit</w:t>
      </w:r>
      <w:r w:rsidR="004960F9" w:rsidRPr="0094628F">
        <w:rPr>
          <w:b/>
          <w:bCs/>
        </w:rPr>
        <w:t>-Modell</w:t>
      </w:r>
      <w:r w:rsidR="00864142" w:rsidRPr="0094628F">
        <w:rPr>
          <w:b/>
          <w:bCs/>
        </w:rPr>
        <w:t xml:space="preserve"> (standardnormalverteilt)</w:t>
      </w:r>
      <w:r w:rsidRPr="0094628F">
        <w:rPr>
          <w:b/>
          <w:bC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624"/>
      </w:tblGrid>
      <w:tr w:rsidR="0054318E" w14:paraId="3146D82A" w14:textId="77777777" w:rsidTr="000374C6">
        <w:tc>
          <w:tcPr>
            <w:tcW w:w="7371" w:type="dxa"/>
          </w:tcPr>
          <w:p w14:paraId="7F2A97AD" w14:textId="23F06947" w:rsidR="0054318E" w:rsidRPr="00625B77" w:rsidRDefault="0054318E" w:rsidP="000374C6">
            <w:pPr>
              <w:jc w:val="center"/>
              <w:rPr>
                <w:rFonts w:ascii="Cambria Math" w:hAnsi="Cambria Math"/>
                <w:i/>
              </w:rPr>
            </w:pPr>
            <m:oMathPara>
              <m:oMath>
                <m:r>
                  <w:rPr>
                    <w:rFonts w:ascii="Cambria Math" w:hAnsi="Cambria Math"/>
                  </w:rPr>
                  <m:t>P(Y=1|x)=P(</m:t>
                </m:r>
                <m:sSup>
                  <m:sSupPr>
                    <m:ctrlPr>
                      <w:rPr>
                        <w:rFonts w:ascii="Cambria Math" w:hAnsi="Cambria Math"/>
                        <w:i/>
                      </w:rPr>
                    </m:ctrlPr>
                  </m:sSupPr>
                  <m:e>
                    <m:r>
                      <w:rPr>
                        <w:rFonts w:ascii="Cambria Math" w:hAnsi="Cambria Math"/>
                      </w:rPr>
                      <m:t>ε&lt;x</m:t>
                    </m:r>
                  </m:e>
                  <m:sup>
                    <m:r>
                      <w:rPr>
                        <w:rFonts w:ascii="Cambria Math" w:hAnsi="Cambria Math"/>
                      </w:rPr>
                      <m:t>T</m:t>
                    </m:r>
                  </m:sup>
                </m:sSup>
                <m:r>
                  <w:rPr>
                    <w:rFonts w:ascii="Cambria Math" w:hAnsi="Cambria Math"/>
                  </w:rPr>
                  <m:t xml:space="preserve">β|x)= </m:t>
                </m:r>
                <m:nary>
                  <m:naryPr>
                    <m:limLoc m:val="subSup"/>
                    <m:ctrlPr>
                      <w:rPr>
                        <w:rFonts w:ascii="Cambria Math" w:hAnsi="Cambria Math"/>
                        <w:i/>
                      </w:rPr>
                    </m:ctrlPr>
                  </m:naryPr>
                  <m:sub>
                    <m:r>
                      <w:rPr>
                        <w:rFonts w:ascii="Cambria Math" w:hAnsi="Cambria Math"/>
                      </w:rPr>
                      <m:t>-∞</m:t>
                    </m:r>
                  </m:sub>
                  <m: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sup>
                  <m:e>
                    <m:r>
                      <w:rPr>
                        <w:rFonts w:ascii="Cambria Math" w:hAnsi="Cambria Math"/>
                      </w:rPr>
                      <m:t>ϕ(t)dt</m:t>
                    </m:r>
                  </m:e>
                </m:nary>
              </m:oMath>
            </m:oMathPara>
          </w:p>
        </w:tc>
        <w:tc>
          <w:tcPr>
            <w:tcW w:w="624" w:type="dxa"/>
            <w:vAlign w:val="center"/>
          </w:tcPr>
          <w:p w14:paraId="2009C13C" w14:textId="2EFA67CD" w:rsidR="0054318E" w:rsidRDefault="0054318E" w:rsidP="000374C6">
            <w:pPr>
              <w:jc w:val="right"/>
            </w:pPr>
            <w:r>
              <w:t>(6)</w:t>
            </w:r>
          </w:p>
        </w:tc>
      </w:tr>
    </w:tbl>
    <w:p w14:paraId="05433A92" w14:textId="1E2641FA" w:rsidR="0054318E" w:rsidRPr="0094628F" w:rsidRDefault="0054318E" w:rsidP="00EB0B5A">
      <w:pPr>
        <w:spacing w:before="120" w:after="120"/>
        <w:rPr>
          <w:b/>
          <w:bCs/>
        </w:rPr>
      </w:pPr>
      <w:r w:rsidRPr="0094628F">
        <w:rPr>
          <w:b/>
          <w:bCs/>
        </w:rPr>
        <w:t>Logit</w:t>
      </w:r>
      <w:r w:rsidR="004960F9" w:rsidRPr="0094628F">
        <w:rPr>
          <w:b/>
          <w:bCs/>
        </w:rPr>
        <w:t>-Modell</w:t>
      </w:r>
      <w:r w:rsidR="00864142" w:rsidRPr="0094628F">
        <w:rPr>
          <w:b/>
          <w:bCs/>
        </w:rPr>
        <w:t xml:space="preserve"> (logistisch verteilt)</w:t>
      </w:r>
      <w:r w:rsidRPr="0094628F">
        <w:rPr>
          <w:b/>
          <w:bC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624"/>
      </w:tblGrid>
      <w:tr w:rsidR="0054318E" w14:paraId="260C636D" w14:textId="77777777" w:rsidTr="000374C6">
        <w:tc>
          <w:tcPr>
            <w:tcW w:w="7371" w:type="dxa"/>
          </w:tcPr>
          <w:p w14:paraId="6D020B9B" w14:textId="1718B18B" w:rsidR="0054318E" w:rsidRPr="00625B77" w:rsidRDefault="0054318E" w:rsidP="000374C6">
            <w:pPr>
              <w:jc w:val="center"/>
              <w:rPr>
                <w:rFonts w:ascii="Cambria Math" w:hAnsi="Cambria Math"/>
                <w:i/>
              </w:rPr>
            </w:pPr>
            <m:oMathPara>
              <m:oMath>
                <m:r>
                  <w:rPr>
                    <w:rFonts w:ascii="Cambria Math" w:hAnsi="Cambria Math"/>
                  </w:rPr>
                  <m:t>P(Y=1|x)=P(</m:t>
                </m:r>
                <m:sSup>
                  <m:sSupPr>
                    <m:ctrlPr>
                      <w:rPr>
                        <w:rFonts w:ascii="Cambria Math" w:hAnsi="Cambria Math"/>
                        <w:i/>
                      </w:rPr>
                    </m:ctrlPr>
                  </m:sSupPr>
                  <m:e>
                    <m:r>
                      <w:rPr>
                        <w:rFonts w:ascii="Cambria Math" w:hAnsi="Cambria Math"/>
                      </w:rPr>
                      <m:t>ε&lt;x</m:t>
                    </m:r>
                  </m:e>
                  <m:sup>
                    <m:r>
                      <w:rPr>
                        <w:rFonts w:ascii="Cambria Math" w:hAnsi="Cambria Math"/>
                      </w:rPr>
                      <m:t>T</m:t>
                    </m:r>
                  </m:sup>
                </m:sSup>
                <m:r>
                  <w:rPr>
                    <w:rFonts w:ascii="Cambria Math" w:hAnsi="Cambria Math"/>
                  </w:rPr>
                  <m:t>β|x)=</m:t>
                </m:r>
                <m:f>
                  <m:fPr>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sup>
                    </m:sSup>
                  </m:num>
                  <m:den>
                    <m:r>
                      <w:rPr>
                        <w:rFonts w:ascii="Cambria Math" w:hAnsi="Cambria Math"/>
                      </w:rPr>
                      <m:t>1+</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sup>
                    </m:sSup>
                  </m:den>
                </m:f>
              </m:oMath>
            </m:oMathPara>
          </w:p>
        </w:tc>
        <w:tc>
          <w:tcPr>
            <w:tcW w:w="624" w:type="dxa"/>
            <w:vAlign w:val="center"/>
          </w:tcPr>
          <w:p w14:paraId="02843C5D" w14:textId="0BE8501C" w:rsidR="0054318E" w:rsidRDefault="0054318E" w:rsidP="000374C6">
            <w:pPr>
              <w:jc w:val="right"/>
            </w:pPr>
            <w:r>
              <w:t>(7)</w:t>
            </w:r>
          </w:p>
        </w:tc>
      </w:tr>
    </w:tbl>
    <w:p w14:paraId="555D6906" w14:textId="563C9EC6" w:rsidR="00E72F11" w:rsidRDefault="009E51F7" w:rsidP="00EB0B5A">
      <w:pPr>
        <w:spacing w:before="120" w:after="120"/>
      </w:pPr>
      <w:r>
        <w:t xml:space="preserve">Das Multivariate Probit-Model </w:t>
      </w:r>
      <w:r w:rsidR="002E6828">
        <w:t xml:space="preserve">erweitert das </w:t>
      </w:r>
      <w:r>
        <w:t xml:space="preserve">univariate Probit-Model </w:t>
      </w:r>
      <w:r w:rsidR="00E71917">
        <w:t>durch die gleichzeitige</w:t>
      </w:r>
      <w:r>
        <w:t xml:space="preserve"> </w:t>
      </w:r>
      <w:r w:rsidR="00E71917">
        <w:t>Analyse von</w:t>
      </w:r>
      <w:r w:rsidR="00067401">
        <w:t xml:space="preserve"> </w:t>
      </w:r>
      <w:r w:rsidR="00E71917">
        <w:t>mehreren korrelierten abhängigen Variablen</w:t>
      </w:r>
      <w:r w:rsidR="00455094" w:rsidRPr="002E6828">
        <w:rPr>
          <w:rStyle w:val="Funotenzeichen"/>
          <w:iCs/>
        </w:rPr>
        <w:footnoteReference w:id="72"/>
      </w:r>
      <w:r w:rsidR="00134F2C">
        <w:t xml:space="preserve"> (hier die einzelnen Finanzierungsmuster)</w:t>
      </w:r>
      <w:r w:rsidR="00AC4931">
        <w:t>.</w:t>
      </w:r>
      <w:r w:rsidR="00E71917" w:rsidRPr="00E71917">
        <w:t xml:space="preserve"> </w:t>
      </w:r>
      <w:r w:rsidR="00C27D7D">
        <w:t xml:space="preserve">Demnach </w:t>
      </w:r>
      <w:r w:rsidR="002E6828">
        <w:t xml:space="preserve">eignet </w:t>
      </w:r>
      <w:r w:rsidR="00C27D7D">
        <w:t>sich</w:t>
      </w:r>
      <w:r w:rsidR="002E6828">
        <w:t xml:space="preserve"> das Modell </w:t>
      </w:r>
      <w:r>
        <w:t>für die zugrundeliegende Datenstruktur</w:t>
      </w:r>
      <w:r w:rsidR="002E6828">
        <w:t xml:space="preserve"> und kommt als Regressionsverfahren zum Einsatz</w:t>
      </w:r>
      <w:r w:rsidR="00720B2E">
        <w:t xml:space="preserve">, dargestellt </w:t>
      </w:r>
      <w:r w:rsidR="00E57458">
        <w:t>durch</w:t>
      </w:r>
      <w:r w:rsidR="00A17783">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624"/>
      </w:tblGrid>
      <w:tr w:rsidR="00E72F11" w14:paraId="3134766D" w14:textId="77777777" w:rsidTr="000374C6">
        <w:tc>
          <w:tcPr>
            <w:tcW w:w="7371" w:type="dxa"/>
          </w:tcPr>
          <w:p w14:paraId="7B92E970" w14:textId="50BA3F41" w:rsidR="00E72F11" w:rsidRPr="002E6828" w:rsidRDefault="004F311F" w:rsidP="000374C6">
            <w:pPr>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624" w:type="dxa"/>
            <w:vAlign w:val="center"/>
          </w:tcPr>
          <w:p w14:paraId="4E125ADC" w14:textId="2D4CF14A" w:rsidR="00E72F11" w:rsidRDefault="00E72F11" w:rsidP="000374C6">
            <w:pPr>
              <w:jc w:val="right"/>
            </w:pPr>
            <w:r>
              <w:t>(</w:t>
            </w:r>
            <w:r w:rsidR="001F1191">
              <w:t>8</w:t>
            </w:r>
            <w:r>
              <w:t>)</w:t>
            </w:r>
          </w:p>
        </w:tc>
      </w:tr>
      <w:tr w:rsidR="00720B2E" w14:paraId="18889A2F" w14:textId="77777777" w:rsidTr="000374C6">
        <w:tc>
          <w:tcPr>
            <w:tcW w:w="7371" w:type="dxa"/>
          </w:tcPr>
          <w:p w14:paraId="19D79A6B" w14:textId="0FF07CD8" w:rsidR="00720B2E" w:rsidRPr="00DE6E03" w:rsidRDefault="004F311F" w:rsidP="00D03E73">
            <w:pPr>
              <w:spacing w:before="20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*&gt;0</m:t>
                        </m:r>
                      </m:e>
                      <m:e>
                        <m:r>
                          <w:rPr>
                            <w:rFonts w:ascii="Cambria Math" w:hAnsi="Cambria Math"/>
                          </w:rPr>
                          <m:t>0,  &amp;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eqArr>
                  </m:e>
                </m:d>
              </m:oMath>
            </m:oMathPara>
          </w:p>
        </w:tc>
        <w:tc>
          <w:tcPr>
            <w:tcW w:w="624" w:type="dxa"/>
            <w:vAlign w:val="center"/>
          </w:tcPr>
          <w:p w14:paraId="7F4BC319" w14:textId="2D278705" w:rsidR="00720B2E" w:rsidRDefault="00720B2E" w:rsidP="00D03E73">
            <w:pPr>
              <w:spacing w:before="200"/>
              <w:jc w:val="right"/>
            </w:pPr>
            <w:r>
              <w:t>(</w:t>
            </w:r>
            <w:r w:rsidR="001F1191">
              <w:t>9</w:t>
            </w:r>
            <w:r>
              <w:t>)</w:t>
            </w:r>
          </w:p>
        </w:tc>
      </w:tr>
    </w:tbl>
    <w:p w14:paraId="659A309F" w14:textId="781AFF19" w:rsidR="00720B2E" w:rsidRDefault="00E57458" w:rsidP="00EB0B5A">
      <w:pPr>
        <w:spacing w:before="120" w:after="120"/>
      </w:pPr>
      <w:r>
        <w:t xml:space="preserve">bei </w:t>
      </w:r>
      <m:oMath>
        <m:r>
          <w:rPr>
            <w:rFonts w:ascii="Cambria Math" w:hAnsi="Cambria Math"/>
          </w:rPr>
          <m:t>j</m:t>
        </m:r>
      </m:oMath>
      <w:r>
        <w:t xml:space="preserve"> abhängigen Variablen mit </w:t>
      </w:r>
      <m:oMath>
        <m:r>
          <w:rPr>
            <w:rFonts w:ascii="Cambria Math" w:hAnsi="Cambria Math"/>
          </w:rPr>
          <m:t>i=1,...,j</m:t>
        </m:r>
      </m:oMath>
      <w:r w:rsidRPr="00E57458">
        <w:rPr>
          <w:i/>
        </w:rPr>
        <w:t xml:space="preserve"> </w:t>
      </w:r>
      <w:r>
        <w:t>, wobei</w:t>
      </w:r>
      <w:r w:rsidR="00893416" w:rsidRPr="00893416">
        <w:rPr>
          <w:rFonts w:ascii="Cambria Math" w:hAnsi="Cambria Math"/>
          <w:i/>
        </w:rPr>
        <w:t xml:space="preserv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893416">
        <w:t xml:space="preserve"> multivariat-normalverteilt ist.</w:t>
      </w:r>
      <w:r w:rsidR="004D6AF1">
        <w:rPr>
          <w:rStyle w:val="Funotenzeichen"/>
        </w:rPr>
        <w:footnoteReference w:id="73"/>
      </w:r>
    </w:p>
    <w:p w14:paraId="78F40D82" w14:textId="16ED1FC4" w:rsidR="0062710A" w:rsidRDefault="0062710A" w:rsidP="001A4E15">
      <w:pPr>
        <w:pStyle w:val="Finalberschrift3"/>
        <w:numPr>
          <w:ilvl w:val="0"/>
          <w:numId w:val="8"/>
        </w:numPr>
      </w:pPr>
      <w:bookmarkStart w:id="35" w:name="_Toc88425833"/>
      <w:r>
        <w:t>Interpretation der Ausgabe</w:t>
      </w:r>
      <w:bookmarkEnd w:id="35"/>
    </w:p>
    <w:p w14:paraId="7A2DB9E6" w14:textId="44491CCD" w:rsidR="0013233C" w:rsidRDefault="0013233C" w:rsidP="00EB0B5A">
      <w:pPr>
        <w:spacing w:after="120"/>
      </w:pPr>
      <w:r>
        <w:t xml:space="preserve">Nominalskalierte Daten lassen sich in der Regression </w:t>
      </w:r>
      <w:r w:rsidR="00DD5675">
        <w:t>modellieren</w:t>
      </w:r>
      <w:r>
        <w:t xml:space="preserve">, indem für </w:t>
      </w:r>
      <m:oMath>
        <m:r>
          <w:rPr>
            <w:rFonts w:ascii="Cambria Math" w:hAnsi="Cambria Math"/>
          </w:rPr>
          <m:t xml:space="preserve">n </m:t>
        </m:r>
      </m:oMath>
      <w:r w:rsidR="00DD5675">
        <w:t>Ausprägungen</w:t>
      </w:r>
      <w:r>
        <w:t xml:space="preserve"> </w:t>
      </w:r>
      <m:oMath>
        <m:r>
          <w:rPr>
            <w:rFonts w:ascii="Cambria Math" w:hAnsi="Cambria Math"/>
          </w:rPr>
          <m:t>n-1</m:t>
        </m:r>
      </m:oMath>
      <w:r>
        <w:t xml:space="preserve"> Dummy-Variablen erzeugt werden</w:t>
      </w:r>
      <w:r w:rsidR="00F53E7A">
        <w:t xml:space="preserve">, um eine perfekte lineare Abhängigkeit zu </w:t>
      </w:r>
      <w:r w:rsidR="00D40F52">
        <w:t>verhindern</w:t>
      </w:r>
      <w:r>
        <w:t xml:space="preserve">. </w:t>
      </w:r>
      <w:r w:rsidR="00BE3D74">
        <w:t>Eine Dummy-Variable</w:t>
      </w:r>
      <w:r>
        <w:t xml:space="preserve"> </w:t>
      </w:r>
      <w:r w:rsidR="00DD5675" w:rsidRPr="00BE3D74">
        <w:rPr>
          <w:spacing w:val="-2"/>
        </w:rPr>
        <w:t xml:space="preserve">nimmt den Wert 1 an, falls die jeweilige Ausprägung zutrifft, und </w:t>
      </w:r>
      <w:r w:rsidR="00BE3D74" w:rsidRPr="00BE3D74">
        <w:rPr>
          <w:spacing w:val="-2"/>
        </w:rPr>
        <w:t xml:space="preserve">ist </w:t>
      </w:r>
      <w:r w:rsidR="00DD5675" w:rsidRPr="00BE3D74">
        <w:rPr>
          <w:spacing w:val="-2"/>
        </w:rPr>
        <w:t xml:space="preserve">andernfalls </w:t>
      </w:r>
      <w:r w:rsidR="00BE3D74" w:rsidRPr="00BE3D74">
        <w:rPr>
          <w:spacing w:val="-2"/>
        </w:rPr>
        <w:t xml:space="preserve">gleich </w:t>
      </w:r>
      <w:r w:rsidR="00DD5675" w:rsidRPr="00BE3D74">
        <w:rPr>
          <w:spacing w:val="-2"/>
        </w:rPr>
        <w:t>0.</w:t>
      </w:r>
      <w:r w:rsidR="00DD5675">
        <w:t xml:space="preserve"> Die übrigbleibende Ausprägung wird dabei als Referenzkategorie bezeichnet</w:t>
      </w:r>
      <w:r w:rsidR="00BF4FEF">
        <w:t>, zu der bei der Interpretation Vergleiche gezogen werden</w:t>
      </w:r>
      <w:r w:rsidR="00DD5675">
        <w:t>. Infolgedessen geben die Regressionskoeffizienten der Dummy-Variablen den Effekt auf die jeweilige abhängige Variable in Relation z</w:t>
      </w:r>
      <w:r w:rsidR="00B130B2">
        <w:t xml:space="preserve">ur Referenzkategorie </w:t>
      </w:r>
      <w:r w:rsidR="00DD5675">
        <w:t>an. Sie zeigen demnach keine absoluten Abhängigkeiten, sondern lediglich einen Vergleich zur Referenzkategorie.</w:t>
      </w:r>
      <w:r w:rsidR="00DD5675">
        <w:rPr>
          <w:rStyle w:val="Funotenzeichen"/>
        </w:rPr>
        <w:footnoteReference w:id="74"/>
      </w:r>
    </w:p>
    <w:p w14:paraId="154CB6BF" w14:textId="6904CC2F" w:rsidR="00DE5CA9" w:rsidRDefault="00DE5CA9" w:rsidP="00EB0B5A">
      <w:pPr>
        <w:spacing w:after="120"/>
      </w:pPr>
      <w:r>
        <w:t xml:space="preserve">Die konkrete Definition dieser Dummy-Variablen und der dazugehörigen Referenzkategorien befinden sich im Abschnitt </w:t>
      </w:r>
      <w:r w:rsidR="002E3109">
        <w:fldChar w:fldCharType="begin"/>
      </w:r>
      <w:r w:rsidR="002E3109">
        <w:instrText xml:space="preserve"> REF _Ref88425995 \r \h </w:instrText>
      </w:r>
      <w:r w:rsidR="002E3109">
        <w:fldChar w:fldCharType="separate"/>
      </w:r>
      <w:r w:rsidR="00285390">
        <w:t>1.4.2</w:t>
      </w:r>
      <w:r w:rsidR="002E3109">
        <w:fldChar w:fldCharType="end"/>
      </w:r>
      <w:r w:rsidR="002E3109">
        <w:t xml:space="preserve"> </w:t>
      </w:r>
      <w:r>
        <w:t>Da die Unterschiede zwischen Kleinstunternehmen und</w:t>
      </w:r>
      <w:r w:rsidR="00DD2260">
        <w:t xml:space="preserve"> größeren</w:t>
      </w:r>
      <w:r>
        <w:t xml:space="preserve"> </w:t>
      </w:r>
      <w:r w:rsidR="004B7B8E">
        <w:t>KMUs</w:t>
      </w:r>
      <w:r>
        <w:t xml:space="preserve"> verdeutlicht werden sollen, werden</w:t>
      </w:r>
      <w:r w:rsidR="004B7B8E">
        <w:t xml:space="preserve"> zunächst</w:t>
      </w:r>
      <w:r>
        <w:t xml:space="preserve"> die mittleren Unternehmen als Referenzgruppe definiert. </w:t>
      </w:r>
      <w:r w:rsidR="00C57207">
        <w:t xml:space="preserve">Um zusätzlich die </w:t>
      </w:r>
      <w:r w:rsidR="00C57207">
        <w:lastRenderedPageBreak/>
        <w:t xml:space="preserve">Unterschiede zu den kleinen Unternehmen </w:t>
      </w:r>
      <w:r w:rsidR="00D702A4">
        <w:t>herzustellen,</w:t>
      </w:r>
      <w:r w:rsidR="00C57207">
        <w:t xml:space="preserve"> wird </w:t>
      </w:r>
      <w:r w:rsidR="00C6519B">
        <w:t>ein</w:t>
      </w:r>
      <w:r w:rsidR="00C57207">
        <w:t xml:space="preserve"> </w:t>
      </w:r>
      <m:oMath>
        <m:r>
          <w:rPr>
            <w:rFonts w:ascii="Cambria Math" w:hAnsi="Cambria Math"/>
          </w:rPr>
          <m:t>t</m:t>
        </m:r>
      </m:oMath>
      <w:r w:rsidR="00C57207">
        <w:t xml:space="preserve">-Test verwendet. Dieser </w:t>
      </w:r>
      <w:r w:rsidR="00D702A4">
        <w:t xml:space="preserve">überprüft, ob </w:t>
      </w:r>
      <w:r w:rsidR="00027B11">
        <w:t>der</w:t>
      </w:r>
      <w:r w:rsidR="00D702A4">
        <w:t xml:space="preserve"> Koeffizient der Kleinstunternehmen</w:t>
      </w:r>
      <w:r w:rsidR="00027B11">
        <w:t xml:space="preserve"> </w:t>
      </w:r>
      <w:r w:rsidR="005770F1">
        <w:t xml:space="preserve">signifikant unterschiedlich zum </w:t>
      </w:r>
      <w:r w:rsidR="00027B11">
        <w:t xml:space="preserve">Koeffizienten der kleinen Unternehmen </w:t>
      </w:r>
      <w:r w:rsidR="005770F1">
        <w:t>ist</w:t>
      </w:r>
      <w:r w:rsidR="00B5761A">
        <w:t>.</w:t>
      </w:r>
    </w:p>
    <w:p w14:paraId="42154B0F" w14:textId="17372F8C" w:rsidR="0062710A" w:rsidRDefault="00110273" w:rsidP="00EB0B5A">
      <w:pPr>
        <w:spacing w:before="120" w:after="120"/>
      </w:pPr>
      <w:r>
        <w:t>Die</w:t>
      </w:r>
      <w:r w:rsidR="00341C50">
        <w:t xml:space="preserve"> Nichtlinearität der Probit- und Logit-Modelle erschwert die Interpretation der Koeffizienten. Die Wirkungen sind anders als bei der linearen Regression nicht konstant und ändern sich auch mit der abhängigen Variable. Somit kann</w:t>
      </w:r>
      <w:r w:rsidR="002A4369">
        <w:t xml:space="preserve"> </w:t>
      </w:r>
      <w:r w:rsidR="009932CC">
        <w:t>man mit Hilfe de</w:t>
      </w:r>
      <w:r w:rsidR="005A301C">
        <w:t>s</w:t>
      </w:r>
      <w:r w:rsidR="002A4369">
        <w:t xml:space="preserve"> </w:t>
      </w:r>
      <w:r w:rsidR="00BE075C">
        <w:t>Vorzeichen</w:t>
      </w:r>
      <w:r w:rsidR="005A301C">
        <w:t>s</w:t>
      </w:r>
      <w:r w:rsidR="00BE075C">
        <w:t xml:space="preserve"> und de</w:t>
      </w:r>
      <w:r w:rsidR="005A301C">
        <w:t>s</w:t>
      </w:r>
      <w:r w:rsidR="00BE075C">
        <w:t xml:space="preserve"> Betrag</w:t>
      </w:r>
      <w:r w:rsidR="005A301C">
        <w:t>s</w:t>
      </w:r>
      <w:r w:rsidR="00BE075C">
        <w:t xml:space="preserve"> der </w:t>
      </w:r>
      <w:r w:rsidR="002A4369">
        <w:t>Koeffizienten</w:t>
      </w:r>
      <w:r w:rsidR="00341C50">
        <w:t xml:space="preserve"> nur Aussagen über die Richtung </w:t>
      </w:r>
      <w:r w:rsidR="00BE075C">
        <w:t xml:space="preserve">und </w:t>
      </w:r>
      <w:r w:rsidR="005A301C">
        <w:t xml:space="preserve">den </w:t>
      </w:r>
      <w:r w:rsidR="00BE075C">
        <w:t xml:space="preserve">relativen Einfluss </w:t>
      </w:r>
      <w:r w:rsidR="00341C50">
        <w:t>der Abhängigkeit treffen,</w:t>
      </w:r>
      <w:r w:rsidR="00BE075C">
        <w:rPr>
          <w:rStyle w:val="Funotenzeichen"/>
        </w:rPr>
        <w:footnoteReference w:id="75"/>
      </w:r>
      <w:r w:rsidR="00341C50">
        <w:t xml:space="preserve"> jedoch nicht darüber, wie hoch die Änderung</w:t>
      </w:r>
      <w:r w:rsidR="00BE075C">
        <w:t xml:space="preserve"> konkret</w:t>
      </w:r>
      <w:r w:rsidR="00341C50">
        <w:t xml:space="preserve"> ausfällt.</w:t>
      </w:r>
      <w:r w:rsidR="00341C50">
        <w:rPr>
          <w:rStyle w:val="Funotenzeichen"/>
        </w:rPr>
        <w:footnoteReference w:id="76"/>
      </w:r>
    </w:p>
    <w:p w14:paraId="405492E7" w14:textId="04D2A783" w:rsidR="00F736E2" w:rsidRDefault="00110273" w:rsidP="00EB0B5A">
      <w:pPr>
        <w:spacing w:after="120"/>
      </w:pPr>
      <w:r>
        <w:t>Neben den Koeffizienten werden die</w:t>
      </w:r>
      <w:r w:rsidR="005F323B">
        <w:t xml:space="preserve"> Standardfehler </w:t>
      </w:r>
      <w:r w:rsidR="00121FBA">
        <w:t xml:space="preserve">als Maß der Varianz der geschätzten Parameter bei unterschiedlichen Stichproben abgebildet und der </w:t>
      </w:r>
      <w:r w:rsidR="009119BA">
        <w:t>Wald</w:t>
      </w:r>
      <w:r w:rsidR="00121FBA">
        <w:t xml:space="preserve">-Test zur Prüfung der statistischen Signifikanz der einzelnen </w:t>
      </w:r>
      <w:r w:rsidR="005A4F57">
        <w:t xml:space="preserve">unabhängige </w:t>
      </w:r>
      <w:r w:rsidR="00121FBA">
        <w:t>Variable</w:t>
      </w:r>
      <w:r w:rsidR="00182A3F">
        <w:t>n</w:t>
      </w:r>
      <w:r w:rsidR="00121FBA">
        <w:t xml:space="preserve"> verwendet.</w:t>
      </w:r>
    </w:p>
    <w:p w14:paraId="34C5E5DB" w14:textId="25CDB31E" w:rsidR="0062710A" w:rsidRDefault="0062710A" w:rsidP="001A4E15">
      <w:pPr>
        <w:pStyle w:val="Finalberschrift3"/>
        <w:numPr>
          <w:ilvl w:val="0"/>
          <w:numId w:val="8"/>
        </w:numPr>
      </w:pPr>
      <w:bookmarkStart w:id="36" w:name="_Toc88425834"/>
      <w:r>
        <w:t>Zusätzliche Robustheitstests</w:t>
      </w:r>
      <w:bookmarkEnd w:id="36"/>
    </w:p>
    <w:p w14:paraId="1E6D02A6" w14:textId="49A1F0F9" w:rsidR="00096254" w:rsidRDefault="00096254" w:rsidP="00EB0B5A">
      <w:pPr>
        <w:spacing w:after="120"/>
      </w:pPr>
      <w:r w:rsidRPr="00096254">
        <w:t xml:space="preserve">Es </w:t>
      </w:r>
      <w:r>
        <w:t>werden</w:t>
      </w:r>
      <w:r w:rsidRPr="00096254">
        <w:t xml:space="preserve"> zusätzlich</w:t>
      </w:r>
      <w:r w:rsidR="00304106">
        <w:t xml:space="preserve"> als Robustheitstests</w:t>
      </w:r>
      <w:r>
        <w:t xml:space="preserve"> univariate logistische Regressionen für jede abhängige Variable</w:t>
      </w:r>
      <w:r w:rsidR="00304106" w:rsidRPr="00304106">
        <w:t xml:space="preserve"> </w:t>
      </w:r>
      <w:r w:rsidR="00304106">
        <w:t xml:space="preserve">durchgeführt. Diese separate Modellierung hat den entscheidenden Nachteil, dass die Assoziation zwischen den abhängigen Variablen vernachlässigt wird. </w:t>
      </w:r>
      <w:r w:rsidR="00FE684A">
        <w:t>Daneben</w:t>
      </w:r>
      <w:r w:rsidR="00304106">
        <w:t xml:space="preserve"> wird eine multinomiale logistische Regression durchgeführt, </w:t>
      </w:r>
      <w:r w:rsidR="00D54797">
        <w:t xml:space="preserve">welche </w:t>
      </w:r>
      <w:r w:rsidR="00C4547C">
        <w:t xml:space="preserve">für </w:t>
      </w:r>
      <m:oMath>
        <m:r>
          <w:rPr>
            <w:rFonts w:ascii="Cambria Math" w:hAnsi="Cambria Math"/>
          </w:rPr>
          <m:t>j</m:t>
        </m:r>
      </m:oMath>
      <w:r w:rsidR="00C4547C">
        <w:t xml:space="preserve"> zu schätzende Parameter nur </w:t>
      </w:r>
      <m:oMath>
        <m:r>
          <w:rPr>
            <w:rFonts w:ascii="Cambria Math" w:hAnsi="Cambria Math"/>
          </w:rPr>
          <m:t>j-1</m:t>
        </m:r>
      </m:oMath>
      <w:r w:rsidR="00C4547C">
        <w:t xml:space="preserve"> abhängige Variablen benötigt.</w:t>
      </w:r>
      <w:r w:rsidR="00D54797">
        <w:t xml:space="preserve"> Die Koeffizienten drücken</w:t>
      </w:r>
      <w:r w:rsidR="0032366C">
        <w:t xml:space="preserve"> dabei</w:t>
      </w:r>
      <w:r w:rsidR="00D54797">
        <w:t xml:space="preserve"> den relativen Effekt</w:t>
      </w:r>
      <w:r w:rsidR="0032366C">
        <w:t xml:space="preserve"> auf die abhängige Variable</w:t>
      </w:r>
      <w:r w:rsidR="00D54797">
        <w:t xml:space="preserve"> bezüglich der Referenzkategorie aus</w:t>
      </w:r>
      <w:r w:rsidR="00D54797">
        <w:rPr>
          <w:rStyle w:val="Funotenzeichen"/>
        </w:rPr>
        <w:footnoteReference w:id="77"/>
      </w:r>
      <w:r w:rsidR="00D54797">
        <w:t xml:space="preserve"> </w:t>
      </w:r>
      <w:r w:rsidR="00134F2C">
        <w:t>(</w:t>
      </w:r>
      <w:r w:rsidR="00D54797">
        <w:t xml:space="preserve">hier in der Analyse das Finanzierungsmuster </w:t>
      </w:r>
      <w:r w:rsidR="00D54797" w:rsidRPr="00D54797">
        <w:rPr>
          <w:i/>
          <w:iCs/>
        </w:rPr>
        <w:t>Innenfinanzierung</w:t>
      </w:r>
      <w:r w:rsidR="00134F2C" w:rsidRPr="00134F2C">
        <w:t>)</w:t>
      </w:r>
      <w:r w:rsidR="00D54797">
        <w:t>.</w:t>
      </w:r>
      <w:r w:rsidR="004B1A6C">
        <w:t xml:space="preserve"> B</w:t>
      </w:r>
      <w:r w:rsidR="00514CE6">
        <w:t xml:space="preserve">ei den Logit-Modellen </w:t>
      </w:r>
      <w:r w:rsidR="004B1A6C">
        <w:t xml:space="preserve">können </w:t>
      </w:r>
      <w:r w:rsidR="00514CE6">
        <w:t>ergänzend noch die Odds-Ratio</w:t>
      </w:r>
      <w:r w:rsidR="00043864" w:rsidRPr="00043864">
        <w:rPr>
          <w:rFonts w:ascii="Cambria Math" w:hAnsi="Cambria Math"/>
          <w:i/>
        </w:rPr>
        <w:t xml:space="preserve"> </w:t>
      </w:r>
      <m:oMath>
        <m:r>
          <w:rPr>
            <w:rFonts w:ascii="Cambria Math" w:hAnsi="Cambria Math"/>
          </w:rPr>
          <m:t>OR</m:t>
        </m:r>
      </m:oMath>
      <w:r w:rsidR="00514CE6">
        <w:t xml:space="preserve"> </w:t>
      </w:r>
      <w:r w:rsidR="004B1A6C">
        <w:t>interpretiert werden</w:t>
      </w:r>
      <w:r w:rsidR="00514CE6">
        <w:t>, welche die Erhöhung der Chancen für das Eintreffen einer abhängigen Variable ausdrücken, falls die jeweilige unabhängige Variable den Wert 1 annimmt</w:t>
      </w:r>
      <w:r w:rsidR="0068266D">
        <w:t>.</w:t>
      </w:r>
      <w:r w:rsidR="00063D11">
        <w:rPr>
          <w:rStyle w:val="Funotenzeichen"/>
        </w:rPr>
        <w:footnoteReference w:id="78"/>
      </w:r>
      <w:r w:rsidR="0068266D">
        <w:t xml:space="preserve"> Diese ergibt sich </w:t>
      </w:r>
      <w:r w:rsidR="00BE52BB">
        <w:t>durch das</w:t>
      </w:r>
      <w:r w:rsidR="0068266D">
        <w:t xml:space="preserve"> Potenzieren des Koeffizienten </w:t>
      </w:r>
      <m:oMath>
        <m:r>
          <w:rPr>
            <w:rFonts w:ascii="Cambria Math" w:hAnsi="Cambria Math"/>
          </w:rPr>
          <m:t>β</m:t>
        </m:r>
      </m:oMath>
      <w:r w:rsidR="0068266D">
        <w:t xml:space="preserve"> zur Basis</w:t>
      </w:r>
      <w:r w:rsidR="0068266D" w:rsidRPr="0068266D">
        <w:rPr>
          <w:rFonts w:ascii="Cambria Math" w:hAnsi="Cambria Math"/>
          <w:i/>
        </w:rPr>
        <w:t xml:space="preserve"> </w:t>
      </w:r>
      <m:oMath>
        <m:r>
          <w:rPr>
            <w:rFonts w:ascii="Cambria Math" w:hAnsi="Cambria Math"/>
          </w:rPr>
          <m:t>e</m:t>
        </m:r>
      </m:oMath>
      <w:r w:rsidR="0068266D">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624"/>
      </w:tblGrid>
      <w:tr w:rsidR="00945A04" w14:paraId="1CBE8144" w14:textId="77777777" w:rsidTr="000374C6">
        <w:tc>
          <w:tcPr>
            <w:tcW w:w="7371" w:type="dxa"/>
          </w:tcPr>
          <w:p w14:paraId="3D09D2AF" w14:textId="2FBF6C0C" w:rsidR="00945A04" w:rsidRPr="007223FF" w:rsidRDefault="00043864" w:rsidP="000374C6">
            <w:pPr>
              <w:jc w:val="center"/>
              <w:rPr>
                <w:rFonts w:ascii="Cambria Math" w:hAnsi="Cambria Math"/>
                <w:i/>
              </w:rPr>
            </w:pPr>
            <m:oMathPara>
              <m:oMath>
                <m:r>
                  <w:rPr>
                    <w:rFonts w:ascii="Cambria Math" w:hAnsi="Cambria Math"/>
                  </w:rPr>
                  <m:t>OR=</m:t>
                </m:r>
                <m:sSup>
                  <m:sSupPr>
                    <m:ctrlPr>
                      <w:rPr>
                        <w:rFonts w:ascii="Cambria Math" w:hAnsi="Cambria Math"/>
                        <w:i/>
                      </w:rPr>
                    </m:ctrlPr>
                  </m:sSupPr>
                  <m:e>
                    <m:r>
                      <w:rPr>
                        <w:rFonts w:ascii="Cambria Math" w:hAnsi="Cambria Math"/>
                      </w:rPr>
                      <m:t>e</m:t>
                    </m:r>
                  </m:e>
                  <m:sup>
                    <m:r>
                      <w:rPr>
                        <w:rFonts w:ascii="Cambria Math" w:hAnsi="Cambria Math"/>
                      </w:rPr>
                      <m:t>β</m:t>
                    </m:r>
                  </m:sup>
                </m:sSup>
              </m:oMath>
            </m:oMathPara>
          </w:p>
        </w:tc>
        <w:tc>
          <w:tcPr>
            <w:tcW w:w="624" w:type="dxa"/>
            <w:vAlign w:val="center"/>
          </w:tcPr>
          <w:p w14:paraId="3CE44882" w14:textId="45AB41AC" w:rsidR="00945A04" w:rsidRDefault="00945A04" w:rsidP="000374C6">
            <w:pPr>
              <w:jc w:val="right"/>
            </w:pPr>
            <w:r>
              <w:t>(1</w:t>
            </w:r>
            <w:r w:rsidR="00B5761A">
              <w:t>0</w:t>
            </w:r>
            <w:r>
              <w:t>)</w:t>
            </w:r>
          </w:p>
        </w:tc>
      </w:tr>
    </w:tbl>
    <w:p w14:paraId="589C595D" w14:textId="77777777" w:rsidR="00075E2B" w:rsidRDefault="00075E2B">
      <w:pPr>
        <w:spacing w:line="276" w:lineRule="auto"/>
        <w:jc w:val="left"/>
      </w:pPr>
      <w:r>
        <w:br w:type="page"/>
      </w:r>
    </w:p>
    <w:p w14:paraId="4B60809E" w14:textId="5CFC50F2" w:rsidR="00075E2B" w:rsidRDefault="00075E2B" w:rsidP="001A4E15">
      <w:pPr>
        <w:pStyle w:val="Finalberschrift3"/>
        <w:numPr>
          <w:ilvl w:val="0"/>
          <w:numId w:val="8"/>
        </w:numPr>
        <w:ind w:left="357" w:hanging="357"/>
      </w:pPr>
      <w:bookmarkStart w:id="37" w:name="_Toc88425835"/>
      <w:bookmarkStart w:id="38" w:name="_Ref88425980"/>
      <w:r>
        <w:lastRenderedPageBreak/>
        <w:t>Regressionsvariablen</w:t>
      </w:r>
      <w:bookmarkEnd w:id="37"/>
      <w:bookmarkEnd w:id="38"/>
    </w:p>
    <w:p w14:paraId="2004A0B3" w14:textId="7D9CE9D0" w:rsidR="001B4A51" w:rsidRDefault="000A68F7" w:rsidP="00E702E8">
      <w:pPr>
        <w:spacing w:after="120"/>
      </w:pPr>
      <w:r>
        <w:t>Tabelle 4 zeigt die</w:t>
      </w:r>
      <w:r w:rsidR="003D4DA8">
        <w:t xml:space="preserve"> Beschreibung</w:t>
      </w:r>
      <w:r>
        <w:t xml:space="preserve"> </w:t>
      </w:r>
      <w:r w:rsidR="00BF4806">
        <w:t>alle</w:t>
      </w:r>
      <w:r w:rsidR="003D4DA8">
        <w:t>r</w:t>
      </w:r>
      <w:r w:rsidR="00BF4806">
        <w:t xml:space="preserve"> in der Regression verwendeten </w:t>
      </w:r>
      <w:r w:rsidR="00E702E8">
        <w:t>Variablen</w:t>
      </w:r>
      <w:r w:rsidR="00EA65FE" w:rsidRPr="00E702E8">
        <w:rPr>
          <w:spacing w:val="-2"/>
        </w:rPr>
        <w:t>. Die sechs Finanzierungsmuster, die als abhängi</w:t>
      </w:r>
      <w:r w:rsidR="00E702E8" w:rsidRPr="00E702E8">
        <w:rPr>
          <w:spacing w:val="-2"/>
        </w:rPr>
        <w:t>ge</w:t>
      </w:r>
      <w:r w:rsidR="00EA65FE">
        <w:t xml:space="preserve"> Variablen dienen, werden im folgenden Kapitel näher betrachtet. </w:t>
      </w:r>
      <w:r w:rsidR="00E702E8">
        <w:t>Um das Forschungsvorhaben zu überprüfen, wird die Unternehmensgröße für die</w:t>
      </w:r>
      <w:r w:rsidR="00EA65FE">
        <w:t xml:space="preserve"> unabhängigen Variablen </w:t>
      </w:r>
      <w:r w:rsidR="0054116D">
        <w:t>verwendet</w:t>
      </w:r>
      <w:r w:rsidR="00E702E8">
        <w:t>.</w:t>
      </w:r>
    </w:p>
    <w:p w14:paraId="771D209F" w14:textId="527DDED3" w:rsidR="00075E2B" w:rsidRDefault="0040330F" w:rsidP="00E702E8">
      <w:pPr>
        <w:spacing w:after="120"/>
      </w:pPr>
      <w:r>
        <w:t>Um zusätzliche Effekte zu berücksichtigen, wird eine Reihe an Kontrollvariablen einbezogen.</w:t>
      </w:r>
      <w:r w:rsidR="00641B25">
        <w:t xml:space="preserve"> </w:t>
      </w:r>
      <w:r w:rsidR="001B4A51" w:rsidRPr="001B4A51">
        <w:t xml:space="preserve">Variablen auf Unternehmensebene werden implementiert, um für die Heterogenität zwischen den Unternehmen in der Stichprobe zu kontrollieren. Auf Unternehmensebene gehören unter anderem das </w:t>
      </w:r>
      <w:r w:rsidR="001B4A51" w:rsidRPr="00942352">
        <w:rPr>
          <w:i/>
          <w:iCs/>
        </w:rPr>
        <w:t>Unternehmensalter</w:t>
      </w:r>
      <w:r w:rsidR="001B4A51" w:rsidRPr="001B4A51">
        <w:t xml:space="preserve">, die </w:t>
      </w:r>
      <w:r w:rsidR="001B4A51" w:rsidRPr="00942352">
        <w:rPr>
          <w:i/>
          <w:iCs/>
        </w:rPr>
        <w:t>Gesellschafterstruktur</w:t>
      </w:r>
      <w:r w:rsidR="001B4A51" w:rsidRPr="001B4A51">
        <w:t xml:space="preserve"> und </w:t>
      </w:r>
      <w:r w:rsidR="001B4A51" w:rsidRPr="00942352">
        <w:rPr>
          <w:i/>
          <w:iCs/>
        </w:rPr>
        <w:t>Probleme beim Zugang zu Finanzierungsquellen</w:t>
      </w:r>
      <w:r w:rsidR="001B4A51" w:rsidRPr="001B4A51">
        <w:t xml:space="preserve"> dazu. </w:t>
      </w:r>
      <w:r w:rsidR="004339F9">
        <w:t xml:space="preserve">So </w:t>
      </w:r>
      <w:r w:rsidR="00F02C77" w:rsidRPr="00F02C77">
        <w:rPr>
          <w:spacing w:val="-2"/>
        </w:rPr>
        <w:t xml:space="preserve">ergeben </w:t>
      </w:r>
      <w:r w:rsidR="005C430E" w:rsidRPr="00F02C77">
        <w:rPr>
          <w:spacing w:val="-2"/>
        </w:rPr>
        <w:t xml:space="preserve">sich </w:t>
      </w:r>
      <w:r w:rsidR="005C441D">
        <w:rPr>
          <w:spacing w:val="-2"/>
        </w:rPr>
        <w:t xml:space="preserve">beispielsweise </w:t>
      </w:r>
      <w:r w:rsidR="00F02C77" w:rsidRPr="00F02C77">
        <w:rPr>
          <w:spacing w:val="-2"/>
        </w:rPr>
        <w:t>signifikante Veränderungen im Finanzierungsverhalten älterer Unternehmen.</w:t>
      </w:r>
      <w:r w:rsidR="001B4A51" w:rsidRPr="00F02C77">
        <w:rPr>
          <w:spacing w:val="-2"/>
        </w:rPr>
        <w:t xml:space="preserve"> </w:t>
      </w:r>
      <w:r w:rsidR="00F02C77" w:rsidRPr="00F02C77">
        <w:rPr>
          <w:rStyle w:val="Funotenzeichen"/>
          <w:spacing w:val="-2"/>
        </w:rPr>
        <w:footnoteReference w:id="79"/>
      </w:r>
      <w:r w:rsidR="00F02C77">
        <w:t xml:space="preserve"> </w:t>
      </w:r>
      <w:r w:rsidR="005C430E">
        <w:t>Ebenfalls</w:t>
      </w:r>
      <w:r w:rsidR="00F02C77">
        <w:t xml:space="preserve"> </w:t>
      </w:r>
      <w:r w:rsidR="00755B07">
        <w:t>wirkt sich</w:t>
      </w:r>
      <w:r w:rsidR="00F02C77">
        <w:t xml:space="preserve"> </w:t>
      </w:r>
      <w:r w:rsidR="001B4A51" w:rsidRPr="001B4A51">
        <w:t xml:space="preserve">die Gesellschafterstruktur </w:t>
      </w:r>
      <w:r w:rsidR="00755B07">
        <w:t>auf die</w:t>
      </w:r>
      <w:r w:rsidR="001B4A51" w:rsidRPr="001B4A51">
        <w:t xml:space="preserve"> Finanzierung</w:t>
      </w:r>
      <w:r w:rsidR="00755B07">
        <w:t xml:space="preserve"> </w:t>
      </w:r>
      <w:r w:rsidR="00C67A8C">
        <w:t>des Unternehmens</w:t>
      </w:r>
      <w:r w:rsidR="00755B07">
        <w:t xml:space="preserve"> aus</w:t>
      </w:r>
      <w:r w:rsidR="001B4A51" w:rsidRPr="001B4A51">
        <w:t>.</w:t>
      </w:r>
      <w:r w:rsidR="00C67A8C">
        <w:rPr>
          <w:rStyle w:val="Funotenzeichen"/>
        </w:rPr>
        <w:footnoteReference w:id="80"/>
      </w:r>
      <w:r w:rsidR="00A62A05">
        <w:t xml:space="preserve"> </w:t>
      </w:r>
      <w:r w:rsidR="009053A2">
        <w:t>Die Probleme beim Zugang zu Finanzierungs</w:t>
      </w:r>
      <w:r w:rsidR="00A62A05">
        <w:t>-</w:t>
      </w:r>
      <w:r w:rsidR="009053A2">
        <w:t xml:space="preserve">quellen beeinflussen </w:t>
      </w:r>
      <w:r w:rsidR="005C430E">
        <w:t>zudem</w:t>
      </w:r>
      <w:r w:rsidR="009053A2">
        <w:t xml:space="preserve"> die Nutzung alternativer </w:t>
      </w:r>
      <w:r w:rsidR="0075717B">
        <w:t>Finanzierungsformen</w:t>
      </w:r>
      <w:r w:rsidR="009053A2">
        <w:t>.</w:t>
      </w:r>
      <w:r w:rsidR="009053A2">
        <w:rPr>
          <w:rStyle w:val="Funotenzeichen"/>
        </w:rPr>
        <w:footnoteReference w:id="81"/>
      </w:r>
      <w:r w:rsidR="009053A2">
        <w:t xml:space="preserve"> </w:t>
      </w:r>
      <w:r w:rsidR="001B4A51" w:rsidRPr="00942352">
        <w:rPr>
          <w:i/>
          <w:iCs/>
        </w:rPr>
        <w:t>Kapitalposition</w:t>
      </w:r>
      <w:r w:rsidR="001B4A51" w:rsidRPr="001B4A51">
        <w:t xml:space="preserve">, </w:t>
      </w:r>
      <w:r w:rsidR="001B4A51" w:rsidRPr="00942352">
        <w:rPr>
          <w:i/>
          <w:iCs/>
        </w:rPr>
        <w:t>Gewinn</w:t>
      </w:r>
      <w:r w:rsidR="001B4A51" w:rsidRPr="001B4A51">
        <w:t xml:space="preserve"> und </w:t>
      </w:r>
      <w:r w:rsidR="001B4A51" w:rsidRPr="00942352">
        <w:rPr>
          <w:i/>
          <w:iCs/>
        </w:rPr>
        <w:t>erwartete</w:t>
      </w:r>
      <w:r w:rsidR="00AD08E4" w:rsidRPr="00942352">
        <w:rPr>
          <w:i/>
          <w:iCs/>
        </w:rPr>
        <w:t>r</w:t>
      </w:r>
      <w:r w:rsidR="001B4A51" w:rsidRPr="001B4A51">
        <w:t xml:space="preserve"> </w:t>
      </w:r>
      <w:r w:rsidR="001B4A51" w:rsidRPr="00942352">
        <w:rPr>
          <w:i/>
          <w:iCs/>
        </w:rPr>
        <w:t>Umsatz</w:t>
      </w:r>
      <w:r w:rsidR="001B4A51" w:rsidRPr="001B4A51">
        <w:t xml:space="preserve"> </w:t>
      </w:r>
      <w:r w:rsidR="005C430E">
        <w:t xml:space="preserve">werden </w:t>
      </w:r>
      <w:r w:rsidR="001B4A51" w:rsidRPr="001B4A51">
        <w:t>als Kontrollvariablen</w:t>
      </w:r>
      <w:r w:rsidR="00AD08E4">
        <w:t xml:space="preserve"> einbezogen</w:t>
      </w:r>
      <w:r w:rsidR="001B4A51" w:rsidRPr="001B4A51">
        <w:t xml:space="preserve">, da es denkbar ist, dass </w:t>
      </w:r>
      <w:r w:rsidR="00755B07">
        <w:t>diese</w:t>
      </w:r>
      <w:r w:rsidR="001B4A51" w:rsidRPr="001B4A51">
        <w:t xml:space="preserve"> die finanzielle Lage des Unternehmens widerspiegeln und die Anforderungen an die Finanzierungshöhe und -quellen des Unternehmens mit dem Unternehmenswachstum zusammenhängt. Außerdem werden Dummy-Variablen für die </w:t>
      </w:r>
      <w:r w:rsidR="001B4A51" w:rsidRPr="004A772B">
        <w:rPr>
          <w:i/>
          <w:iCs/>
        </w:rPr>
        <w:t>Innovationstätigkeit</w:t>
      </w:r>
      <w:r w:rsidR="001B4A51" w:rsidRPr="001B4A51">
        <w:t xml:space="preserve"> </w:t>
      </w:r>
      <w:r w:rsidR="00626FA7">
        <w:t xml:space="preserve">und </w:t>
      </w:r>
      <w:r w:rsidR="00626FA7" w:rsidRPr="00626FA7">
        <w:rPr>
          <w:i/>
          <w:iCs/>
        </w:rPr>
        <w:t>Branche</w:t>
      </w:r>
      <w:r w:rsidR="00626FA7">
        <w:t xml:space="preserve"> </w:t>
      </w:r>
      <w:r w:rsidR="001B4A51" w:rsidRPr="001B4A51">
        <w:t>vergeben, da Unternehmen mit Forschungstätigkeiten Schwierigkeiten bei der Finanzierung ausgesetzt sind. Dadurch, dass Investitionen in Forschungstätigkeiten keine sicheren Renditen aufgrund von Rivalitäten und Unsicherheiten bezogen auf den Erfolg erzielen</w:t>
      </w:r>
      <w:r w:rsidR="00F154B9">
        <w:t>,</w:t>
      </w:r>
      <w:r w:rsidR="001B4A51" w:rsidRPr="001B4A51">
        <w:t xml:space="preserve"> kommt es zu Unterschieden in internen Ansprüchen und den Ansprüchen der entsprechenden Investoren.</w:t>
      </w:r>
      <w:r w:rsidR="00F154B9">
        <w:rPr>
          <w:rStyle w:val="Funotenzeichen"/>
        </w:rPr>
        <w:footnoteReference w:id="82"/>
      </w:r>
      <w:r w:rsidR="001B4A51" w:rsidRPr="001B4A51">
        <w:t xml:space="preserve"> Dieser Punkt verdeutlicht ebenfalls die möglichen Unterschiede in den Finanzierungsquellen und -anforderungen verschiedener </w:t>
      </w:r>
      <w:r w:rsidR="00D654A2" w:rsidRPr="00626FA7">
        <w:t>Branchen</w:t>
      </w:r>
      <w:r w:rsidR="00371441">
        <w:t xml:space="preserve">, welche auch in </w:t>
      </w:r>
      <w:r w:rsidR="001B4A51" w:rsidRPr="001B4A51">
        <w:t>vorherige</w:t>
      </w:r>
      <w:r w:rsidR="00371441">
        <w:t>r</w:t>
      </w:r>
      <w:r w:rsidR="001B4A51" w:rsidRPr="001B4A51">
        <w:t xml:space="preserve"> Literatur </w:t>
      </w:r>
      <w:r w:rsidR="00371441">
        <w:t>festgestellt wurden</w:t>
      </w:r>
      <w:r w:rsidR="001B4A51" w:rsidRPr="001B4A51">
        <w:t>.</w:t>
      </w:r>
      <w:r w:rsidR="00AF4963">
        <w:rPr>
          <w:rStyle w:val="Funotenzeichen"/>
        </w:rPr>
        <w:footnoteReference w:id="83"/>
      </w:r>
      <w:r w:rsidR="001B4A51" w:rsidRPr="001B4A51">
        <w:t xml:space="preserve"> Da beträchtliche </w:t>
      </w:r>
      <w:r w:rsidR="009D6724">
        <w:t>Abweichungen</w:t>
      </w:r>
      <w:r w:rsidR="001B4A51" w:rsidRPr="001B4A51">
        <w:t xml:space="preserve"> im Finanzierungsverhalten zwischen den </w:t>
      </w:r>
      <w:r w:rsidR="001B4A51" w:rsidRPr="00FF5B0E">
        <w:t>Ländern</w:t>
      </w:r>
      <w:r w:rsidR="001B4A51" w:rsidRPr="001B4A51">
        <w:t xml:space="preserve"> </w:t>
      </w:r>
      <w:r w:rsidR="009468C8">
        <w:t>existieren</w:t>
      </w:r>
      <w:r w:rsidR="001B4A51" w:rsidRPr="001B4A51">
        <w:t>,</w:t>
      </w:r>
      <w:r w:rsidR="009468C8" w:rsidRPr="009468C8">
        <w:rPr>
          <w:rStyle w:val="Funotenzeichen"/>
        </w:rPr>
        <w:t xml:space="preserve"> </w:t>
      </w:r>
      <w:r w:rsidR="009468C8">
        <w:rPr>
          <w:rStyle w:val="Funotenzeichen"/>
        </w:rPr>
        <w:footnoteReference w:id="84"/>
      </w:r>
      <w:r w:rsidR="001B4A51" w:rsidRPr="001B4A51">
        <w:t xml:space="preserve"> werden ebenfalls Dummy-Variablen </w:t>
      </w:r>
      <w:r w:rsidR="009468C8">
        <w:t xml:space="preserve">für jedes einzelne </w:t>
      </w:r>
      <w:r w:rsidR="009468C8" w:rsidRPr="00FF5B0E">
        <w:rPr>
          <w:i/>
          <w:iCs/>
        </w:rPr>
        <w:t>Land</w:t>
      </w:r>
      <w:r w:rsidR="001B4A51" w:rsidRPr="001B4A51">
        <w:t xml:space="preserve"> verwendet. </w:t>
      </w:r>
      <w:r w:rsidR="00075E2B">
        <w:br w:type="page"/>
      </w:r>
    </w:p>
    <w:p w14:paraId="5BE13CB8" w14:textId="08AC04DB" w:rsidR="006F3625" w:rsidRDefault="006F3625" w:rsidP="006F3625">
      <w:pPr>
        <w:pStyle w:val="Beschriftung"/>
        <w:keepNext/>
        <w:spacing w:after="0"/>
        <w:ind w:left="1418" w:hanging="1418"/>
        <w:rPr>
          <w:i w:val="0"/>
          <w:iCs w:val="0"/>
          <w:color w:val="auto"/>
          <w:sz w:val="24"/>
          <w:szCs w:val="22"/>
        </w:rPr>
      </w:pPr>
      <w:bookmarkStart w:id="39" w:name="_Toc88423391"/>
      <w:r w:rsidRPr="006F3625">
        <w:rPr>
          <w:b/>
          <w:bCs/>
          <w:i w:val="0"/>
          <w:iCs w:val="0"/>
          <w:color w:val="auto"/>
          <w:sz w:val="24"/>
          <w:szCs w:val="22"/>
        </w:rPr>
        <w:lastRenderedPageBreak/>
        <w:t xml:space="preserve">Tabelle </w:t>
      </w:r>
      <w:r w:rsidRPr="006F3625">
        <w:rPr>
          <w:b/>
          <w:bCs/>
          <w:i w:val="0"/>
          <w:iCs w:val="0"/>
          <w:color w:val="auto"/>
          <w:sz w:val="24"/>
          <w:szCs w:val="22"/>
        </w:rPr>
        <w:fldChar w:fldCharType="begin"/>
      </w:r>
      <w:r w:rsidRPr="006F3625">
        <w:rPr>
          <w:b/>
          <w:bCs/>
          <w:i w:val="0"/>
          <w:iCs w:val="0"/>
          <w:color w:val="auto"/>
          <w:sz w:val="24"/>
          <w:szCs w:val="22"/>
        </w:rPr>
        <w:instrText xml:space="preserve"> SEQ Tabelle \* ARABIC </w:instrText>
      </w:r>
      <w:r w:rsidRPr="006F3625">
        <w:rPr>
          <w:b/>
          <w:bCs/>
          <w:i w:val="0"/>
          <w:iCs w:val="0"/>
          <w:color w:val="auto"/>
          <w:sz w:val="24"/>
          <w:szCs w:val="22"/>
        </w:rPr>
        <w:fldChar w:fldCharType="separate"/>
      </w:r>
      <w:r w:rsidR="00285390">
        <w:rPr>
          <w:b/>
          <w:bCs/>
          <w:i w:val="0"/>
          <w:iCs w:val="0"/>
          <w:noProof/>
          <w:color w:val="auto"/>
          <w:sz w:val="24"/>
          <w:szCs w:val="22"/>
        </w:rPr>
        <w:t>4</w:t>
      </w:r>
      <w:r w:rsidRPr="006F3625">
        <w:rPr>
          <w:b/>
          <w:bCs/>
          <w:i w:val="0"/>
          <w:iCs w:val="0"/>
          <w:color w:val="auto"/>
          <w:sz w:val="24"/>
          <w:szCs w:val="22"/>
        </w:rPr>
        <w:fldChar w:fldCharType="end"/>
      </w:r>
      <w:r w:rsidRPr="006F3625">
        <w:rPr>
          <w:b/>
          <w:bCs/>
          <w:i w:val="0"/>
          <w:iCs w:val="0"/>
          <w:color w:val="auto"/>
          <w:sz w:val="24"/>
          <w:szCs w:val="22"/>
        </w:rPr>
        <w:t>:</w:t>
      </w:r>
      <w:r w:rsidRPr="006F3625">
        <w:rPr>
          <w:i w:val="0"/>
          <w:iCs w:val="0"/>
          <w:color w:val="auto"/>
          <w:sz w:val="24"/>
          <w:szCs w:val="22"/>
        </w:rPr>
        <w:t xml:space="preserve"> </w:t>
      </w:r>
      <w:r>
        <w:rPr>
          <w:i w:val="0"/>
          <w:iCs w:val="0"/>
          <w:color w:val="auto"/>
          <w:sz w:val="24"/>
          <w:szCs w:val="22"/>
        </w:rPr>
        <w:tab/>
      </w:r>
      <w:r w:rsidRPr="00393FD7">
        <w:rPr>
          <w:i w:val="0"/>
          <w:iCs w:val="0"/>
          <w:color w:val="auto"/>
          <w:sz w:val="24"/>
          <w:szCs w:val="22"/>
        </w:rPr>
        <w:t>Beschreibung der Regressionsvariablen</w:t>
      </w:r>
      <w:bookmarkEnd w:id="39"/>
    </w:p>
    <w:p w14:paraId="318E37BA" w14:textId="14556715" w:rsidR="006F3625" w:rsidRDefault="006F3625" w:rsidP="006F3625">
      <w:pPr>
        <w:spacing w:after="0"/>
      </w:pPr>
      <w:r w:rsidRPr="001A0BAE">
        <w:tab/>
      </w:r>
      <w:r w:rsidRPr="001A0BAE">
        <w:tab/>
        <w:t>eigene Darstellung</w:t>
      </w:r>
      <w:r w:rsidR="00702521">
        <w:t xml:space="preserve"> nach Masiak et al. (2019), S. 310.</w:t>
      </w:r>
    </w:p>
    <w:tbl>
      <w:tblPr>
        <w:tblW w:w="4970" w:type="pct"/>
        <w:jc w:val="center"/>
        <w:tblLayout w:type="fixed"/>
        <w:tblLook w:val="04A0" w:firstRow="1" w:lastRow="0" w:firstColumn="1" w:lastColumn="0" w:noHBand="0" w:noVBand="1"/>
      </w:tblPr>
      <w:tblGrid>
        <w:gridCol w:w="2918"/>
        <w:gridCol w:w="5750"/>
      </w:tblGrid>
      <w:tr w:rsidR="00075E2B" w:rsidRPr="00CF3B2D" w14:paraId="3700C992" w14:textId="77777777" w:rsidTr="005E2C4F">
        <w:trPr>
          <w:trHeight w:val="20"/>
          <w:jc w:val="center"/>
        </w:trPr>
        <w:tc>
          <w:tcPr>
            <w:tcW w:w="1683" w:type="pct"/>
            <w:tcBorders>
              <w:top w:val="single" w:sz="8" w:space="0" w:color="auto"/>
              <w:left w:val="nil"/>
              <w:bottom w:val="single" w:sz="6" w:space="0" w:color="auto"/>
              <w:right w:val="nil"/>
            </w:tcBorders>
            <w:shd w:val="clear" w:color="000000" w:fill="FFFFFF"/>
            <w:noWrap/>
            <w:vAlign w:val="bottom"/>
            <w:hideMark/>
          </w:tcPr>
          <w:p w14:paraId="4962D6B8" w14:textId="77777777" w:rsidR="00075E2B" w:rsidRPr="002D11BF" w:rsidRDefault="00075E2B" w:rsidP="005E2C4F">
            <w:pPr>
              <w:snapToGrid w:val="0"/>
              <w:spacing w:before="60" w:after="60" w:line="240" w:lineRule="auto"/>
              <w:jc w:val="left"/>
              <w:rPr>
                <w:b/>
                <w:bCs/>
                <w:color w:val="000000"/>
                <w:sz w:val="16"/>
                <w:szCs w:val="16"/>
              </w:rPr>
            </w:pPr>
            <w:r w:rsidRPr="002D11BF">
              <w:rPr>
                <w:b/>
                <w:bCs/>
                <w:color w:val="000000"/>
                <w:sz w:val="16"/>
                <w:szCs w:val="16"/>
              </w:rPr>
              <w:t>Variable</w:t>
            </w:r>
          </w:p>
        </w:tc>
        <w:tc>
          <w:tcPr>
            <w:tcW w:w="3317" w:type="pct"/>
            <w:tcBorders>
              <w:top w:val="single" w:sz="8" w:space="0" w:color="auto"/>
              <w:left w:val="nil"/>
              <w:bottom w:val="single" w:sz="6" w:space="0" w:color="auto"/>
              <w:right w:val="nil"/>
            </w:tcBorders>
            <w:shd w:val="clear" w:color="000000" w:fill="FFFFFF"/>
            <w:noWrap/>
            <w:vAlign w:val="bottom"/>
            <w:hideMark/>
          </w:tcPr>
          <w:p w14:paraId="6FD41A45" w14:textId="77777777" w:rsidR="00075E2B" w:rsidRPr="002D11BF" w:rsidRDefault="00075E2B" w:rsidP="005E2C4F">
            <w:pPr>
              <w:snapToGrid w:val="0"/>
              <w:spacing w:before="60" w:after="60" w:line="240" w:lineRule="auto"/>
              <w:jc w:val="left"/>
              <w:rPr>
                <w:b/>
                <w:bCs/>
                <w:color w:val="000000"/>
                <w:sz w:val="16"/>
                <w:szCs w:val="16"/>
              </w:rPr>
            </w:pPr>
            <w:r w:rsidRPr="002D11BF">
              <w:rPr>
                <w:b/>
                <w:bCs/>
                <w:color w:val="000000"/>
                <w:sz w:val="16"/>
                <w:szCs w:val="16"/>
              </w:rPr>
              <w:t>Beschreibung</w:t>
            </w:r>
            <w:r>
              <w:rPr>
                <w:b/>
                <w:bCs/>
                <w:color w:val="000000"/>
                <w:sz w:val="16"/>
                <w:szCs w:val="16"/>
              </w:rPr>
              <w:t xml:space="preserve"> der binären Variablen</w:t>
            </w:r>
          </w:p>
        </w:tc>
      </w:tr>
      <w:tr w:rsidR="00075E2B" w:rsidRPr="00FC4EB7" w14:paraId="21C5BCA7" w14:textId="77777777" w:rsidTr="005E2C4F">
        <w:trPr>
          <w:trHeight w:val="20"/>
          <w:jc w:val="center"/>
        </w:trPr>
        <w:tc>
          <w:tcPr>
            <w:tcW w:w="1683" w:type="pct"/>
            <w:tcBorders>
              <w:top w:val="nil"/>
              <w:left w:val="nil"/>
              <w:right w:val="nil"/>
            </w:tcBorders>
            <w:shd w:val="clear" w:color="000000" w:fill="FFFFFF"/>
          </w:tcPr>
          <w:p w14:paraId="3441AD4C" w14:textId="77777777" w:rsidR="00075E2B" w:rsidRPr="00FC4EB7" w:rsidRDefault="00075E2B" w:rsidP="005E2C4F">
            <w:pPr>
              <w:snapToGrid w:val="0"/>
              <w:spacing w:before="60" w:after="60" w:line="240" w:lineRule="auto"/>
              <w:jc w:val="left"/>
              <w:rPr>
                <w:color w:val="000000"/>
                <w:sz w:val="16"/>
                <w:szCs w:val="16"/>
              </w:rPr>
            </w:pPr>
            <w:r>
              <w:rPr>
                <w:i/>
                <w:iCs/>
                <w:color w:val="000000"/>
                <w:sz w:val="16"/>
                <w:szCs w:val="16"/>
              </w:rPr>
              <w:t>Unabhängige Variablen</w:t>
            </w:r>
          </w:p>
        </w:tc>
        <w:tc>
          <w:tcPr>
            <w:tcW w:w="3317" w:type="pct"/>
            <w:tcBorders>
              <w:top w:val="nil"/>
              <w:left w:val="nil"/>
              <w:right w:val="nil"/>
            </w:tcBorders>
            <w:shd w:val="clear" w:color="000000" w:fill="FFFFFF"/>
          </w:tcPr>
          <w:p w14:paraId="56A20C7B" w14:textId="77777777" w:rsidR="00075E2B" w:rsidRPr="00FC4EB7" w:rsidRDefault="00075E2B" w:rsidP="005E2C4F">
            <w:pPr>
              <w:snapToGrid w:val="0"/>
              <w:spacing w:before="60" w:after="60" w:line="240" w:lineRule="auto"/>
              <w:jc w:val="left"/>
              <w:rPr>
                <w:color w:val="000000"/>
                <w:sz w:val="16"/>
                <w:szCs w:val="16"/>
              </w:rPr>
            </w:pPr>
          </w:p>
        </w:tc>
      </w:tr>
      <w:tr w:rsidR="00075E2B" w:rsidRPr="00FC4EB7" w14:paraId="70010381" w14:textId="77777777" w:rsidTr="005E2C4F">
        <w:trPr>
          <w:trHeight w:val="20"/>
          <w:jc w:val="center"/>
        </w:trPr>
        <w:tc>
          <w:tcPr>
            <w:tcW w:w="1683" w:type="pct"/>
            <w:tcBorders>
              <w:top w:val="nil"/>
              <w:left w:val="nil"/>
            </w:tcBorders>
            <w:shd w:val="clear" w:color="000000" w:fill="FFFFFF"/>
          </w:tcPr>
          <w:p w14:paraId="39E310B6" w14:textId="77777777" w:rsidR="00075E2B" w:rsidRPr="00F906E9" w:rsidRDefault="00075E2B" w:rsidP="005E2C4F">
            <w:pPr>
              <w:snapToGrid w:val="0"/>
              <w:spacing w:after="0" w:line="240" w:lineRule="auto"/>
              <w:jc w:val="left"/>
              <w:rPr>
                <w:b/>
                <w:bCs/>
                <w:color w:val="000000"/>
                <w:sz w:val="16"/>
                <w:szCs w:val="16"/>
              </w:rPr>
            </w:pPr>
            <w:r w:rsidRPr="00F906E9">
              <w:rPr>
                <w:b/>
                <w:bCs/>
                <w:color w:val="000000"/>
                <w:sz w:val="16"/>
                <w:szCs w:val="16"/>
              </w:rPr>
              <w:t>Unternehmensgröße</w:t>
            </w:r>
          </w:p>
        </w:tc>
        <w:tc>
          <w:tcPr>
            <w:tcW w:w="3317" w:type="pct"/>
            <w:tcBorders>
              <w:top w:val="nil"/>
              <w:right w:val="nil"/>
            </w:tcBorders>
            <w:shd w:val="clear" w:color="000000" w:fill="FFFFFF"/>
            <w:noWrap/>
          </w:tcPr>
          <w:p w14:paraId="5704D8E1" w14:textId="77777777" w:rsidR="00075E2B" w:rsidRPr="00FC4EB7" w:rsidRDefault="00075E2B" w:rsidP="005E2C4F">
            <w:pPr>
              <w:snapToGrid w:val="0"/>
              <w:spacing w:after="0" w:line="240" w:lineRule="auto"/>
              <w:jc w:val="left"/>
              <w:rPr>
                <w:color w:val="000000"/>
                <w:sz w:val="16"/>
                <w:szCs w:val="16"/>
              </w:rPr>
            </w:pPr>
          </w:p>
        </w:tc>
      </w:tr>
      <w:tr w:rsidR="00075E2B" w:rsidRPr="00FC4EB7" w14:paraId="1F878B04" w14:textId="77777777" w:rsidTr="005E2C4F">
        <w:trPr>
          <w:trHeight w:val="20"/>
          <w:jc w:val="center"/>
        </w:trPr>
        <w:tc>
          <w:tcPr>
            <w:tcW w:w="1683" w:type="pct"/>
            <w:tcBorders>
              <w:top w:val="nil"/>
              <w:left w:val="nil"/>
            </w:tcBorders>
            <w:shd w:val="clear" w:color="000000" w:fill="FFFFFF"/>
          </w:tcPr>
          <w:p w14:paraId="71F06EE9"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sidRPr="00A85CB0">
              <w:rPr>
                <w:color w:val="000000"/>
                <w:sz w:val="16"/>
                <w:szCs w:val="16"/>
              </w:rPr>
              <w:t>Flexible Schuldenfinanzierung</w:t>
            </w:r>
          </w:p>
        </w:tc>
        <w:tc>
          <w:tcPr>
            <w:tcW w:w="3317" w:type="pct"/>
            <w:tcBorders>
              <w:top w:val="nil"/>
              <w:right w:val="nil"/>
            </w:tcBorders>
            <w:shd w:val="clear" w:color="000000" w:fill="FFFFFF"/>
            <w:noWrap/>
          </w:tcPr>
          <w:p w14:paraId="2FDBD502" w14:textId="77777777" w:rsidR="00075E2B" w:rsidRPr="00FC4EB7" w:rsidRDefault="00075E2B" w:rsidP="005E2C4F">
            <w:pPr>
              <w:snapToGrid w:val="0"/>
              <w:spacing w:after="0" w:line="240" w:lineRule="auto"/>
              <w:jc w:val="left"/>
              <w:rPr>
                <w:color w:val="000000"/>
                <w:sz w:val="16"/>
                <w:szCs w:val="16"/>
              </w:rPr>
            </w:pPr>
            <w:r w:rsidRPr="00FC4EB7">
              <w:rPr>
                <w:sz w:val="16"/>
                <w:szCs w:val="16"/>
              </w:rPr>
              <w:t xml:space="preserve">1 = Unternehmen weist das Finanzierungsmuster </w:t>
            </w:r>
            <w:r w:rsidRPr="00042BF8">
              <w:rPr>
                <w:i/>
                <w:iCs/>
                <w:sz w:val="16"/>
                <w:szCs w:val="16"/>
              </w:rPr>
              <w:t>f</w:t>
            </w:r>
            <w:r w:rsidRPr="00A409FB">
              <w:rPr>
                <w:i/>
                <w:iCs/>
                <w:sz w:val="16"/>
                <w:szCs w:val="16"/>
              </w:rPr>
              <w:t>lexible</w:t>
            </w:r>
            <w:r w:rsidRPr="00FC4EB7">
              <w:rPr>
                <w:sz w:val="16"/>
                <w:szCs w:val="16"/>
              </w:rPr>
              <w:t xml:space="preserve"> </w:t>
            </w:r>
            <w:r w:rsidRPr="00FC4EB7">
              <w:rPr>
                <w:i/>
                <w:iCs/>
                <w:sz w:val="16"/>
                <w:szCs w:val="16"/>
              </w:rPr>
              <w:t>Schuldenfinanzierung</w:t>
            </w:r>
            <w:r w:rsidRPr="00FC4EB7">
              <w:rPr>
                <w:sz w:val="16"/>
                <w:szCs w:val="16"/>
              </w:rPr>
              <w:t xml:space="preserve"> auf; 0 = andernfalls</w:t>
            </w:r>
          </w:p>
        </w:tc>
      </w:tr>
      <w:tr w:rsidR="00075E2B" w:rsidRPr="00FC4EB7" w14:paraId="75F592C2" w14:textId="77777777" w:rsidTr="005E2C4F">
        <w:trPr>
          <w:trHeight w:val="20"/>
          <w:jc w:val="center"/>
        </w:trPr>
        <w:tc>
          <w:tcPr>
            <w:tcW w:w="1683" w:type="pct"/>
            <w:tcBorders>
              <w:top w:val="nil"/>
              <w:left w:val="nil"/>
            </w:tcBorders>
            <w:shd w:val="clear" w:color="000000" w:fill="FFFFFF"/>
          </w:tcPr>
          <w:p w14:paraId="2DECD166"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sidRPr="00A85CB0">
              <w:rPr>
                <w:color w:val="000000"/>
                <w:sz w:val="16"/>
                <w:szCs w:val="16"/>
              </w:rPr>
              <w:t>Darlehensfinanzierung</w:t>
            </w:r>
          </w:p>
        </w:tc>
        <w:tc>
          <w:tcPr>
            <w:tcW w:w="3317" w:type="pct"/>
            <w:tcBorders>
              <w:top w:val="nil"/>
              <w:right w:val="nil"/>
            </w:tcBorders>
            <w:shd w:val="clear" w:color="000000" w:fill="FFFFFF"/>
            <w:noWrap/>
          </w:tcPr>
          <w:p w14:paraId="712A11B0" w14:textId="77777777" w:rsidR="00075E2B" w:rsidRPr="00FC4EB7" w:rsidRDefault="00075E2B" w:rsidP="005E2C4F">
            <w:pPr>
              <w:snapToGrid w:val="0"/>
              <w:spacing w:after="0" w:line="240" w:lineRule="auto"/>
              <w:jc w:val="left"/>
              <w:rPr>
                <w:color w:val="000000"/>
                <w:sz w:val="16"/>
                <w:szCs w:val="16"/>
              </w:rPr>
            </w:pPr>
            <w:r w:rsidRPr="00FC4EB7">
              <w:rPr>
                <w:sz w:val="16"/>
                <w:szCs w:val="16"/>
              </w:rPr>
              <w:t xml:space="preserve">1 = Unternehmen weist das Finanzierungsmuster </w:t>
            </w:r>
            <w:r w:rsidRPr="00FC4EB7">
              <w:rPr>
                <w:i/>
                <w:iCs/>
                <w:sz w:val="16"/>
                <w:szCs w:val="16"/>
              </w:rPr>
              <w:t>Darlehensfinanzierung</w:t>
            </w:r>
            <w:r w:rsidRPr="00FC4EB7">
              <w:rPr>
                <w:sz w:val="16"/>
                <w:szCs w:val="16"/>
              </w:rPr>
              <w:t xml:space="preserve"> auf; 0 = andernfalls</w:t>
            </w:r>
          </w:p>
        </w:tc>
      </w:tr>
      <w:tr w:rsidR="00075E2B" w:rsidRPr="00FC4EB7" w14:paraId="52D45029" w14:textId="77777777" w:rsidTr="005E2C4F">
        <w:trPr>
          <w:trHeight w:val="20"/>
          <w:jc w:val="center"/>
        </w:trPr>
        <w:tc>
          <w:tcPr>
            <w:tcW w:w="1683" w:type="pct"/>
            <w:tcBorders>
              <w:left w:val="nil"/>
            </w:tcBorders>
            <w:shd w:val="clear" w:color="000000" w:fill="FFFFFF"/>
          </w:tcPr>
          <w:p w14:paraId="690C0633"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sidRPr="00A85CB0">
              <w:rPr>
                <w:color w:val="000000"/>
                <w:sz w:val="16"/>
                <w:szCs w:val="16"/>
              </w:rPr>
              <w:t>Finanzierung durch Lieferantenkredite</w:t>
            </w:r>
          </w:p>
        </w:tc>
        <w:tc>
          <w:tcPr>
            <w:tcW w:w="3317" w:type="pct"/>
            <w:tcBorders>
              <w:right w:val="nil"/>
            </w:tcBorders>
            <w:shd w:val="clear" w:color="000000" w:fill="FFFFFF"/>
            <w:noWrap/>
          </w:tcPr>
          <w:p w14:paraId="0D56B7C2" w14:textId="77777777" w:rsidR="00075E2B" w:rsidRPr="00FC4EB7" w:rsidRDefault="00075E2B" w:rsidP="005E2C4F">
            <w:pPr>
              <w:snapToGrid w:val="0"/>
              <w:spacing w:after="0" w:line="240" w:lineRule="auto"/>
              <w:jc w:val="left"/>
              <w:rPr>
                <w:color w:val="000000"/>
                <w:sz w:val="16"/>
                <w:szCs w:val="16"/>
              </w:rPr>
            </w:pPr>
            <w:r w:rsidRPr="00FC4EB7">
              <w:rPr>
                <w:sz w:val="16"/>
                <w:szCs w:val="16"/>
              </w:rPr>
              <w:t xml:space="preserve">1 = Unternehmen weist das Finanzierungsmuster </w:t>
            </w:r>
            <w:r w:rsidRPr="00042BF8">
              <w:rPr>
                <w:i/>
                <w:iCs/>
                <w:sz w:val="16"/>
                <w:szCs w:val="16"/>
              </w:rPr>
              <w:t>Finanzierung durch Lieferantenkredite</w:t>
            </w:r>
            <w:r w:rsidRPr="00FC4EB7">
              <w:rPr>
                <w:sz w:val="16"/>
                <w:szCs w:val="16"/>
              </w:rPr>
              <w:t xml:space="preserve"> auf; 0 = andernfalls</w:t>
            </w:r>
          </w:p>
        </w:tc>
      </w:tr>
      <w:tr w:rsidR="00075E2B" w:rsidRPr="00FC4EB7" w14:paraId="5DB0B987" w14:textId="77777777" w:rsidTr="005E2C4F">
        <w:trPr>
          <w:trHeight w:val="20"/>
          <w:jc w:val="center"/>
        </w:trPr>
        <w:tc>
          <w:tcPr>
            <w:tcW w:w="1683" w:type="pct"/>
            <w:tcBorders>
              <w:left w:val="nil"/>
            </w:tcBorders>
            <w:shd w:val="clear" w:color="000000" w:fill="FFFFFF"/>
          </w:tcPr>
          <w:p w14:paraId="3614280F"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sidRPr="00A85CB0">
              <w:rPr>
                <w:color w:val="000000"/>
                <w:sz w:val="16"/>
                <w:szCs w:val="16"/>
              </w:rPr>
              <w:t>Staatlich subventionierte Finanzierung</w:t>
            </w:r>
          </w:p>
        </w:tc>
        <w:tc>
          <w:tcPr>
            <w:tcW w:w="3317" w:type="pct"/>
            <w:tcBorders>
              <w:right w:val="nil"/>
            </w:tcBorders>
            <w:shd w:val="clear" w:color="000000" w:fill="FFFFFF"/>
            <w:noWrap/>
          </w:tcPr>
          <w:p w14:paraId="3E51A842" w14:textId="77777777" w:rsidR="00075E2B" w:rsidRPr="00FC4EB7" w:rsidRDefault="00075E2B" w:rsidP="005E2C4F">
            <w:pPr>
              <w:snapToGrid w:val="0"/>
              <w:spacing w:after="0" w:line="240" w:lineRule="auto"/>
              <w:jc w:val="left"/>
              <w:rPr>
                <w:color w:val="000000"/>
                <w:sz w:val="16"/>
                <w:szCs w:val="16"/>
              </w:rPr>
            </w:pPr>
            <w:r w:rsidRPr="00FC4EB7">
              <w:rPr>
                <w:sz w:val="16"/>
                <w:szCs w:val="16"/>
              </w:rPr>
              <w:t xml:space="preserve">1 = Unternehmen weist das Finanzierungsmuster </w:t>
            </w:r>
            <w:r>
              <w:rPr>
                <w:sz w:val="16"/>
                <w:szCs w:val="16"/>
              </w:rPr>
              <w:t>s</w:t>
            </w:r>
            <w:r w:rsidRPr="00FC4EB7">
              <w:rPr>
                <w:i/>
                <w:iCs/>
                <w:sz w:val="16"/>
                <w:szCs w:val="16"/>
              </w:rPr>
              <w:t>taatlich subventionierte Finanzierung</w:t>
            </w:r>
            <w:r w:rsidRPr="00FC4EB7">
              <w:rPr>
                <w:sz w:val="16"/>
                <w:szCs w:val="16"/>
              </w:rPr>
              <w:t xml:space="preserve"> auf; 0 = andernfalls</w:t>
            </w:r>
          </w:p>
        </w:tc>
      </w:tr>
      <w:tr w:rsidR="00075E2B" w:rsidRPr="00FC4EB7" w14:paraId="7F8BFF6D" w14:textId="77777777" w:rsidTr="005E2C4F">
        <w:trPr>
          <w:trHeight w:val="20"/>
          <w:jc w:val="center"/>
        </w:trPr>
        <w:tc>
          <w:tcPr>
            <w:tcW w:w="1683" w:type="pct"/>
            <w:tcBorders>
              <w:top w:val="nil"/>
              <w:left w:val="nil"/>
            </w:tcBorders>
            <w:shd w:val="clear" w:color="000000" w:fill="FFFFFF"/>
          </w:tcPr>
          <w:p w14:paraId="5FCA49CE"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sidRPr="00A85CB0">
              <w:rPr>
                <w:color w:val="000000"/>
                <w:sz w:val="16"/>
                <w:szCs w:val="16"/>
              </w:rPr>
              <w:t>Asset-basierte Finanzierung</w:t>
            </w:r>
          </w:p>
        </w:tc>
        <w:tc>
          <w:tcPr>
            <w:tcW w:w="3317" w:type="pct"/>
            <w:tcBorders>
              <w:top w:val="nil"/>
              <w:right w:val="nil"/>
            </w:tcBorders>
            <w:shd w:val="clear" w:color="000000" w:fill="FFFFFF"/>
            <w:noWrap/>
          </w:tcPr>
          <w:p w14:paraId="6E7E54E6" w14:textId="77777777" w:rsidR="00075E2B" w:rsidRPr="00FC4EB7" w:rsidRDefault="00075E2B" w:rsidP="005E2C4F">
            <w:pPr>
              <w:snapToGrid w:val="0"/>
              <w:spacing w:after="0" w:line="240" w:lineRule="auto"/>
              <w:jc w:val="left"/>
              <w:rPr>
                <w:color w:val="000000"/>
                <w:sz w:val="16"/>
                <w:szCs w:val="16"/>
              </w:rPr>
            </w:pPr>
            <w:r w:rsidRPr="00FC4EB7">
              <w:rPr>
                <w:sz w:val="16"/>
                <w:szCs w:val="16"/>
              </w:rPr>
              <w:t xml:space="preserve">1 = Unternehmen weist das Finanzierungsmuster </w:t>
            </w:r>
            <w:r w:rsidRPr="00FC4EB7">
              <w:rPr>
                <w:i/>
                <w:iCs/>
                <w:sz w:val="16"/>
                <w:szCs w:val="16"/>
              </w:rPr>
              <w:t>Asset-basierte Finanzierung</w:t>
            </w:r>
            <w:r w:rsidRPr="00FC4EB7">
              <w:rPr>
                <w:sz w:val="16"/>
                <w:szCs w:val="16"/>
              </w:rPr>
              <w:t xml:space="preserve"> auf; 0 = andernfalls</w:t>
            </w:r>
          </w:p>
        </w:tc>
      </w:tr>
      <w:tr w:rsidR="00075E2B" w:rsidRPr="00FC4EB7" w14:paraId="6B1CF031" w14:textId="77777777" w:rsidTr="005E2C4F">
        <w:trPr>
          <w:trHeight w:val="20"/>
          <w:jc w:val="center"/>
        </w:trPr>
        <w:tc>
          <w:tcPr>
            <w:tcW w:w="1683" w:type="pct"/>
            <w:tcBorders>
              <w:left w:val="nil"/>
              <w:bottom w:val="dotted" w:sz="4" w:space="0" w:color="auto"/>
            </w:tcBorders>
            <w:shd w:val="clear" w:color="000000" w:fill="FFFFFF"/>
          </w:tcPr>
          <w:p w14:paraId="38D2ECD0"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sidRPr="00A85CB0">
              <w:rPr>
                <w:color w:val="000000"/>
                <w:sz w:val="16"/>
                <w:szCs w:val="16"/>
              </w:rPr>
              <w:t>Innenfinanzierung</w:t>
            </w:r>
          </w:p>
        </w:tc>
        <w:tc>
          <w:tcPr>
            <w:tcW w:w="3317" w:type="pct"/>
            <w:tcBorders>
              <w:bottom w:val="dotted" w:sz="4" w:space="0" w:color="auto"/>
              <w:right w:val="nil"/>
            </w:tcBorders>
            <w:shd w:val="clear" w:color="000000" w:fill="FFFFFF"/>
            <w:noWrap/>
          </w:tcPr>
          <w:p w14:paraId="0ED3B6EA" w14:textId="77777777" w:rsidR="00075E2B" w:rsidRPr="00FC4EB7" w:rsidRDefault="00075E2B" w:rsidP="005E2C4F">
            <w:pPr>
              <w:snapToGrid w:val="0"/>
              <w:spacing w:after="60" w:line="240" w:lineRule="auto"/>
              <w:jc w:val="left"/>
              <w:rPr>
                <w:color w:val="000000"/>
                <w:sz w:val="16"/>
                <w:szCs w:val="16"/>
              </w:rPr>
            </w:pPr>
            <w:r w:rsidRPr="00FC4EB7">
              <w:rPr>
                <w:sz w:val="16"/>
                <w:szCs w:val="16"/>
              </w:rPr>
              <w:t xml:space="preserve">1 = Unternehmen weist das Finanzierungsmuster </w:t>
            </w:r>
            <w:r w:rsidRPr="00FC4EB7">
              <w:rPr>
                <w:i/>
                <w:iCs/>
                <w:sz w:val="16"/>
                <w:szCs w:val="16"/>
              </w:rPr>
              <w:t>Innenfinanzierung</w:t>
            </w:r>
            <w:r w:rsidRPr="00FC4EB7">
              <w:rPr>
                <w:sz w:val="16"/>
                <w:szCs w:val="16"/>
              </w:rPr>
              <w:t xml:space="preserve"> auf; 0 = andernfalls</w:t>
            </w:r>
          </w:p>
        </w:tc>
      </w:tr>
      <w:tr w:rsidR="00075E2B" w:rsidRPr="00FC4EB7" w14:paraId="5672BCFF" w14:textId="77777777" w:rsidTr="005E2C4F">
        <w:trPr>
          <w:trHeight w:val="20"/>
          <w:jc w:val="center"/>
        </w:trPr>
        <w:tc>
          <w:tcPr>
            <w:tcW w:w="1683" w:type="pct"/>
            <w:tcBorders>
              <w:top w:val="nil"/>
              <w:left w:val="nil"/>
              <w:right w:val="nil"/>
            </w:tcBorders>
            <w:shd w:val="clear" w:color="000000" w:fill="FFFFFF"/>
          </w:tcPr>
          <w:p w14:paraId="5037890D" w14:textId="77777777" w:rsidR="00075E2B" w:rsidRPr="00FC4EB7" w:rsidRDefault="00075E2B" w:rsidP="005E2C4F">
            <w:pPr>
              <w:snapToGrid w:val="0"/>
              <w:spacing w:before="60" w:after="60" w:line="240" w:lineRule="auto"/>
              <w:jc w:val="left"/>
              <w:rPr>
                <w:color w:val="000000"/>
                <w:sz w:val="16"/>
                <w:szCs w:val="16"/>
              </w:rPr>
            </w:pPr>
            <w:r>
              <w:rPr>
                <w:i/>
                <w:iCs/>
                <w:color w:val="000000"/>
                <w:sz w:val="16"/>
                <w:szCs w:val="16"/>
              </w:rPr>
              <w:t>Unabhängige Variablen</w:t>
            </w:r>
          </w:p>
        </w:tc>
        <w:tc>
          <w:tcPr>
            <w:tcW w:w="3317" w:type="pct"/>
            <w:tcBorders>
              <w:top w:val="nil"/>
              <w:left w:val="nil"/>
              <w:right w:val="nil"/>
            </w:tcBorders>
            <w:shd w:val="clear" w:color="000000" w:fill="FFFFFF"/>
          </w:tcPr>
          <w:p w14:paraId="7D919E4C" w14:textId="77777777" w:rsidR="00075E2B" w:rsidRPr="00FC4EB7" w:rsidRDefault="00075E2B" w:rsidP="005E2C4F">
            <w:pPr>
              <w:snapToGrid w:val="0"/>
              <w:spacing w:before="60" w:after="60" w:line="240" w:lineRule="auto"/>
              <w:jc w:val="left"/>
              <w:rPr>
                <w:color w:val="000000"/>
                <w:sz w:val="16"/>
                <w:szCs w:val="16"/>
              </w:rPr>
            </w:pPr>
          </w:p>
        </w:tc>
      </w:tr>
      <w:tr w:rsidR="00075E2B" w:rsidRPr="00FC4EB7" w14:paraId="168C19FE" w14:textId="77777777" w:rsidTr="005E2C4F">
        <w:trPr>
          <w:trHeight w:val="20"/>
          <w:jc w:val="center"/>
        </w:trPr>
        <w:tc>
          <w:tcPr>
            <w:tcW w:w="1683" w:type="pct"/>
            <w:tcBorders>
              <w:top w:val="nil"/>
              <w:left w:val="nil"/>
            </w:tcBorders>
            <w:shd w:val="clear" w:color="000000" w:fill="FFFFFF"/>
          </w:tcPr>
          <w:p w14:paraId="0AC9785A" w14:textId="77777777" w:rsidR="00075E2B" w:rsidRPr="00F906E9" w:rsidRDefault="00075E2B" w:rsidP="005E2C4F">
            <w:pPr>
              <w:snapToGrid w:val="0"/>
              <w:spacing w:after="0" w:line="240" w:lineRule="auto"/>
              <w:jc w:val="left"/>
              <w:rPr>
                <w:b/>
                <w:bCs/>
                <w:color w:val="000000"/>
                <w:sz w:val="16"/>
                <w:szCs w:val="16"/>
              </w:rPr>
            </w:pPr>
            <w:r w:rsidRPr="00F906E9">
              <w:rPr>
                <w:b/>
                <w:bCs/>
                <w:color w:val="000000"/>
                <w:sz w:val="16"/>
                <w:szCs w:val="16"/>
              </w:rPr>
              <w:t>Unternehmensgröße</w:t>
            </w:r>
          </w:p>
        </w:tc>
        <w:tc>
          <w:tcPr>
            <w:tcW w:w="3317" w:type="pct"/>
            <w:tcBorders>
              <w:top w:val="nil"/>
              <w:right w:val="nil"/>
            </w:tcBorders>
            <w:shd w:val="clear" w:color="000000" w:fill="FFFFFF"/>
            <w:noWrap/>
          </w:tcPr>
          <w:p w14:paraId="6E1AD5E1" w14:textId="77777777" w:rsidR="00075E2B" w:rsidRPr="00FC4EB7" w:rsidRDefault="00075E2B" w:rsidP="005E2C4F">
            <w:pPr>
              <w:snapToGrid w:val="0"/>
              <w:spacing w:after="0" w:line="240" w:lineRule="auto"/>
              <w:jc w:val="left"/>
              <w:rPr>
                <w:color w:val="000000"/>
                <w:sz w:val="16"/>
                <w:szCs w:val="16"/>
              </w:rPr>
            </w:pPr>
          </w:p>
        </w:tc>
      </w:tr>
      <w:tr w:rsidR="00075E2B" w:rsidRPr="00FC4EB7" w14:paraId="317BCD0A" w14:textId="77777777" w:rsidTr="005E2C4F">
        <w:trPr>
          <w:trHeight w:val="20"/>
          <w:jc w:val="center"/>
        </w:trPr>
        <w:tc>
          <w:tcPr>
            <w:tcW w:w="1683" w:type="pct"/>
            <w:tcBorders>
              <w:top w:val="nil"/>
              <w:left w:val="nil"/>
            </w:tcBorders>
            <w:shd w:val="clear" w:color="000000" w:fill="FFFFFF"/>
          </w:tcPr>
          <w:p w14:paraId="17CDE57D" w14:textId="03F513F3" w:rsidR="00075E2B" w:rsidRPr="00FC4EB7" w:rsidRDefault="005572F3" w:rsidP="001A4E15">
            <w:pPr>
              <w:pStyle w:val="Listenabsatz"/>
              <w:numPr>
                <w:ilvl w:val="0"/>
                <w:numId w:val="10"/>
              </w:numPr>
              <w:snapToGrid w:val="0"/>
              <w:spacing w:after="0" w:line="240" w:lineRule="auto"/>
              <w:ind w:left="142" w:hanging="142"/>
              <w:jc w:val="left"/>
              <w:rPr>
                <w:color w:val="000000"/>
                <w:sz w:val="16"/>
                <w:szCs w:val="16"/>
              </w:rPr>
            </w:pPr>
            <w:r w:rsidRPr="00FC4EB7">
              <w:rPr>
                <w:color w:val="000000"/>
                <w:sz w:val="16"/>
                <w:szCs w:val="16"/>
              </w:rPr>
              <w:t>Kleinstunternehmen</w:t>
            </w:r>
          </w:p>
        </w:tc>
        <w:tc>
          <w:tcPr>
            <w:tcW w:w="3317" w:type="pct"/>
            <w:tcBorders>
              <w:top w:val="nil"/>
              <w:right w:val="nil"/>
            </w:tcBorders>
            <w:shd w:val="clear" w:color="000000" w:fill="FFFFFF"/>
            <w:noWrap/>
          </w:tcPr>
          <w:p w14:paraId="50E9B970" w14:textId="77777777" w:rsidR="00075E2B" w:rsidRPr="00FC4EB7" w:rsidRDefault="00075E2B" w:rsidP="005E2C4F">
            <w:pPr>
              <w:snapToGrid w:val="0"/>
              <w:spacing w:after="0" w:line="240" w:lineRule="auto"/>
              <w:jc w:val="left"/>
              <w:rPr>
                <w:color w:val="000000"/>
                <w:sz w:val="16"/>
                <w:szCs w:val="16"/>
              </w:rPr>
            </w:pPr>
            <w:r w:rsidRPr="00FC4EB7">
              <w:rPr>
                <w:sz w:val="16"/>
                <w:szCs w:val="16"/>
              </w:rPr>
              <w:t>1 = Unternehmen ist ein Kleinstunternehmen; 0 = andernfalls</w:t>
            </w:r>
          </w:p>
        </w:tc>
      </w:tr>
      <w:tr w:rsidR="00075E2B" w:rsidRPr="00FC4EB7" w14:paraId="38830CED" w14:textId="77777777" w:rsidTr="005E2C4F">
        <w:trPr>
          <w:trHeight w:val="20"/>
          <w:jc w:val="center"/>
        </w:trPr>
        <w:tc>
          <w:tcPr>
            <w:tcW w:w="1683" w:type="pct"/>
            <w:tcBorders>
              <w:top w:val="nil"/>
              <w:left w:val="nil"/>
            </w:tcBorders>
            <w:shd w:val="clear" w:color="000000" w:fill="FFFFFF"/>
          </w:tcPr>
          <w:p w14:paraId="7575B9D1"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sidRPr="00FC4EB7">
              <w:rPr>
                <w:color w:val="000000"/>
                <w:sz w:val="16"/>
                <w:szCs w:val="16"/>
              </w:rPr>
              <w:t>Kleine Unternehmen</w:t>
            </w:r>
          </w:p>
        </w:tc>
        <w:tc>
          <w:tcPr>
            <w:tcW w:w="3317" w:type="pct"/>
            <w:tcBorders>
              <w:top w:val="nil"/>
              <w:right w:val="nil"/>
            </w:tcBorders>
            <w:shd w:val="clear" w:color="000000" w:fill="FFFFFF"/>
            <w:noWrap/>
          </w:tcPr>
          <w:p w14:paraId="4066882D" w14:textId="77777777" w:rsidR="00075E2B" w:rsidRPr="00FC4EB7" w:rsidRDefault="00075E2B" w:rsidP="005E2C4F">
            <w:pPr>
              <w:snapToGrid w:val="0"/>
              <w:spacing w:after="0" w:line="240" w:lineRule="auto"/>
              <w:jc w:val="left"/>
              <w:rPr>
                <w:color w:val="000000"/>
                <w:sz w:val="16"/>
                <w:szCs w:val="16"/>
              </w:rPr>
            </w:pPr>
            <w:r w:rsidRPr="00FC4EB7">
              <w:rPr>
                <w:sz w:val="16"/>
                <w:szCs w:val="16"/>
              </w:rPr>
              <w:t>1 = Unternehmen ist ein kleines Unternehmen; 0 = andernfalls</w:t>
            </w:r>
          </w:p>
        </w:tc>
      </w:tr>
      <w:tr w:rsidR="00075E2B" w:rsidRPr="00FC4EB7" w14:paraId="611EFF02" w14:textId="77777777" w:rsidTr="005E2C4F">
        <w:trPr>
          <w:trHeight w:val="20"/>
          <w:jc w:val="center"/>
        </w:trPr>
        <w:tc>
          <w:tcPr>
            <w:tcW w:w="1683" w:type="pct"/>
            <w:tcBorders>
              <w:left w:val="nil"/>
              <w:bottom w:val="dotted" w:sz="4" w:space="0" w:color="auto"/>
            </w:tcBorders>
            <w:shd w:val="clear" w:color="000000" w:fill="FFFFFF"/>
          </w:tcPr>
          <w:p w14:paraId="1693AD20" w14:textId="77777777" w:rsidR="00075E2B" w:rsidRPr="00FC4EB7" w:rsidRDefault="00075E2B" w:rsidP="001A4E15">
            <w:pPr>
              <w:pStyle w:val="Listenabsatz"/>
              <w:numPr>
                <w:ilvl w:val="0"/>
                <w:numId w:val="10"/>
              </w:numPr>
              <w:snapToGrid w:val="0"/>
              <w:spacing w:after="60" w:line="240" w:lineRule="auto"/>
              <w:ind w:left="142" w:hanging="142"/>
              <w:jc w:val="left"/>
              <w:rPr>
                <w:color w:val="000000"/>
                <w:sz w:val="16"/>
                <w:szCs w:val="16"/>
              </w:rPr>
            </w:pPr>
            <w:r w:rsidRPr="00FC4EB7">
              <w:rPr>
                <w:color w:val="000000"/>
                <w:sz w:val="16"/>
                <w:szCs w:val="16"/>
              </w:rPr>
              <w:t>Mittlere Unternehmen</w:t>
            </w:r>
          </w:p>
        </w:tc>
        <w:tc>
          <w:tcPr>
            <w:tcW w:w="3317" w:type="pct"/>
            <w:tcBorders>
              <w:bottom w:val="dotted" w:sz="4" w:space="0" w:color="auto"/>
              <w:right w:val="nil"/>
            </w:tcBorders>
            <w:shd w:val="clear" w:color="000000" w:fill="FFFFFF"/>
            <w:noWrap/>
          </w:tcPr>
          <w:p w14:paraId="3A6573FA" w14:textId="77777777" w:rsidR="00075E2B" w:rsidRPr="00FC4EB7" w:rsidRDefault="00075E2B" w:rsidP="005E2C4F">
            <w:pPr>
              <w:snapToGrid w:val="0"/>
              <w:spacing w:after="60" w:line="240" w:lineRule="auto"/>
              <w:jc w:val="left"/>
              <w:rPr>
                <w:color w:val="000000"/>
                <w:sz w:val="16"/>
                <w:szCs w:val="16"/>
              </w:rPr>
            </w:pPr>
            <w:r w:rsidRPr="00393FD7">
              <w:rPr>
                <w:spacing w:val="-2"/>
                <w:sz w:val="16"/>
                <w:szCs w:val="16"/>
              </w:rPr>
              <w:t>1 = Unternehmen ist ein mittleres Unternehmen; 0 = andernfalls</w:t>
            </w:r>
          </w:p>
        </w:tc>
      </w:tr>
      <w:tr w:rsidR="00075E2B" w:rsidRPr="00FC4EB7" w14:paraId="357CA731" w14:textId="77777777" w:rsidTr="005E2C4F">
        <w:trPr>
          <w:trHeight w:val="20"/>
          <w:jc w:val="center"/>
        </w:trPr>
        <w:tc>
          <w:tcPr>
            <w:tcW w:w="1683" w:type="pct"/>
            <w:tcBorders>
              <w:top w:val="nil"/>
              <w:left w:val="nil"/>
              <w:right w:val="nil"/>
            </w:tcBorders>
            <w:shd w:val="clear" w:color="000000" w:fill="FFFFFF"/>
          </w:tcPr>
          <w:p w14:paraId="7D29CA9C" w14:textId="77777777" w:rsidR="00075E2B" w:rsidRPr="00FC4EB7" w:rsidRDefault="00075E2B" w:rsidP="005E2C4F">
            <w:pPr>
              <w:snapToGrid w:val="0"/>
              <w:spacing w:before="60" w:after="60" w:line="240" w:lineRule="auto"/>
              <w:jc w:val="left"/>
              <w:rPr>
                <w:i/>
                <w:iCs/>
                <w:color w:val="000000"/>
                <w:sz w:val="16"/>
                <w:szCs w:val="16"/>
              </w:rPr>
            </w:pPr>
            <w:r w:rsidRPr="00FC4EB7">
              <w:rPr>
                <w:i/>
                <w:iCs/>
                <w:color w:val="000000"/>
                <w:sz w:val="16"/>
                <w:szCs w:val="16"/>
              </w:rPr>
              <w:t>Kontrollvariablen</w:t>
            </w:r>
          </w:p>
        </w:tc>
        <w:tc>
          <w:tcPr>
            <w:tcW w:w="3317" w:type="pct"/>
            <w:tcBorders>
              <w:top w:val="nil"/>
              <w:left w:val="nil"/>
              <w:right w:val="nil"/>
            </w:tcBorders>
            <w:shd w:val="clear" w:color="000000" w:fill="FFFFFF"/>
            <w:noWrap/>
          </w:tcPr>
          <w:p w14:paraId="474ECF89" w14:textId="77777777" w:rsidR="00075E2B" w:rsidRPr="00FC4EB7" w:rsidRDefault="00075E2B" w:rsidP="005E2C4F">
            <w:pPr>
              <w:snapToGrid w:val="0"/>
              <w:spacing w:before="60" w:after="60" w:line="240" w:lineRule="auto"/>
              <w:jc w:val="left"/>
              <w:rPr>
                <w:color w:val="000000"/>
                <w:sz w:val="16"/>
                <w:szCs w:val="16"/>
              </w:rPr>
            </w:pPr>
          </w:p>
        </w:tc>
      </w:tr>
      <w:tr w:rsidR="00075E2B" w:rsidRPr="00FC4EB7" w14:paraId="3437B4EF" w14:textId="77777777" w:rsidTr="005E2C4F">
        <w:trPr>
          <w:trHeight w:val="20"/>
          <w:jc w:val="center"/>
        </w:trPr>
        <w:tc>
          <w:tcPr>
            <w:tcW w:w="1683" w:type="pct"/>
            <w:tcBorders>
              <w:top w:val="nil"/>
              <w:left w:val="nil"/>
            </w:tcBorders>
            <w:shd w:val="clear" w:color="000000" w:fill="FFFFFF"/>
          </w:tcPr>
          <w:p w14:paraId="0A26D646" w14:textId="77777777" w:rsidR="00075E2B" w:rsidRPr="00F906E9" w:rsidRDefault="00075E2B" w:rsidP="005E2C4F">
            <w:pPr>
              <w:snapToGrid w:val="0"/>
              <w:spacing w:after="0" w:line="240" w:lineRule="auto"/>
              <w:jc w:val="left"/>
              <w:rPr>
                <w:b/>
                <w:bCs/>
                <w:color w:val="000000"/>
                <w:sz w:val="16"/>
                <w:szCs w:val="16"/>
              </w:rPr>
            </w:pPr>
            <w:r w:rsidRPr="00F906E9">
              <w:rPr>
                <w:b/>
                <w:bCs/>
                <w:color w:val="000000"/>
                <w:sz w:val="16"/>
                <w:szCs w:val="16"/>
              </w:rPr>
              <w:t>Unternehmensalter</w:t>
            </w:r>
          </w:p>
        </w:tc>
        <w:tc>
          <w:tcPr>
            <w:tcW w:w="3317" w:type="pct"/>
            <w:tcBorders>
              <w:top w:val="nil"/>
              <w:right w:val="nil"/>
            </w:tcBorders>
            <w:shd w:val="clear" w:color="000000" w:fill="FFFFFF"/>
            <w:noWrap/>
          </w:tcPr>
          <w:p w14:paraId="0EF6FC3F" w14:textId="77777777" w:rsidR="00075E2B" w:rsidRPr="00FC4EB7" w:rsidRDefault="00075E2B" w:rsidP="005E2C4F">
            <w:pPr>
              <w:snapToGrid w:val="0"/>
              <w:spacing w:after="0" w:line="240" w:lineRule="auto"/>
              <w:jc w:val="left"/>
              <w:rPr>
                <w:color w:val="000000"/>
                <w:sz w:val="16"/>
                <w:szCs w:val="16"/>
              </w:rPr>
            </w:pPr>
          </w:p>
        </w:tc>
      </w:tr>
      <w:tr w:rsidR="00075E2B" w:rsidRPr="00FC4EB7" w14:paraId="5EE271C9" w14:textId="77777777" w:rsidTr="005E2C4F">
        <w:trPr>
          <w:trHeight w:val="20"/>
          <w:jc w:val="center"/>
        </w:trPr>
        <w:tc>
          <w:tcPr>
            <w:tcW w:w="1683" w:type="pct"/>
            <w:tcBorders>
              <w:top w:val="nil"/>
              <w:left w:val="nil"/>
            </w:tcBorders>
            <w:shd w:val="clear" w:color="000000" w:fill="FFFFFF"/>
          </w:tcPr>
          <w:p w14:paraId="58250991" w14:textId="77777777" w:rsidR="00075E2B" w:rsidRPr="00F01B0A" w:rsidRDefault="00075E2B" w:rsidP="001A4E15">
            <w:pPr>
              <w:pStyle w:val="Listenabsatz"/>
              <w:numPr>
                <w:ilvl w:val="0"/>
                <w:numId w:val="10"/>
              </w:numPr>
              <w:snapToGrid w:val="0"/>
              <w:spacing w:after="0" w:line="240" w:lineRule="auto"/>
              <w:ind w:left="142" w:hanging="142"/>
              <w:jc w:val="left"/>
              <w:rPr>
                <w:color w:val="000000"/>
                <w:sz w:val="16"/>
                <w:szCs w:val="16"/>
              </w:rPr>
            </w:pPr>
            <w:r w:rsidRPr="00F01B0A">
              <w:rPr>
                <w:color w:val="000000"/>
                <w:sz w:val="16"/>
                <w:szCs w:val="16"/>
              </w:rPr>
              <w:t>&lt;2 Jahre</w:t>
            </w:r>
          </w:p>
        </w:tc>
        <w:tc>
          <w:tcPr>
            <w:tcW w:w="3317" w:type="pct"/>
            <w:tcBorders>
              <w:top w:val="nil"/>
              <w:right w:val="nil"/>
            </w:tcBorders>
            <w:shd w:val="clear" w:color="000000" w:fill="FFFFFF"/>
            <w:noWrap/>
          </w:tcPr>
          <w:p w14:paraId="1FECEA3A" w14:textId="77777777" w:rsidR="00075E2B" w:rsidRPr="00FC4EB7" w:rsidRDefault="00075E2B" w:rsidP="005E2C4F">
            <w:pPr>
              <w:snapToGrid w:val="0"/>
              <w:spacing w:after="0" w:line="240" w:lineRule="auto"/>
              <w:jc w:val="left"/>
              <w:rPr>
                <w:color w:val="000000"/>
                <w:sz w:val="16"/>
                <w:szCs w:val="16"/>
              </w:rPr>
            </w:pPr>
            <w:r w:rsidRPr="00FC4EB7">
              <w:rPr>
                <w:sz w:val="16"/>
                <w:szCs w:val="16"/>
              </w:rPr>
              <w:t>1 = Unternehmen ist nicht älter als 2 Jahre; 0 = andernfalls</w:t>
            </w:r>
          </w:p>
        </w:tc>
      </w:tr>
      <w:tr w:rsidR="00075E2B" w:rsidRPr="00FC4EB7" w14:paraId="14D19AC1" w14:textId="77777777" w:rsidTr="005E2C4F">
        <w:trPr>
          <w:trHeight w:val="20"/>
          <w:jc w:val="center"/>
        </w:trPr>
        <w:tc>
          <w:tcPr>
            <w:tcW w:w="1683" w:type="pct"/>
            <w:tcBorders>
              <w:top w:val="nil"/>
              <w:left w:val="nil"/>
            </w:tcBorders>
            <w:shd w:val="clear" w:color="000000" w:fill="FFFFFF"/>
          </w:tcPr>
          <w:p w14:paraId="30340722" w14:textId="77777777" w:rsidR="00075E2B" w:rsidRPr="00F01B0A" w:rsidRDefault="00075E2B" w:rsidP="001A4E15">
            <w:pPr>
              <w:pStyle w:val="Listenabsatz"/>
              <w:numPr>
                <w:ilvl w:val="0"/>
                <w:numId w:val="10"/>
              </w:numPr>
              <w:snapToGrid w:val="0"/>
              <w:spacing w:after="0" w:line="240" w:lineRule="auto"/>
              <w:ind w:left="142" w:hanging="142"/>
              <w:jc w:val="left"/>
              <w:rPr>
                <w:color w:val="000000"/>
                <w:sz w:val="16"/>
                <w:szCs w:val="16"/>
              </w:rPr>
            </w:pPr>
            <w:r w:rsidRPr="00F01B0A">
              <w:rPr>
                <w:color w:val="000000"/>
                <w:sz w:val="16"/>
                <w:szCs w:val="16"/>
              </w:rPr>
              <w:t>2–4 Jahre</w:t>
            </w:r>
          </w:p>
        </w:tc>
        <w:tc>
          <w:tcPr>
            <w:tcW w:w="3317" w:type="pct"/>
            <w:tcBorders>
              <w:top w:val="nil"/>
              <w:right w:val="nil"/>
            </w:tcBorders>
            <w:shd w:val="clear" w:color="000000" w:fill="FFFFFF"/>
            <w:noWrap/>
          </w:tcPr>
          <w:p w14:paraId="57027865" w14:textId="77777777" w:rsidR="00075E2B" w:rsidRPr="00FC4EB7" w:rsidRDefault="00075E2B" w:rsidP="005E2C4F">
            <w:pPr>
              <w:snapToGrid w:val="0"/>
              <w:spacing w:after="0" w:line="240" w:lineRule="auto"/>
              <w:jc w:val="left"/>
              <w:rPr>
                <w:color w:val="000000"/>
                <w:sz w:val="16"/>
                <w:szCs w:val="16"/>
              </w:rPr>
            </w:pPr>
            <w:r w:rsidRPr="00FC4EB7">
              <w:rPr>
                <w:sz w:val="16"/>
                <w:szCs w:val="16"/>
              </w:rPr>
              <w:t xml:space="preserve">1 = Unternehmen ist </w:t>
            </w:r>
            <w:r w:rsidRPr="00FC4EB7">
              <w:rPr>
                <w:color w:val="000000"/>
                <w:sz w:val="16"/>
                <w:szCs w:val="16"/>
              </w:rPr>
              <w:t xml:space="preserve">2–4 </w:t>
            </w:r>
            <w:r w:rsidRPr="00FC4EB7">
              <w:rPr>
                <w:sz w:val="16"/>
                <w:szCs w:val="16"/>
              </w:rPr>
              <w:t>Jahre alt; 0 = andernfalls</w:t>
            </w:r>
          </w:p>
        </w:tc>
      </w:tr>
      <w:tr w:rsidR="00075E2B" w:rsidRPr="00FC4EB7" w14:paraId="58256316" w14:textId="77777777" w:rsidTr="005E2C4F">
        <w:trPr>
          <w:trHeight w:val="20"/>
          <w:jc w:val="center"/>
        </w:trPr>
        <w:tc>
          <w:tcPr>
            <w:tcW w:w="1683" w:type="pct"/>
            <w:tcBorders>
              <w:top w:val="nil"/>
              <w:left w:val="nil"/>
            </w:tcBorders>
            <w:shd w:val="clear" w:color="000000" w:fill="FFFFFF"/>
          </w:tcPr>
          <w:p w14:paraId="482A8C58" w14:textId="77777777" w:rsidR="00075E2B" w:rsidRPr="00F01B0A" w:rsidRDefault="00075E2B" w:rsidP="001A4E15">
            <w:pPr>
              <w:pStyle w:val="Listenabsatz"/>
              <w:numPr>
                <w:ilvl w:val="0"/>
                <w:numId w:val="10"/>
              </w:numPr>
              <w:snapToGrid w:val="0"/>
              <w:spacing w:after="0" w:line="240" w:lineRule="auto"/>
              <w:ind w:left="142" w:hanging="142"/>
              <w:jc w:val="left"/>
              <w:rPr>
                <w:color w:val="000000"/>
                <w:sz w:val="16"/>
                <w:szCs w:val="16"/>
              </w:rPr>
            </w:pPr>
            <w:r w:rsidRPr="00F01B0A">
              <w:rPr>
                <w:color w:val="000000"/>
                <w:sz w:val="16"/>
                <w:szCs w:val="16"/>
              </w:rPr>
              <w:t>5–9 Jahre</w:t>
            </w:r>
          </w:p>
        </w:tc>
        <w:tc>
          <w:tcPr>
            <w:tcW w:w="3317" w:type="pct"/>
            <w:tcBorders>
              <w:top w:val="nil"/>
              <w:right w:val="nil"/>
            </w:tcBorders>
            <w:shd w:val="clear" w:color="000000" w:fill="FFFFFF"/>
            <w:noWrap/>
          </w:tcPr>
          <w:p w14:paraId="2356E895" w14:textId="77777777" w:rsidR="00075E2B" w:rsidRPr="00FC4EB7" w:rsidRDefault="00075E2B" w:rsidP="005E2C4F">
            <w:pPr>
              <w:snapToGrid w:val="0"/>
              <w:spacing w:after="0" w:line="240" w:lineRule="auto"/>
              <w:jc w:val="left"/>
              <w:rPr>
                <w:color w:val="000000"/>
                <w:sz w:val="16"/>
                <w:szCs w:val="16"/>
              </w:rPr>
            </w:pPr>
            <w:r w:rsidRPr="00FC4EB7">
              <w:rPr>
                <w:sz w:val="16"/>
                <w:szCs w:val="16"/>
              </w:rPr>
              <w:t>1 = Unternehmen ist 5</w:t>
            </w:r>
            <w:r w:rsidRPr="00FC4EB7">
              <w:rPr>
                <w:color w:val="000000"/>
                <w:sz w:val="16"/>
                <w:szCs w:val="16"/>
              </w:rPr>
              <w:t xml:space="preserve">–9 </w:t>
            </w:r>
            <w:r w:rsidRPr="00FC4EB7">
              <w:rPr>
                <w:sz w:val="16"/>
                <w:szCs w:val="16"/>
              </w:rPr>
              <w:t>Jahre alt; 0 = andernfalls</w:t>
            </w:r>
          </w:p>
        </w:tc>
      </w:tr>
      <w:tr w:rsidR="00075E2B" w:rsidRPr="00FC4EB7" w14:paraId="6F5B5658" w14:textId="77777777" w:rsidTr="005E2C4F">
        <w:trPr>
          <w:trHeight w:val="20"/>
          <w:jc w:val="center"/>
        </w:trPr>
        <w:tc>
          <w:tcPr>
            <w:tcW w:w="1683" w:type="pct"/>
            <w:tcBorders>
              <w:top w:val="nil"/>
              <w:left w:val="nil"/>
            </w:tcBorders>
            <w:shd w:val="clear" w:color="000000" w:fill="FFFFFF"/>
          </w:tcPr>
          <w:p w14:paraId="2D571D5B" w14:textId="77777777" w:rsidR="00075E2B" w:rsidRPr="00F01B0A" w:rsidRDefault="00075E2B" w:rsidP="001A4E15">
            <w:pPr>
              <w:pStyle w:val="Listenabsatz"/>
              <w:numPr>
                <w:ilvl w:val="0"/>
                <w:numId w:val="10"/>
              </w:numPr>
              <w:snapToGrid w:val="0"/>
              <w:spacing w:after="60" w:line="240" w:lineRule="auto"/>
              <w:ind w:left="142" w:hanging="142"/>
              <w:jc w:val="left"/>
              <w:rPr>
                <w:color w:val="000000"/>
                <w:sz w:val="16"/>
                <w:szCs w:val="16"/>
              </w:rPr>
            </w:pPr>
            <w:r w:rsidRPr="00F01B0A">
              <w:rPr>
                <w:color w:val="000000"/>
                <w:sz w:val="16"/>
                <w:szCs w:val="16"/>
              </w:rPr>
              <w:t>&gt;9 Jahre</w:t>
            </w:r>
          </w:p>
        </w:tc>
        <w:tc>
          <w:tcPr>
            <w:tcW w:w="3317" w:type="pct"/>
            <w:tcBorders>
              <w:top w:val="nil"/>
              <w:right w:val="nil"/>
            </w:tcBorders>
            <w:shd w:val="clear" w:color="000000" w:fill="FFFFFF"/>
            <w:noWrap/>
          </w:tcPr>
          <w:p w14:paraId="020E0826" w14:textId="77777777" w:rsidR="00075E2B" w:rsidRPr="00FC4EB7" w:rsidRDefault="00075E2B" w:rsidP="005E2C4F">
            <w:pPr>
              <w:snapToGrid w:val="0"/>
              <w:spacing w:after="60" w:line="240" w:lineRule="auto"/>
              <w:jc w:val="left"/>
              <w:rPr>
                <w:color w:val="000000"/>
                <w:sz w:val="16"/>
                <w:szCs w:val="16"/>
              </w:rPr>
            </w:pPr>
            <w:r w:rsidRPr="00FC4EB7">
              <w:rPr>
                <w:sz w:val="16"/>
                <w:szCs w:val="16"/>
              </w:rPr>
              <w:t xml:space="preserve">1 = Unternehmen ist </w:t>
            </w:r>
            <w:r w:rsidRPr="00FC4EB7">
              <w:rPr>
                <w:color w:val="000000"/>
                <w:sz w:val="16"/>
                <w:szCs w:val="16"/>
              </w:rPr>
              <w:t xml:space="preserve">&gt;9 </w:t>
            </w:r>
            <w:r w:rsidRPr="00FC4EB7">
              <w:rPr>
                <w:sz w:val="16"/>
                <w:szCs w:val="16"/>
              </w:rPr>
              <w:t>Jahre alt; 0 = andernfalls</w:t>
            </w:r>
          </w:p>
        </w:tc>
      </w:tr>
      <w:tr w:rsidR="00075E2B" w:rsidRPr="00FC4EB7" w14:paraId="7C325ED6" w14:textId="77777777" w:rsidTr="005E2C4F">
        <w:trPr>
          <w:trHeight w:val="20"/>
          <w:jc w:val="center"/>
        </w:trPr>
        <w:tc>
          <w:tcPr>
            <w:tcW w:w="1683" w:type="pct"/>
            <w:tcBorders>
              <w:top w:val="nil"/>
              <w:left w:val="nil"/>
              <w:right w:val="nil"/>
            </w:tcBorders>
            <w:shd w:val="clear" w:color="000000" w:fill="FFFFFF"/>
          </w:tcPr>
          <w:p w14:paraId="1E0C652F" w14:textId="77777777" w:rsidR="00075E2B" w:rsidRPr="00F906E9" w:rsidRDefault="00075E2B" w:rsidP="005E2C4F">
            <w:pPr>
              <w:snapToGrid w:val="0"/>
              <w:spacing w:after="0" w:line="240" w:lineRule="auto"/>
              <w:jc w:val="left"/>
              <w:rPr>
                <w:b/>
                <w:bCs/>
                <w:color w:val="000000"/>
                <w:sz w:val="16"/>
                <w:szCs w:val="16"/>
              </w:rPr>
            </w:pPr>
            <w:r w:rsidRPr="00F906E9">
              <w:rPr>
                <w:b/>
                <w:bCs/>
                <w:color w:val="000000"/>
                <w:sz w:val="16"/>
                <w:szCs w:val="16"/>
              </w:rPr>
              <w:t>Gesellschafterstruktur</w:t>
            </w:r>
          </w:p>
        </w:tc>
        <w:tc>
          <w:tcPr>
            <w:tcW w:w="3317" w:type="pct"/>
            <w:tcBorders>
              <w:top w:val="nil"/>
              <w:left w:val="nil"/>
              <w:right w:val="nil"/>
            </w:tcBorders>
            <w:shd w:val="clear" w:color="000000" w:fill="FFFFFF"/>
            <w:noWrap/>
          </w:tcPr>
          <w:p w14:paraId="5C92862D" w14:textId="77777777" w:rsidR="00075E2B" w:rsidRPr="00FC4EB7" w:rsidRDefault="00075E2B" w:rsidP="005E2C4F">
            <w:pPr>
              <w:snapToGrid w:val="0"/>
              <w:spacing w:after="0" w:line="240" w:lineRule="auto"/>
              <w:jc w:val="left"/>
              <w:rPr>
                <w:color w:val="000000"/>
                <w:sz w:val="16"/>
                <w:szCs w:val="16"/>
              </w:rPr>
            </w:pPr>
          </w:p>
        </w:tc>
      </w:tr>
      <w:tr w:rsidR="00075E2B" w:rsidRPr="00FC4EB7" w14:paraId="60A40D1E" w14:textId="77777777" w:rsidTr="005E2C4F">
        <w:trPr>
          <w:trHeight w:val="20"/>
          <w:jc w:val="center"/>
        </w:trPr>
        <w:tc>
          <w:tcPr>
            <w:tcW w:w="1683" w:type="pct"/>
            <w:tcBorders>
              <w:top w:val="nil"/>
              <w:left w:val="nil"/>
              <w:right w:val="nil"/>
            </w:tcBorders>
            <w:shd w:val="clear" w:color="000000" w:fill="FFFFFF"/>
          </w:tcPr>
          <w:p w14:paraId="336D2690"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VC / BA</w:t>
            </w:r>
          </w:p>
        </w:tc>
        <w:tc>
          <w:tcPr>
            <w:tcW w:w="3317" w:type="pct"/>
            <w:tcBorders>
              <w:top w:val="nil"/>
              <w:left w:val="nil"/>
              <w:right w:val="nil"/>
            </w:tcBorders>
            <w:shd w:val="clear" w:color="000000" w:fill="FFFFFF"/>
            <w:noWrap/>
          </w:tcPr>
          <w:p w14:paraId="7D6D2EA9" w14:textId="77777777" w:rsidR="00075E2B" w:rsidRPr="00FC4EB7" w:rsidRDefault="00075E2B" w:rsidP="005E2C4F">
            <w:pPr>
              <w:snapToGrid w:val="0"/>
              <w:spacing w:after="0" w:line="240" w:lineRule="auto"/>
              <w:jc w:val="left"/>
              <w:rPr>
                <w:color w:val="000000"/>
                <w:sz w:val="16"/>
                <w:szCs w:val="16"/>
              </w:rPr>
            </w:pPr>
            <w:r w:rsidRPr="00FC4EB7">
              <w:rPr>
                <w:sz w:val="16"/>
                <w:szCs w:val="16"/>
              </w:rPr>
              <w:t xml:space="preserve">1 = </w:t>
            </w:r>
            <w:r>
              <w:rPr>
                <w:sz w:val="16"/>
                <w:szCs w:val="16"/>
              </w:rPr>
              <w:t xml:space="preserve">Ein </w:t>
            </w:r>
            <w:r>
              <w:rPr>
                <w:color w:val="000000"/>
                <w:sz w:val="16"/>
                <w:szCs w:val="16"/>
              </w:rPr>
              <w:t>Venture Capitalist / Business Angel</w:t>
            </w:r>
            <w:r>
              <w:rPr>
                <w:sz w:val="16"/>
                <w:szCs w:val="16"/>
              </w:rPr>
              <w:t xml:space="preserve"> ist der größte Anteilseigner</w:t>
            </w:r>
            <w:r w:rsidRPr="00FC4EB7">
              <w:rPr>
                <w:sz w:val="16"/>
                <w:szCs w:val="16"/>
              </w:rPr>
              <w:t>; 0 = andernfalls</w:t>
            </w:r>
          </w:p>
        </w:tc>
      </w:tr>
      <w:tr w:rsidR="00075E2B" w:rsidRPr="00FC4EB7" w14:paraId="6D8B80E6" w14:textId="77777777" w:rsidTr="005E2C4F">
        <w:trPr>
          <w:trHeight w:val="20"/>
          <w:jc w:val="center"/>
        </w:trPr>
        <w:tc>
          <w:tcPr>
            <w:tcW w:w="1683" w:type="pct"/>
            <w:tcBorders>
              <w:top w:val="nil"/>
              <w:left w:val="nil"/>
              <w:right w:val="nil"/>
            </w:tcBorders>
            <w:shd w:val="clear" w:color="000000" w:fill="FFFFFF"/>
          </w:tcPr>
          <w:p w14:paraId="10981E54"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sidRPr="00FC4EB7">
              <w:rPr>
                <w:color w:val="000000"/>
                <w:sz w:val="16"/>
                <w:szCs w:val="16"/>
              </w:rPr>
              <w:t xml:space="preserve">Familie </w:t>
            </w:r>
            <w:r>
              <w:rPr>
                <w:color w:val="000000"/>
                <w:sz w:val="16"/>
                <w:szCs w:val="16"/>
              </w:rPr>
              <w:t>/</w:t>
            </w:r>
            <w:r w:rsidRPr="00FC4EB7">
              <w:rPr>
                <w:color w:val="000000"/>
                <w:sz w:val="16"/>
                <w:szCs w:val="16"/>
              </w:rPr>
              <w:t xml:space="preserve"> Entrepreneur</w:t>
            </w:r>
          </w:p>
        </w:tc>
        <w:tc>
          <w:tcPr>
            <w:tcW w:w="3317" w:type="pct"/>
            <w:tcBorders>
              <w:top w:val="nil"/>
              <w:left w:val="nil"/>
              <w:right w:val="nil"/>
            </w:tcBorders>
            <w:shd w:val="clear" w:color="000000" w:fill="FFFFFF"/>
            <w:noWrap/>
          </w:tcPr>
          <w:p w14:paraId="36D03B9B" w14:textId="77777777" w:rsidR="00075E2B" w:rsidRPr="00FC4EB7" w:rsidRDefault="00075E2B" w:rsidP="005E2C4F">
            <w:pPr>
              <w:snapToGrid w:val="0"/>
              <w:spacing w:after="0" w:line="240" w:lineRule="auto"/>
              <w:jc w:val="left"/>
              <w:rPr>
                <w:color w:val="000000"/>
                <w:sz w:val="16"/>
                <w:szCs w:val="16"/>
              </w:rPr>
            </w:pPr>
            <w:r w:rsidRPr="00FC4EB7">
              <w:rPr>
                <w:sz w:val="16"/>
                <w:szCs w:val="16"/>
              </w:rPr>
              <w:t xml:space="preserve">1 = </w:t>
            </w:r>
            <w:r>
              <w:rPr>
                <w:sz w:val="16"/>
                <w:szCs w:val="16"/>
              </w:rPr>
              <w:t>Familien / Entrepreneure sind die größten Anteilseigner;</w:t>
            </w:r>
            <w:r w:rsidRPr="00FC4EB7">
              <w:rPr>
                <w:sz w:val="16"/>
                <w:szCs w:val="16"/>
              </w:rPr>
              <w:t>0 = andernfalls</w:t>
            </w:r>
          </w:p>
        </w:tc>
      </w:tr>
      <w:tr w:rsidR="00075E2B" w:rsidRPr="00FC4EB7" w14:paraId="75BD1542" w14:textId="77777777" w:rsidTr="005E2C4F">
        <w:trPr>
          <w:trHeight w:val="20"/>
          <w:jc w:val="center"/>
        </w:trPr>
        <w:tc>
          <w:tcPr>
            <w:tcW w:w="1683" w:type="pct"/>
            <w:tcBorders>
              <w:top w:val="nil"/>
              <w:left w:val="nil"/>
              <w:right w:val="nil"/>
            </w:tcBorders>
            <w:shd w:val="clear" w:color="000000" w:fill="FFFFFF"/>
          </w:tcPr>
          <w:p w14:paraId="1BDCDE5C"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Sonstige</w:t>
            </w:r>
          </w:p>
        </w:tc>
        <w:tc>
          <w:tcPr>
            <w:tcW w:w="3317" w:type="pct"/>
            <w:tcBorders>
              <w:top w:val="nil"/>
              <w:left w:val="nil"/>
              <w:right w:val="nil"/>
            </w:tcBorders>
            <w:shd w:val="clear" w:color="000000" w:fill="FFFFFF"/>
            <w:noWrap/>
          </w:tcPr>
          <w:p w14:paraId="034B2AFE" w14:textId="77777777" w:rsidR="00075E2B" w:rsidRPr="00FC4EB7" w:rsidRDefault="00075E2B" w:rsidP="005E2C4F">
            <w:pPr>
              <w:snapToGrid w:val="0"/>
              <w:spacing w:after="0" w:line="240" w:lineRule="auto"/>
              <w:jc w:val="left"/>
              <w:rPr>
                <w:color w:val="000000"/>
                <w:sz w:val="16"/>
                <w:szCs w:val="16"/>
              </w:rPr>
            </w:pPr>
            <w:r w:rsidRPr="00FC4EB7">
              <w:rPr>
                <w:sz w:val="16"/>
                <w:szCs w:val="16"/>
              </w:rPr>
              <w:t xml:space="preserve">1 = </w:t>
            </w:r>
            <w:r>
              <w:rPr>
                <w:color w:val="000000"/>
                <w:sz w:val="16"/>
                <w:szCs w:val="16"/>
              </w:rPr>
              <w:t>Sonstige Gesellschafter</w:t>
            </w:r>
            <w:r>
              <w:rPr>
                <w:sz w:val="16"/>
                <w:szCs w:val="16"/>
              </w:rPr>
              <w:t xml:space="preserve"> sind die größten Anteilseigner</w:t>
            </w:r>
            <w:r w:rsidRPr="00FC4EB7">
              <w:rPr>
                <w:sz w:val="16"/>
                <w:szCs w:val="16"/>
              </w:rPr>
              <w:t>;</w:t>
            </w:r>
            <w:r>
              <w:rPr>
                <w:sz w:val="16"/>
                <w:szCs w:val="16"/>
              </w:rPr>
              <w:t xml:space="preserve"> </w:t>
            </w:r>
            <w:r w:rsidRPr="00FC4EB7">
              <w:rPr>
                <w:sz w:val="16"/>
                <w:szCs w:val="16"/>
              </w:rPr>
              <w:t>0 = andernfalls</w:t>
            </w:r>
          </w:p>
        </w:tc>
      </w:tr>
      <w:tr w:rsidR="00075E2B" w:rsidRPr="00FC4EB7" w14:paraId="3AC3AAB2" w14:textId="77777777" w:rsidTr="005E2C4F">
        <w:trPr>
          <w:trHeight w:val="20"/>
          <w:jc w:val="center"/>
        </w:trPr>
        <w:tc>
          <w:tcPr>
            <w:tcW w:w="1683" w:type="pct"/>
            <w:tcBorders>
              <w:top w:val="nil"/>
              <w:left w:val="nil"/>
              <w:right w:val="nil"/>
            </w:tcBorders>
            <w:shd w:val="clear" w:color="000000" w:fill="FFFFFF"/>
          </w:tcPr>
          <w:p w14:paraId="71E56DA7"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Einzelperson</w:t>
            </w:r>
          </w:p>
        </w:tc>
        <w:tc>
          <w:tcPr>
            <w:tcW w:w="3317" w:type="pct"/>
            <w:tcBorders>
              <w:top w:val="nil"/>
              <w:left w:val="nil"/>
              <w:right w:val="nil"/>
            </w:tcBorders>
            <w:shd w:val="clear" w:color="000000" w:fill="FFFFFF"/>
            <w:noWrap/>
          </w:tcPr>
          <w:p w14:paraId="09AC86FF" w14:textId="77777777" w:rsidR="00075E2B" w:rsidRPr="00FC4EB7" w:rsidRDefault="00075E2B" w:rsidP="005E2C4F">
            <w:pPr>
              <w:snapToGrid w:val="0"/>
              <w:spacing w:after="0" w:line="240" w:lineRule="auto"/>
              <w:jc w:val="left"/>
              <w:rPr>
                <w:color w:val="000000"/>
                <w:sz w:val="16"/>
                <w:szCs w:val="16"/>
              </w:rPr>
            </w:pPr>
            <w:r w:rsidRPr="00D527D7">
              <w:rPr>
                <w:spacing w:val="-4"/>
                <w:sz w:val="16"/>
                <w:szCs w:val="16"/>
              </w:rPr>
              <w:t>1 = Eine Einzelperson ist der größte Anteilseigner; 0 = andernfalls</w:t>
            </w:r>
          </w:p>
        </w:tc>
      </w:tr>
      <w:tr w:rsidR="00075E2B" w:rsidRPr="00FC4EB7" w14:paraId="38AA8E87" w14:textId="77777777" w:rsidTr="005E2C4F">
        <w:trPr>
          <w:trHeight w:val="20"/>
          <w:jc w:val="center"/>
        </w:trPr>
        <w:tc>
          <w:tcPr>
            <w:tcW w:w="1683" w:type="pct"/>
            <w:tcBorders>
              <w:top w:val="nil"/>
              <w:left w:val="nil"/>
              <w:right w:val="nil"/>
            </w:tcBorders>
            <w:shd w:val="clear" w:color="000000" w:fill="FFFFFF"/>
          </w:tcPr>
          <w:p w14:paraId="7F784221"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Andere Unternehmen / Geschäftspartner</w:t>
            </w:r>
          </w:p>
        </w:tc>
        <w:tc>
          <w:tcPr>
            <w:tcW w:w="3317" w:type="pct"/>
            <w:tcBorders>
              <w:top w:val="nil"/>
              <w:left w:val="nil"/>
              <w:right w:val="nil"/>
            </w:tcBorders>
            <w:shd w:val="clear" w:color="000000" w:fill="FFFFFF"/>
            <w:noWrap/>
          </w:tcPr>
          <w:p w14:paraId="438DF987" w14:textId="77777777" w:rsidR="00075E2B" w:rsidRPr="00FC4EB7" w:rsidRDefault="00075E2B" w:rsidP="005E2C4F">
            <w:pPr>
              <w:snapToGrid w:val="0"/>
              <w:spacing w:after="0" w:line="240" w:lineRule="auto"/>
              <w:jc w:val="left"/>
              <w:rPr>
                <w:color w:val="000000"/>
                <w:sz w:val="16"/>
                <w:szCs w:val="16"/>
              </w:rPr>
            </w:pPr>
            <w:r w:rsidRPr="00FC4EB7">
              <w:rPr>
                <w:sz w:val="16"/>
                <w:szCs w:val="16"/>
              </w:rPr>
              <w:t xml:space="preserve">1 = </w:t>
            </w:r>
            <w:r>
              <w:rPr>
                <w:color w:val="000000"/>
                <w:sz w:val="16"/>
                <w:szCs w:val="16"/>
              </w:rPr>
              <w:t>Andere Unternehmen / Geschäftspartner</w:t>
            </w:r>
            <w:r>
              <w:rPr>
                <w:sz w:val="16"/>
                <w:szCs w:val="16"/>
              </w:rPr>
              <w:t xml:space="preserve"> sind die größten Anteilseigner</w:t>
            </w:r>
            <w:r w:rsidRPr="00FC4EB7">
              <w:rPr>
                <w:sz w:val="16"/>
                <w:szCs w:val="16"/>
              </w:rPr>
              <w:t>; 0 = andernfalls</w:t>
            </w:r>
          </w:p>
        </w:tc>
      </w:tr>
      <w:tr w:rsidR="00075E2B" w:rsidRPr="00FC4EB7" w14:paraId="36FBE997" w14:textId="77777777" w:rsidTr="005E2C4F">
        <w:trPr>
          <w:trHeight w:val="20"/>
          <w:jc w:val="center"/>
        </w:trPr>
        <w:tc>
          <w:tcPr>
            <w:tcW w:w="1683" w:type="pct"/>
            <w:tcBorders>
              <w:top w:val="nil"/>
              <w:left w:val="nil"/>
              <w:right w:val="nil"/>
            </w:tcBorders>
            <w:shd w:val="clear" w:color="000000" w:fill="FFFFFF"/>
          </w:tcPr>
          <w:p w14:paraId="022AACC2"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Öffentliche Aktionäre</w:t>
            </w:r>
          </w:p>
        </w:tc>
        <w:tc>
          <w:tcPr>
            <w:tcW w:w="3317" w:type="pct"/>
            <w:tcBorders>
              <w:top w:val="nil"/>
              <w:left w:val="nil"/>
              <w:right w:val="nil"/>
            </w:tcBorders>
            <w:shd w:val="clear" w:color="000000" w:fill="FFFFFF"/>
            <w:noWrap/>
          </w:tcPr>
          <w:p w14:paraId="3A324E8A" w14:textId="77777777" w:rsidR="00075E2B" w:rsidRPr="00FC4EB7" w:rsidRDefault="00075E2B" w:rsidP="005E2C4F">
            <w:pPr>
              <w:snapToGrid w:val="0"/>
              <w:spacing w:after="60" w:line="240" w:lineRule="auto"/>
              <w:jc w:val="left"/>
              <w:rPr>
                <w:color w:val="000000"/>
                <w:sz w:val="16"/>
                <w:szCs w:val="16"/>
              </w:rPr>
            </w:pPr>
            <w:r w:rsidRPr="00FC4EB7">
              <w:rPr>
                <w:sz w:val="16"/>
                <w:szCs w:val="16"/>
              </w:rPr>
              <w:t xml:space="preserve">1 = </w:t>
            </w:r>
            <w:r>
              <w:rPr>
                <w:color w:val="000000"/>
                <w:sz w:val="16"/>
                <w:szCs w:val="16"/>
              </w:rPr>
              <w:t>Öffentliche Aktionäre</w:t>
            </w:r>
            <w:r>
              <w:rPr>
                <w:sz w:val="16"/>
                <w:szCs w:val="16"/>
              </w:rPr>
              <w:t xml:space="preserve"> sind die größten Anteilseigner;</w:t>
            </w:r>
            <w:r w:rsidRPr="00FC4EB7">
              <w:rPr>
                <w:sz w:val="16"/>
                <w:szCs w:val="16"/>
              </w:rPr>
              <w:t xml:space="preserve"> 0 = andernfalls</w:t>
            </w:r>
          </w:p>
        </w:tc>
      </w:tr>
      <w:tr w:rsidR="00075E2B" w:rsidRPr="00FC4EB7" w14:paraId="0C63A567" w14:textId="77777777" w:rsidTr="005E2C4F">
        <w:trPr>
          <w:trHeight w:val="20"/>
          <w:jc w:val="center"/>
        </w:trPr>
        <w:tc>
          <w:tcPr>
            <w:tcW w:w="1683" w:type="pct"/>
            <w:tcBorders>
              <w:top w:val="nil"/>
              <w:left w:val="nil"/>
              <w:right w:val="nil"/>
            </w:tcBorders>
            <w:shd w:val="clear" w:color="000000" w:fill="FFFFFF"/>
          </w:tcPr>
          <w:p w14:paraId="793D0E15" w14:textId="77777777" w:rsidR="00075E2B" w:rsidRPr="00F906E9" w:rsidRDefault="00075E2B" w:rsidP="005E2C4F">
            <w:pPr>
              <w:snapToGrid w:val="0"/>
              <w:spacing w:after="0" w:line="240" w:lineRule="auto"/>
              <w:jc w:val="left"/>
              <w:rPr>
                <w:b/>
                <w:bCs/>
                <w:color w:val="000000"/>
                <w:sz w:val="16"/>
                <w:szCs w:val="16"/>
              </w:rPr>
            </w:pPr>
            <w:r w:rsidRPr="00F906E9">
              <w:rPr>
                <w:b/>
                <w:bCs/>
                <w:color w:val="000000"/>
                <w:sz w:val="16"/>
                <w:szCs w:val="16"/>
              </w:rPr>
              <w:t>Kapitalposition</w:t>
            </w:r>
          </w:p>
        </w:tc>
        <w:tc>
          <w:tcPr>
            <w:tcW w:w="3317" w:type="pct"/>
            <w:tcBorders>
              <w:top w:val="nil"/>
              <w:left w:val="nil"/>
              <w:right w:val="nil"/>
            </w:tcBorders>
            <w:shd w:val="clear" w:color="000000" w:fill="FFFFFF"/>
            <w:noWrap/>
          </w:tcPr>
          <w:p w14:paraId="36523FBA" w14:textId="77777777" w:rsidR="00075E2B" w:rsidRDefault="00075E2B" w:rsidP="005E2C4F">
            <w:pPr>
              <w:snapToGrid w:val="0"/>
              <w:spacing w:after="0" w:line="240" w:lineRule="auto"/>
              <w:jc w:val="left"/>
              <w:rPr>
                <w:color w:val="000000"/>
                <w:sz w:val="16"/>
                <w:szCs w:val="16"/>
              </w:rPr>
            </w:pPr>
          </w:p>
        </w:tc>
      </w:tr>
      <w:tr w:rsidR="00075E2B" w:rsidRPr="00FC4EB7" w14:paraId="48A1E9FC" w14:textId="77777777" w:rsidTr="005E2C4F">
        <w:trPr>
          <w:trHeight w:val="20"/>
          <w:jc w:val="center"/>
        </w:trPr>
        <w:tc>
          <w:tcPr>
            <w:tcW w:w="1683" w:type="pct"/>
            <w:tcBorders>
              <w:top w:val="nil"/>
              <w:left w:val="nil"/>
              <w:right w:val="nil"/>
            </w:tcBorders>
            <w:shd w:val="clear" w:color="000000" w:fill="FFFFFF"/>
          </w:tcPr>
          <w:p w14:paraId="65CD2A4C" w14:textId="77777777" w:rsidR="00075E2B"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Gestiegen</w:t>
            </w:r>
          </w:p>
        </w:tc>
        <w:tc>
          <w:tcPr>
            <w:tcW w:w="3317" w:type="pct"/>
            <w:tcBorders>
              <w:top w:val="nil"/>
              <w:left w:val="nil"/>
              <w:right w:val="nil"/>
            </w:tcBorders>
            <w:shd w:val="clear" w:color="000000" w:fill="FFFFFF"/>
            <w:noWrap/>
          </w:tcPr>
          <w:p w14:paraId="0ADC8333" w14:textId="77777777" w:rsidR="00075E2B" w:rsidRDefault="00075E2B" w:rsidP="005E2C4F">
            <w:pPr>
              <w:snapToGrid w:val="0"/>
              <w:spacing w:after="0" w:line="240" w:lineRule="auto"/>
              <w:jc w:val="left"/>
              <w:rPr>
                <w:color w:val="000000"/>
                <w:sz w:val="16"/>
                <w:szCs w:val="16"/>
              </w:rPr>
            </w:pPr>
            <w:r w:rsidRPr="00FC4EB7">
              <w:rPr>
                <w:sz w:val="16"/>
                <w:szCs w:val="16"/>
              </w:rPr>
              <w:t xml:space="preserve">1 = </w:t>
            </w:r>
            <w:r>
              <w:rPr>
                <w:color w:val="000000"/>
                <w:sz w:val="16"/>
                <w:szCs w:val="16"/>
              </w:rPr>
              <w:t>Kapitalposition ist in den letzten sechs Monaten gestiegen</w:t>
            </w:r>
            <w:r w:rsidRPr="00FC4EB7">
              <w:rPr>
                <w:sz w:val="16"/>
                <w:szCs w:val="16"/>
              </w:rPr>
              <w:t>; 0 = andernfalls</w:t>
            </w:r>
          </w:p>
        </w:tc>
      </w:tr>
      <w:tr w:rsidR="00075E2B" w:rsidRPr="00FC4EB7" w14:paraId="70E9B108" w14:textId="77777777" w:rsidTr="005E2C4F">
        <w:trPr>
          <w:trHeight w:val="20"/>
          <w:jc w:val="center"/>
        </w:trPr>
        <w:tc>
          <w:tcPr>
            <w:tcW w:w="1683" w:type="pct"/>
            <w:tcBorders>
              <w:top w:val="nil"/>
              <w:left w:val="nil"/>
              <w:right w:val="nil"/>
            </w:tcBorders>
            <w:shd w:val="clear" w:color="000000" w:fill="FFFFFF"/>
          </w:tcPr>
          <w:p w14:paraId="069A33B4"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Unverändert</w:t>
            </w:r>
          </w:p>
        </w:tc>
        <w:tc>
          <w:tcPr>
            <w:tcW w:w="3317" w:type="pct"/>
            <w:tcBorders>
              <w:top w:val="nil"/>
              <w:left w:val="nil"/>
              <w:right w:val="nil"/>
            </w:tcBorders>
            <w:shd w:val="clear" w:color="000000" w:fill="FFFFFF"/>
            <w:noWrap/>
          </w:tcPr>
          <w:p w14:paraId="64BE3AFC" w14:textId="77777777" w:rsidR="00075E2B" w:rsidRDefault="00075E2B" w:rsidP="005E2C4F">
            <w:pPr>
              <w:snapToGrid w:val="0"/>
              <w:spacing w:after="0" w:line="240" w:lineRule="auto"/>
              <w:jc w:val="left"/>
              <w:rPr>
                <w:color w:val="000000"/>
                <w:sz w:val="16"/>
                <w:szCs w:val="16"/>
              </w:rPr>
            </w:pPr>
            <w:r w:rsidRPr="00FC4EB7">
              <w:rPr>
                <w:sz w:val="16"/>
                <w:szCs w:val="16"/>
              </w:rPr>
              <w:t xml:space="preserve">1 = </w:t>
            </w:r>
            <w:r>
              <w:rPr>
                <w:color w:val="000000"/>
                <w:sz w:val="16"/>
                <w:szCs w:val="16"/>
              </w:rPr>
              <w:t>Kapitalposition ist in den letzten sechs Monaten unverändert geblieben</w:t>
            </w:r>
            <w:r w:rsidRPr="00FC4EB7">
              <w:rPr>
                <w:sz w:val="16"/>
                <w:szCs w:val="16"/>
              </w:rPr>
              <w:t>; 0 = andernfalls</w:t>
            </w:r>
          </w:p>
        </w:tc>
      </w:tr>
      <w:tr w:rsidR="00075E2B" w:rsidRPr="00FC4EB7" w14:paraId="16EAE4FF" w14:textId="77777777" w:rsidTr="005E2C4F">
        <w:trPr>
          <w:trHeight w:val="20"/>
          <w:jc w:val="center"/>
        </w:trPr>
        <w:tc>
          <w:tcPr>
            <w:tcW w:w="1683" w:type="pct"/>
            <w:tcBorders>
              <w:top w:val="nil"/>
              <w:left w:val="nil"/>
              <w:right w:val="nil"/>
            </w:tcBorders>
            <w:shd w:val="clear" w:color="000000" w:fill="FFFFFF"/>
          </w:tcPr>
          <w:p w14:paraId="503977CA"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Verringert</w:t>
            </w:r>
          </w:p>
        </w:tc>
        <w:tc>
          <w:tcPr>
            <w:tcW w:w="3317" w:type="pct"/>
            <w:tcBorders>
              <w:top w:val="nil"/>
              <w:left w:val="nil"/>
              <w:right w:val="nil"/>
            </w:tcBorders>
            <w:shd w:val="clear" w:color="000000" w:fill="FFFFFF"/>
            <w:noWrap/>
          </w:tcPr>
          <w:p w14:paraId="47B57233" w14:textId="77777777" w:rsidR="00075E2B" w:rsidRDefault="00075E2B" w:rsidP="005E2C4F">
            <w:pPr>
              <w:snapToGrid w:val="0"/>
              <w:spacing w:after="60" w:line="240" w:lineRule="auto"/>
              <w:jc w:val="left"/>
              <w:rPr>
                <w:color w:val="000000"/>
                <w:sz w:val="16"/>
                <w:szCs w:val="16"/>
              </w:rPr>
            </w:pPr>
            <w:r w:rsidRPr="00FC4EB7">
              <w:rPr>
                <w:sz w:val="16"/>
                <w:szCs w:val="16"/>
              </w:rPr>
              <w:t xml:space="preserve">1 = </w:t>
            </w:r>
            <w:r>
              <w:rPr>
                <w:color w:val="000000"/>
                <w:sz w:val="16"/>
                <w:szCs w:val="16"/>
              </w:rPr>
              <w:t>Kapitalposition hat sich in den letzten sechs Monaten verringert</w:t>
            </w:r>
            <w:r w:rsidRPr="00FC4EB7">
              <w:rPr>
                <w:sz w:val="16"/>
                <w:szCs w:val="16"/>
              </w:rPr>
              <w:t>; 0 = andernfalls</w:t>
            </w:r>
          </w:p>
        </w:tc>
      </w:tr>
      <w:tr w:rsidR="00075E2B" w:rsidRPr="00FC4EB7" w14:paraId="275D1C50" w14:textId="77777777" w:rsidTr="005E2C4F">
        <w:trPr>
          <w:trHeight w:val="20"/>
          <w:jc w:val="center"/>
        </w:trPr>
        <w:tc>
          <w:tcPr>
            <w:tcW w:w="1683" w:type="pct"/>
            <w:tcBorders>
              <w:top w:val="nil"/>
              <w:left w:val="nil"/>
              <w:right w:val="nil"/>
            </w:tcBorders>
            <w:shd w:val="clear" w:color="000000" w:fill="FFFFFF"/>
          </w:tcPr>
          <w:p w14:paraId="4C5FD5A4" w14:textId="77777777" w:rsidR="00075E2B" w:rsidRPr="00F906E9" w:rsidRDefault="00075E2B" w:rsidP="005E2C4F">
            <w:pPr>
              <w:snapToGrid w:val="0"/>
              <w:spacing w:after="0" w:line="240" w:lineRule="auto"/>
              <w:jc w:val="left"/>
              <w:rPr>
                <w:b/>
                <w:bCs/>
                <w:color w:val="000000"/>
                <w:sz w:val="16"/>
                <w:szCs w:val="16"/>
              </w:rPr>
            </w:pPr>
            <w:r w:rsidRPr="00F906E9">
              <w:rPr>
                <w:b/>
                <w:bCs/>
                <w:color w:val="000000"/>
                <w:sz w:val="16"/>
                <w:szCs w:val="16"/>
              </w:rPr>
              <w:t>Gewinn</w:t>
            </w:r>
          </w:p>
        </w:tc>
        <w:tc>
          <w:tcPr>
            <w:tcW w:w="3317" w:type="pct"/>
            <w:tcBorders>
              <w:top w:val="nil"/>
              <w:left w:val="nil"/>
              <w:right w:val="nil"/>
            </w:tcBorders>
            <w:shd w:val="clear" w:color="000000" w:fill="FFFFFF"/>
            <w:noWrap/>
          </w:tcPr>
          <w:p w14:paraId="1393C79A" w14:textId="77777777" w:rsidR="00075E2B" w:rsidRDefault="00075E2B" w:rsidP="005E2C4F">
            <w:pPr>
              <w:snapToGrid w:val="0"/>
              <w:spacing w:after="0" w:line="240" w:lineRule="auto"/>
              <w:jc w:val="left"/>
              <w:rPr>
                <w:color w:val="000000"/>
                <w:sz w:val="16"/>
                <w:szCs w:val="16"/>
              </w:rPr>
            </w:pPr>
          </w:p>
        </w:tc>
      </w:tr>
      <w:tr w:rsidR="00075E2B" w:rsidRPr="00FC4EB7" w14:paraId="43C0527A" w14:textId="77777777" w:rsidTr="005E2C4F">
        <w:trPr>
          <w:trHeight w:val="20"/>
          <w:jc w:val="center"/>
        </w:trPr>
        <w:tc>
          <w:tcPr>
            <w:tcW w:w="1683" w:type="pct"/>
            <w:tcBorders>
              <w:top w:val="nil"/>
              <w:left w:val="nil"/>
              <w:right w:val="nil"/>
            </w:tcBorders>
            <w:shd w:val="clear" w:color="000000" w:fill="FFFFFF"/>
          </w:tcPr>
          <w:p w14:paraId="3A13F9D6" w14:textId="77777777" w:rsidR="00075E2B"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Gestiegen</w:t>
            </w:r>
          </w:p>
        </w:tc>
        <w:tc>
          <w:tcPr>
            <w:tcW w:w="3317" w:type="pct"/>
            <w:tcBorders>
              <w:top w:val="nil"/>
              <w:left w:val="nil"/>
              <w:right w:val="nil"/>
            </w:tcBorders>
            <w:shd w:val="clear" w:color="000000" w:fill="FFFFFF"/>
            <w:noWrap/>
          </w:tcPr>
          <w:p w14:paraId="2B64593D" w14:textId="77777777" w:rsidR="00075E2B" w:rsidRDefault="00075E2B" w:rsidP="005E2C4F">
            <w:pPr>
              <w:snapToGrid w:val="0"/>
              <w:spacing w:after="0" w:line="240" w:lineRule="auto"/>
              <w:jc w:val="left"/>
              <w:rPr>
                <w:color w:val="000000"/>
                <w:sz w:val="16"/>
                <w:szCs w:val="16"/>
              </w:rPr>
            </w:pPr>
            <w:r w:rsidRPr="00FC4EB7">
              <w:rPr>
                <w:sz w:val="16"/>
                <w:szCs w:val="16"/>
              </w:rPr>
              <w:t xml:space="preserve">1 = </w:t>
            </w:r>
            <w:r>
              <w:rPr>
                <w:color w:val="000000"/>
                <w:sz w:val="16"/>
                <w:szCs w:val="16"/>
              </w:rPr>
              <w:t>Gewinn ist in den letzten sechs Monaten gestiegen</w:t>
            </w:r>
            <w:r w:rsidRPr="00FC4EB7">
              <w:rPr>
                <w:sz w:val="16"/>
                <w:szCs w:val="16"/>
              </w:rPr>
              <w:t>;</w:t>
            </w:r>
            <w:r>
              <w:rPr>
                <w:sz w:val="16"/>
                <w:szCs w:val="16"/>
              </w:rPr>
              <w:t xml:space="preserve"> </w:t>
            </w:r>
            <w:r w:rsidRPr="00FC4EB7">
              <w:rPr>
                <w:sz w:val="16"/>
                <w:szCs w:val="16"/>
              </w:rPr>
              <w:t>0 = andernfalls</w:t>
            </w:r>
          </w:p>
        </w:tc>
      </w:tr>
      <w:tr w:rsidR="00075E2B" w:rsidRPr="00FC4EB7" w14:paraId="3BB0A92E" w14:textId="77777777" w:rsidTr="005E2C4F">
        <w:trPr>
          <w:trHeight w:val="20"/>
          <w:jc w:val="center"/>
        </w:trPr>
        <w:tc>
          <w:tcPr>
            <w:tcW w:w="1683" w:type="pct"/>
            <w:tcBorders>
              <w:top w:val="nil"/>
              <w:left w:val="nil"/>
              <w:right w:val="nil"/>
            </w:tcBorders>
            <w:shd w:val="clear" w:color="000000" w:fill="FFFFFF"/>
          </w:tcPr>
          <w:p w14:paraId="4428D994"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Unverändert</w:t>
            </w:r>
          </w:p>
        </w:tc>
        <w:tc>
          <w:tcPr>
            <w:tcW w:w="3317" w:type="pct"/>
            <w:tcBorders>
              <w:top w:val="nil"/>
              <w:left w:val="nil"/>
              <w:right w:val="nil"/>
            </w:tcBorders>
            <w:shd w:val="clear" w:color="000000" w:fill="FFFFFF"/>
            <w:noWrap/>
          </w:tcPr>
          <w:p w14:paraId="6E2FD2A3" w14:textId="77777777" w:rsidR="00075E2B" w:rsidRDefault="00075E2B" w:rsidP="005E2C4F">
            <w:pPr>
              <w:snapToGrid w:val="0"/>
              <w:spacing w:after="0" w:line="240" w:lineRule="auto"/>
              <w:jc w:val="left"/>
              <w:rPr>
                <w:color w:val="000000"/>
                <w:sz w:val="16"/>
                <w:szCs w:val="16"/>
              </w:rPr>
            </w:pPr>
            <w:r w:rsidRPr="00FC4EB7">
              <w:rPr>
                <w:sz w:val="16"/>
                <w:szCs w:val="16"/>
              </w:rPr>
              <w:t xml:space="preserve">1 = </w:t>
            </w:r>
            <w:r>
              <w:rPr>
                <w:color w:val="000000"/>
                <w:sz w:val="16"/>
                <w:szCs w:val="16"/>
              </w:rPr>
              <w:t>Gewinn ist in den letzten sechs Monaten unverändert geblieben</w:t>
            </w:r>
            <w:r w:rsidRPr="00FC4EB7">
              <w:rPr>
                <w:sz w:val="16"/>
                <w:szCs w:val="16"/>
              </w:rPr>
              <w:t>; 0 = andernfalls</w:t>
            </w:r>
          </w:p>
        </w:tc>
      </w:tr>
      <w:tr w:rsidR="00075E2B" w:rsidRPr="00FC4EB7" w14:paraId="3CC04C0E" w14:textId="77777777" w:rsidTr="005E2C4F">
        <w:trPr>
          <w:trHeight w:val="20"/>
          <w:jc w:val="center"/>
        </w:trPr>
        <w:tc>
          <w:tcPr>
            <w:tcW w:w="1683" w:type="pct"/>
            <w:tcBorders>
              <w:top w:val="nil"/>
              <w:left w:val="nil"/>
              <w:right w:val="nil"/>
            </w:tcBorders>
            <w:shd w:val="clear" w:color="000000" w:fill="FFFFFF"/>
          </w:tcPr>
          <w:p w14:paraId="03572E32"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Verringert</w:t>
            </w:r>
          </w:p>
        </w:tc>
        <w:tc>
          <w:tcPr>
            <w:tcW w:w="3317" w:type="pct"/>
            <w:tcBorders>
              <w:top w:val="nil"/>
              <w:left w:val="nil"/>
              <w:right w:val="nil"/>
            </w:tcBorders>
            <w:shd w:val="clear" w:color="000000" w:fill="FFFFFF"/>
            <w:noWrap/>
          </w:tcPr>
          <w:p w14:paraId="4293D788" w14:textId="77777777" w:rsidR="00075E2B" w:rsidRDefault="00075E2B" w:rsidP="005E2C4F">
            <w:pPr>
              <w:snapToGrid w:val="0"/>
              <w:spacing w:after="60" w:line="240" w:lineRule="auto"/>
              <w:jc w:val="left"/>
              <w:rPr>
                <w:color w:val="000000"/>
                <w:sz w:val="16"/>
                <w:szCs w:val="16"/>
              </w:rPr>
            </w:pPr>
            <w:r w:rsidRPr="00FC4EB7">
              <w:rPr>
                <w:sz w:val="16"/>
                <w:szCs w:val="16"/>
              </w:rPr>
              <w:t xml:space="preserve">1 = </w:t>
            </w:r>
            <w:r>
              <w:rPr>
                <w:color w:val="000000"/>
                <w:sz w:val="16"/>
                <w:szCs w:val="16"/>
              </w:rPr>
              <w:t>Gewinn hat sich in den letzten sechs Monaten verringert</w:t>
            </w:r>
            <w:r w:rsidRPr="00FC4EB7">
              <w:rPr>
                <w:sz w:val="16"/>
                <w:szCs w:val="16"/>
              </w:rPr>
              <w:t>;</w:t>
            </w:r>
            <w:r>
              <w:rPr>
                <w:sz w:val="16"/>
                <w:szCs w:val="16"/>
              </w:rPr>
              <w:t xml:space="preserve"> </w:t>
            </w:r>
            <w:r w:rsidRPr="00FC4EB7">
              <w:rPr>
                <w:sz w:val="16"/>
                <w:szCs w:val="16"/>
              </w:rPr>
              <w:t>0 = andernfalls</w:t>
            </w:r>
          </w:p>
        </w:tc>
      </w:tr>
      <w:tr w:rsidR="00075E2B" w:rsidRPr="00FC4EB7" w14:paraId="12B28742" w14:textId="77777777" w:rsidTr="005E2C4F">
        <w:trPr>
          <w:trHeight w:val="20"/>
          <w:jc w:val="center"/>
        </w:trPr>
        <w:tc>
          <w:tcPr>
            <w:tcW w:w="1683" w:type="pct"/>
            <w:tcBorders>
              <w:top w:val="nil"/>
              <w:left w:val="nil"/>
              <w:right w:val="nil"/>
            </w:tcBorders>
            <w:shd w:val="clear" w:color="000000" w:fill="FFFFFF"/>
          </w:tcPr>
          <w:p w14:paraId="38329226" w14:textId="77777777" w:rsidR="00075E2B" w:rsidRPr="00F906E9" w:rsidRDefault="00075E2B" w:rsidP="005E2C4F">
            <w:pPr>
              <w:snapToGrid w:val="0"/>
              <w:spacing w:after="0" w:line="240" w:lineRule="auto"/>
              <w:jc w:val="left"/>
              <w:rPr>
                <w:b/>
                <w:bCs/>
                <w:color w:val="000000"/>
                <w:sz w:val="16"/>
                <w:szCs w:val="16"/>
              </w:rPr>
            </w:pPr>
            <w:r w:rsidRPr="00F906E9">
              <w:rPr>
                <w:b/>
                <w:bCs/>
                <w:color w:val="000000"/>
                <w:sz w:val="16"/>
                <w:szCs w:val="16"/>
              </w:rPr>
              <w:t>Erwarteter Umsatz</w:t>
            </w:r>
          </w:p>
        </w:tc>
        <w:tc>
          <w:tcPr>
            <w:tcW w:w="3317" w:type="pct"/>
            <w:tcBorders>
              <w:top w:val="nil"/>
              <w:left w:val="nil"/>
              <w:right w:val="nil"/>
            </w:tcBorders>
            <w:shd w:val="clear" w:color="000000" w:fill="FFFFFF"/>
            <w:noWrap/>
          </w:tcPr>
          <w:p w14:paraId="071D8636" w14:textId="77777777" w:rsidR="00075E2B" w:rsidRDefault="00075E2B" w:rsidP="005E2C4F">
            <w:pPr>
              <w:snapToGrid w:val="0"/>
              <w:spacing w:after="0" w:line="240" w:lineRule="auto"/>
              <w:jc w:val="left"/>
              <w:rPr>
                <w:color w:val="000000"/>
                <w:sz w:val="16"/>
                <w:szCs w:val="16"/>
              </w:rPr>
            </w:pPr>
          </w:p>
        </w:tc>
      </w:tr>
      <w:tr w:rsidR="00075E2B" w:rsidRPr="00FC4EB7" w14:paraId="00638F65" w14:textId="77777777" w:rsidTr="005E2C4F">
        <w:trPr>
          <w:trHeight w:val="20"/>
          <w:jc w:val="center"/>
        </w:trPr>
        <w:tc>
          <w:tcPr>
            <w:tcW w:w="1683" w:type="pct"/>
            <w:tcBorders>
              <w:top w:val="nil"/>
              <w:left w:val="nil"/>
              <w:right w:val="nil"/>
            </w:tcBorders>
            <w:shd w:val="clear" w:color="000000" w:fill="FFFFFF"/>
          </w:tcPr>
          <w:p w14:paraId="65FBA6F2" w14:textId="77777777" w:rsidR="00075E2B"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&gt;20% Steigerung</w:t>
            </w:r>
          </w:p>
        </w:tc>
        <w:tc>
          <w:tcPr>
            <w:tcW w:w="3317" w:type="pct"/>
            <w:tcBorders>
              <w:top w:val="nil"/>
              <w:left w:val="nil"/>
              <w:right w:val="nil"/>
            </w:tcBorders>
            <w:shd w:val="clear" w:color="000000" w:fill="FFFFFF"/>
            <w:noWrap/>
          </w:tcPr>
          <w:p w14:paraId="0240860F" w14:textId="77777777" w:rsidR="00075E2B" w:rsidRDefault="00075E2B" w:rsidP="005E2C4F">
            <w:pPr>
              <w:snapToGrid w:val="0"/>
              <w:spacing w:after="0" w:line="240" w:lineRule="auto"/>
              <w:jc w:val="left"/>
              <w:rPr>
                <w:color w:val="000000"/>
                <w:sz w:val="16"/>
                <w:szCs w:val="16"/>
              </w:rPr>
            </w:pPr>
            <w:r w:rsidRPr="00FC4EB7">
              <w:rPr>
                <w:sz w:val="16"/>
                <w:szCs w:val="16"/>
              </w:rPr>
              <w:t>1 =</w:t>
            </w:r>
            <w:r>
              <w:rPr>
                <w:sz w:val="16"/>
                <w:szCs w:val="16"/>
              </w:rPr>
              <w:t xml:space="preserve"> </w:t>
            </w:r>
            <w:r>
              <w:rPr>
                <w:color w:val="000000"/>
                <w:sz w:val="16"/>
                <w:szCs w:val="16"/>
              </w:rPr>
              <w:t>Umsatz wird in den nächsten zwei bis drei Jahren um &gt;20% steigen</w:t>
            </w:r>
            <w:r w:rsidRPr="00FC4EB7">
              <w:rPr>
                <w:sz w:val="16"/>
                <w:szCs w:val="16"/>
              </w:rPr>
              <w:t>; 0 = andernfalls</w:t>
            </w:r>
          </w:p>
        </w:tc>
      </w:tr>
      <w:tr w:rsidR="00075E2B" w:rsidRPr="00FC4EB7" w14:paraId="6CE07A77" w14:textId="77777777" w:rsidTr="005E2C4F">
        <w:trPr>
          <w:trHeight w:val="20"/>
          <w:jc w:val="center"/>
        </w:trPr>
        <w:tc>
          <w:tcPr>
            <w:tcW w:w="1683" w:type="pct"/>
            <w:tcBorders>
              <w:top w:val="nil"/>
              <w:left w:val="nil"/>
              <w:right w:val="nil"/>
            </w:tcBorders>
            <w:shd w:val="clear" w:color="000000" w:fill="FFFFFF"/>
          </w:tcPr>
          <w:p w14:paraId="0680D40A"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&lt;20% Steigerung</w:t>
            </w:r>
          </w:p>
        </w:tc>
        <w:tc>
          <w:tcPr>
            <w:tcW w:w="3317" w:type="pct"/>
            <w:tcBorders>
              <w:top w:val="nil"/>
              <w:left w:val="nil"/>
              <w:right w:val="nil"/>
            </w:tcBorders>
            <w:shd w:val="clear" w:color="000000" w:fill="FFFFFF"/>
            <w:noWrap/>
          </w:tcPr>
          <w:p w14:paraId="17532C8A" w14:textId="77777777" w:rsidR="00075E2B" w:rsidRDefault="00075E2B" w:rsidP="005E2C4F">
            <w:pPr>
              <w:snapToGrid w:val="0"/>
              <w:spacing w:after="0" w:line="240" w:lineRule="auto"/>
              <w:jc w:val="left"/>
              <w:rPr>
                <w:color w:val="000000"/>
                <w:sz w:val="16"/>
                <w:szCs w:val="16"/>
              </w:rPr>
            </w:pPr>
            <w:r w:rsidRPr="00FC4EB7">
              <w:rPr>
                <w:sz w:val="16"/>
                <w:szCs w:val="16"/>
              </w:rPr>
              <w:t>1 =</w:t>
            </w:r>
            <w:r>
              <w:rPr>
                <w:sz w:val="16"/>
                <w:szCs w:val="16"/>
              </w:rPr>
              <w:t xml:space="preserve"> </w:t>
            </w:r>
            <w:r>
              <w:rPr>
                <w:color w:val="000000"/>
                <w:sz w:val="16"/>
                <w:szCs w:val="16"/>
              </w:rPr>
              <w:t>Umsatz wird in den nächsten zwei bis drei Jahren um &lt;20% steigen</w:t>
            </w:r>
            <w:r w:rsidRPr="00FC4EB7">
              <w:rPr>
                <w:sz w:val="16"/>
                <w:szCs w:val="16"/>
              </w:rPr>
              <w:t>; 0 = andernfalls</w:t>
            </w:r>
          </w:p>
        </w:tc>
      </w:tr>
      <w:tr w:rsidR="00075E2B" w:rsidRPr="00FC4EB7" w14:paraId="6FAE9A61" w14:textId="77777777" w:rsidTr="005E2C4F">
        <w:trPr>
          <w:trHeight w:val="20"/>
          <w:jc w:val="center"/>
        </w:trPr>
        <w:tc>
          <w:tcPr>
            <w:tcW w:w="1683" w:type="pct"/>
            <w:tcBorders>
              <w:top w:val="nil"/>
              <w:left w:val="nil"/>
              <w:right w:val="nil"/>
            </w:tcBorders>
            <w:shd w:val="clear" w:color="000000" w:fill="FFFFFF"/>
          </w:tcPr>
          <w:p w14:paraId="7AC70586"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Gleich</w:t>
            </w:r>
          </w:p>
        </w:tc>
        <w:tc>
          <w:tcPr>
            <w:tcW w:w="3317" w:type="pct"/>
            <w:tcBorders>
              <w:top w:val="nil"/>
              <w:left w:val="nil"/>
              <w:right w:val="nil"/>
            </w:tcBorders>
            <w:shd w:val="clear" w:color="000000" w:fill="FFFFFF"/>
            <w:noWrap/>
          </w:tcPr>
          <w:p w14:paraId="402BE9A1" w14:textId="77777777" w:rsidR="00075E2B" w:rsidRDefault="00075E2B" w:rsidP="005E2C4F">
            <w:pPr>
              <w:snapToGrid w:val="0"/>
              <w:spacing w:after="0" w:line="240" w:lineRule="auto"/>
              <w:jc w:val="left"/>
              <w:rPr>
                <w:color w:val="000000"/>
                <w:sz w:val="16"/>
                <w:szCs w:val="16"/>
              </w:rPr>
            </w:pPr>
            <w:r w:rsidRPr="00FC4EB7">
              <w:rPr>
                <w:sz w:val="16"/>
                <w:szCs w:val="16"/>
              </w:rPr>
              <w:t>1 =</w:t>
            </w:r>
            <w:r>
              <w:rPr>
                <w:sz w:val="16"/>
                <w:szCs w:val="16"/>
              </w:rPr>
              <w:t xml:space="preserve"> </w:t>
            </w:r>
            <w:r>
              <w:rPr>
                <w:color w:val="000000"/>
                <w:sz w:val="16"/>
                <w:szCs w:val="16"/>
              </w:rPr>
              <w:t>Umsatz wird in den nächsten zwei bis drei Jahren gleichbleiben</w:t>
            </w:r>
            <w:r w:rsidRPr="00FC4EB7">
              <w:rPr>
                <w:sz w:val="16"/>
                <w:szCs w:val="16"/>
              </w:rPr>
              <w:t>; 0 = andernfalls</w:t>
            </w:r>
          </w:p>
        </w:tc>
      </w:tr>
      <w:tr w:rsidR="00075E2B" w:rsidRPr="00FC4EB7" w14:paraId="599F4ADB" w14:textId="77777777" w:rsidTr="005E2C4F">
        <w:trPr>
          <w:trHeight w:val="20"/>
          <w:jc w:val="center"/>
        </w:trPr>
        <w:tc>
          <w:tcPr>
            <w:tcW w:w="1683" w:type="pct"/>
            <w:tcBorders>
              <w:top w:val="nil"/>
              <w:left w:val="nil"/>
              <w:right w:val="nil"/>
            </w:tcBorders>
            <w:shd w:val="clear" w:color="000000" w:fill="FFFFFF"/>
          </w:tcPr>
          <w:p w14:paraId="186573BA" w14:textId="77777777" w:rsidR="00075E2B" w:rsidRPr="00FC4EB7"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Verringerung</w:t>
            </w:r>
          </w:p>
        </w:tc>
        <w:tc>
          <w:tcPr>
            <w:tcW w:w="3317" w:type="pct"/>
            <w:tcBorders>
              <w:top w:val="nil"/>
              <w:left w:val="nil"/>
              <w:right w:val="nil"/>
            </w:tcBorders>
            <w:shd w:val="clear" w:color="000000" w:fill="FFFFFF"/>
            <w:noWrap/>
          </w:tcPr>
          <w:p w14:paraId="07155D0C" w14:textId="77777777" w:rsidR="00075E2B" w:rsidRDefault="00075E2B" w:rsidP="005E2C4F">
            <w:pPr>
              <w:snapToGrid w:val="0"/>
              <w:spacing w:after="60" w:line="240" w:lineRule="auto"/>
              <w:jc w:val="left"/>
              <w:rPr>
                <w:color w:val="000000"/>
                <w:sz w:val="16"/>
                <w:szCs w:val="16"/>
              </w:rPr>
            </w:pPr>
            <w:r w:rsidRPr="00FC4EB7">
              <w:rPr>
                <w:sz w:val="16"/>
                <w:szCs w:val="16"/>
              </w:rPr>
              <w:t>1 =</w:t>
            </w:r>
            <w:r>
              <w:rPr>
                <w:sz w:val="16"/>
                <w:szCs w:val="16"/>
              </w:rPr>
              <w:t xml:space="preserve"> </w:t>
            </w:r>
            <w:r>
              <w:rPr>
                <w:color w:val="000000"/>
                <w:sz w:val="16"/>
                <w:szCs w:val="16"/>
              </w:rPr>
              <w:t>Umsatz wird in den nächsten zwei bis drei Jahren sich verringern</w:t>
            </w:r>
            <w:r w:rsidRPr="00FC4EB7">
              <w:rPr>
                <w:sz w:val="16"/>
                <w:szCs w:val="16"/>
              </w:rPr>
              <w:t>; 0 = andernfalls</w:t>
            </w:r>
          </w:p>
        </w:tc>
      </w:tr>
      <w:tr w:rsidR="00075E2B" w:rsidRPr="00FC4EB7" w14:paraId="709F4D40" w14:textId="77777777" w:rsidTr="005E2C4F">
        <w:trPr>
          <w:trHeight w:val="20"/>
          <w:jc w:val="center"/>
        </w:trPr>
        <w:tc>
          <w:tcPr>
            <w:tcW w:w="1683" w:type="pct"/>
            <w:tcBorders>
              <w:top w:val="nil"/>
              <w:left w:val="nil"/>
              <w:right w:val="nil"/>
            </w:tcBorders>
            <w:shd w:val="clear" w:color="000000" w:fill="FFFFFF"/>
          </w:tcPr>
          <w:p w14:paraId="4F07A7EC" w14:textId="77777777" w:rsidR="00075E2B" w:rsidRPr="00F906E9" w:rsidRDefault="00075E2B" w:rsidP="005E2C4F">
            <w:pPr>
              <w:snapToGrid w:val="0"/>
              <w:spacing w:after="60" w:line="240" w:lineRule="auto"/>
              <w:jc w:val="left"/>
              <w:rPr>
                <w:b/>
                <w:bCs/>
                <w:color w:val="000000"/>
                <w:sz w:val="16"/>
                <w:szCs w:val="16"/>
              </w:rPr>
            </w:pPr>
            <w:r w:rsidRPr="00F906E9">
              <w:rPr>
                <w:b/>
                <w:bCs/>
                <w:color w:val="000000"/>
                <w:spacing w:val="-6"/>
                <w:sz w:val="16"/>
                <w:szCs w:val="16"/>
              </w:rPr>
              <w:t>Probleme beim Zugang</w:t>
            </w:r>
            <w:r w:rsidRPr="00F906E9">
              <w:rPr>
                <w:b/>
                <w:bCs/>
                <w:color w:val="000000"/>
                <w:sz w:val="16"/>
                <w:szCs w:val="16"/>
              </w:rPr>
              <w:t xml:space="preserve"> </w:t>
            </w:r>
            <w:r w:rsidRPr="00F906E9">
              <w:rPr>
                <w:b/>
                <w:bCs/>
                <w:color w:val="000000"/>
                <w:spacing w:val="-8"/>
                <w:sz w:val="16"/>
                <w:szCs w:val="16"/>
              </w:rPr>
              <w:t>zu Finanzierungsquellen</w:t>
            </w:r>
          </w:p>
        </w:tc>
        <w:tc>
          <w:tcPr>
            <w:tcW w:w="3317" w:type="pct"/>
            <w:tcBorders>
              <w:top w:val="nil"/>
              <w:left w:val="nil"/>
              <w:right w:val="nil"/>
            </w:tcBorders>
            <w:shd w:val="clear" w:color="000000" w:fill="FFFFFF"/>
            <w:noWrap/>
          </w:tcPr>
          <w:p w14:paraId="73C1E5F1" w14:textId="77777777" w:rsidR="00075E2B" w:rsidRDefault="00075E2B" w:rsidP="005E2C4F">
            <w:pPr>
              <w:snapToGrid w:val="0"/>
              <w:spacing w:after="60" w:line="240" w:lineRule="auto"/>
              <w:jc w:val="left"/>
              <w:rPr>
                <w:color w:val="000000"/>
                <w:sz w:val="16"/>
                <w:szCs w:val="16"/>
              </w:rPr>
            </w:pPr>
          </w:p>
        </w:tc>
      </w:tr>
      <w:tr w:rsidR="00075E2B" w:rsidRPr="00FC4EB7" w14:paraId="20369314" w14:textId="77777777" w:rsidTr="005E2C4F">
        <w:trPr>
          <w:trHeight w:val="20"/>
          <w:jc w:val="center"/>
        </w:trPr>
        <w:tc>
          <w:tcPr>
            <w:tcW w:w="1683" w:type="pct"/>
            <w:tcBorders>
              <w:top w:val="nil"/>
              <w:left w:val="nil"/>
              <w:right w:val="nil"/>
            </w:tcBorders>
            <w:shd w:val="clear" w:color="000000" w:fill="FFFFFF"/>
          </w:tcPr>
          <w:p w14:paraId="2A639673" w14:textId="77777777" w:rsidR="00075E2B" w:rsidRPr="000257B3"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Geringe Bedeutung (1–3)</w:t>
            </w:r>
          </w:p>
        </w:tc>
        <w:tc>
          <w:tcPr>
            <w:tcW w:w="3317" w:type="pct"/>
            <w:tcBorders>
              <w:top w:val="nil"/>
              <w:left w:val="nil"/>
              <w:right w:val="nil"/>
            </w:tcBorders>
            <w:shd w:val="clear" w:color="000000" w:fill="FFFFFF"/>
            <w:noWrap/>
          </w:tcPr>
          <w:p w14:paraId="498F798B" w14:textId="77777777" w:rsidR="00075E2B" w:rsidRDefault="00075E2B" w:rsidP="005E2C4F">
            <w:pPr>
              <w:snapToGrid w:val="0"/>
              <w:spacing w:after="60" w:line="240" w:lineRule="auto"/>
              <w:jc w:val="left"/>
              <w:rPr>
                <w:color w:val="000000"/>
                <w:sz w:val="16"/>
                <w:szCs w:val="16"/>
              </w:rPr>
            </w:pPr>
            <w:r w:rsidRPr="00FC4EB7">
              <w:rPr>
                <w:sz w:val="16"/>
                <w:szCs w:val="16"/>
              </w:rPr>
              <w:t>1 =</w:t>
            </w:r>
            <w:r>
              <w:rPr>
                <w:sz w:val="16"/>
                <w:szCs w:val="16"/>
              </w:rPr>
              <w:t xml:space="preserve"> </w:t>
            </w:r>
            <w:r>
              <w:rPr>
                <w:color w:val="000000"/>
                <w:sz w:val="16"/>
                <w:szCs w:val="16"/>
              </w:rPr>
              <w:t>Probleme beim Zugang zu Finanzierungsquellen waren von geringer Bedeutung (1–3)</w:t>
            </w:r>
            <w:r w:rsidRPr="00BE37B6">
              <w:rPr>
                <w:spacing w:val="-2"/>
                <w:sz w:val="16"/>
                <w:szCs w:val="16"/>
              </w:rPr>
              <w:t>; 0 = andernfalls</w:t>
            </w:r>
          </w:p>
        </w:tc>
      </w:tr>
      <w:tr w:rsidR="00075E2B" w:rsidRPr="00FC4EB7" w14:paraId="030BA049" w14:textId="77777777" w:rsidTr="005E2C4F">
        <w:trPr>
          <w:trHeight w:val="20"/>
          <w:jc w:val="center"/>
        </w:trPr>
        <w:tc>
          <w:tcPr>
            <w:tcW w:w="1683" w:type="pct"/>
            <w:tcBorders>
              <w:top w:val="nil"/>
              <w:left w:val="nil"/>
              <w:right w:val="nil"/>
            </w:tcBorders>
            <w:shd w:val="clear" w:color="000000" w:fill="FFFFFF"/>
          </w:tcPr>
          <w:p w14:paraId="68B527FA" w14:textId="77777777" w:rsidR="00075E2B" w:rsidRPr="000257B3"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Mittlere Bedeutung (4–6)</w:t>
            </w:r>
          </w:p>
        </w:tc>
        <w:tc>
          <w:tcPr>
            <w:tcW w:w="3317" w:type="pct"/>
            <w:tcBorders>
              <w:top w:val="nil"/>
              <w:left w:val="nil"/>
              <w:right w:val="nil"/>
            </w:tcBorders>
            <w:shd w:val="clear" w:color="000000" w:fill="FFFFFF"/>
            <w:noWrap/>
          </w:tcPr>
          <w:p w14:paraId="08CB8721" w14:textId="77777777" w:rsidR="00075E2B" w:rsidRDefault="00075E2B" w:rsidP="005E2C4F">
            <w:pPr>
              <w:snapToGrid w:val="0"/>
              <w:spacing w:after="60" w:line="240" w:lineRule="auto"/>
              <w:jc w:val="left"/>
              <w:rPr>
                <w:color w:val="000000"/>
                <w:sz w:val="16"/>
                <w:szCs w:val="16"/>
              </w:rPr>
            </w:pPr>
            <w:r w:rsidRPr="00FC4EB7">
              <w:rPr>
                <w:sz w:val="16"/>
                <w:szCs w:val="16"/>
              </w:rPr>
              <w:t>1 =</w:t>
            </w:r>
            <w:r>
              <w:rPr>
                <w:sz w:val="16"/>
                <w:szCs w:val="16"/>
              </w:rPr>
              <w:t xml:space="preserve"> </w:t>
            </w:r>
            <w:r>
              <w:rPr>
                <w:color w:val="000000"/>
                <w:sz w:val="16"/>
                <w:szCs w:val="16"/>
              </w:rPr>
              <w:t>Probleme beim Zugang zu Finanzierungsquellen waren von mittlerer Bedeutung (4–6)</w:t>
            </w:r>
            <w:r w:rsidRPr="00BE37B6">
              <w:rPr>
                <w:spacing w:val="-2"/>
                <w:sz w:val="16"/>
                <w:szCs w:val="16"/>
              </w:rPr>
              <w:t>; 0 = andernfalls</w:t>
            </w:r>
          </w:p>
        </w:tc>
      </w:tr>
      <w:tr w:rsidR="00075E2B" w:rsidRPr="00FC4EB7" w14:paraId="44F61121" w14:textId="77777777" w:rsidTr="005E2C4F">
        <w:trPr>
          <w:trHeight w:val="20"/>
          <w:jc w:val="center"/>
        </w:trPr>
        <w:tc>
          <w:tcPr>
            <w:tcW w:w="1683" w:type="pct"/>
            <w:tcBorders>
              <w:top w:val="nil"/>
              <w:left w:val="nil"/>
              <w:right w:val="nil"/>
            </w:tcBorders>
            <w:shd w:val="clear" w:color="000000" w:fill="FFFFFF"/>
          </w:tcPr>
          <w:p w14:paraId="7010B2D6" w14:textId="77777777" w:rsidR="00075E2B" w:rsidRPr="000257B3" w:rsidRDefault="00075E2B"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Hohe Bedeutung (7–10)</w:t>
            </w:r>
          </w:p>
        </w:tc>
        <w:tc>
          <w:tcPr>
            <w:tcW w:w="3317" w:type="pct"/>
            <w:tcBorders>
              <w:top w:val="nil"/>
              <w:left w:val="nil"/>
              <w:right w:val="nil"/>
            </w:tcBorders>
            <w:shd w:val="clear" w:color="000000" w:fill="FFFFFF"/>
            <w:noWrap/>
          </w:tcPr>
          <w:p w14:paraId="4BA99CED" w14:textId="77777777" w:rsidR="00075E2B" w:rsidRDefault="00075E2B" w:rsidP="005E2C4F">
            <w:pPr>
              <w:snapToGrid w:val="0"/>
              <w:spacing w:after="60" w:line="240" w:lineRule="auto"/>
              <w:jc w:val="left"/>
              <w:rPr>
                <w:color w:val="000000"/>
                <w:sz w:val="16"/>
                <w:szCs w:val="16"/>
              </w:rPr>
            </w:pPr>
            <w:r w:rsidRPr="00FC4EB7">
              <w:rPr>
                <w:sz w:val="16"/>
                <w:szCs w:val="16"/>
              </w:rPr>
              <w:t>1 =</w:t>
            </w:r>
            <w:r>
              <w:rPr>
                <w:sz w:val="16"/>
                <w:szCs w:val="16"/>
              </w:rPr>
              <w:t xml:space="preserve"> </w:t>
            </w:r>
            <w:r>
              <w:rPr>
                <w:color w:val="000000"/>
                <w:sz w:val="16"/>
                <w:szCs w:val="16"/>
              </w:rPr>
              <w:t>Probleme beim Zugang zu Finanzierungsquellen waren von hoher Bedeutung    (7–10)</w:t>
            </w:r>
            <w:r w:rsidRPr="00BE37B6">
              <w:rPr>
                <w:spacing w:val="-2"/>
                <w:sz w:val="16"/>
                <w:szCs w:val="16"/>
              </w:rPr>
              <w:t>; 0 = andernfalls</w:t>
            </w:r>
          </w:p>
        </w:tc>
      </w:tr>
      <w:tr w:rsidR="00075E2B" w:rsidRPr="00FC4EB7" w14:paraId="142D00C2" w14:textId="77777777" w:rsidTr="005E2C4F">
        <w:trPr>
          <w:trHeight w:val="20"/>
          <w:jc w:val="center"/>
        </w:trPr>
        <w:tc>
          <w:tcPr>
            <w:tcW w:w="1683" w:type="pct"/>
            <w:tcBorders>
              <w:top w:val="nil"/>
              <w:left w:val="nil"/>
              <w:right w:val="nil"/>
            </w:tcBorders>
            <w:shd w:val="clear" w:color="000000" w:fill="FFFFFF"/>
          </w:tcPr>
          <w:p w14:paraId="2EFC0172" w14:textId="77777777" w:rsidR="00075E2B" w:rsidRPr="00F906E9" w:rsidRDefault="00075E2B" w:rsidP="005E2C4F">
            <w:pPr>
              <w:snapToGrid w:val="0"/>
              <w:spacing w:after="60" w:line="240" w:lineRule="auto"/>
              <w:jc w:val="left"/>
              <w:rPr>
                <w:b/>
                <w:bCs/>
                <w:color w:val="000000"/>
                <w:sz w:val="16"/>
                <w:szCs w:val="16"/>
              </w:rPr>
            </w:pPr>
            <w:r w:rsidRPr="00F906E9">
              <w:rPr>
                <w:b/>
                <w:bCs/>
                <w:color w:val="000000"/>
                <w:sz w:val="16"/>
                <w:szCs w:val="16"/>
              </w:rPr>
              <w:t>Innovationstätigkeit</w:t>
            </w:r>
          </w:p>
        </w:tc>
        <w:tc>
          <w:tcPr>
            <w:tcW w:w="3317" w:type="pct"/>
            <w:tcBorders>
              <w:top w:val="nil"/>
              <w:left w:val="nil"/>
              <w:right w:val="nil"/>
            </w:tcBorders>
            <w:shd w:val="clear" w:color="000000" w:fill="FFFFFF"/>
            <w:noWrap/>
          </w:tcPr>
          <w:p w14:paraId="14D03FD1" w14:textId="77777777" w:rsidR="00075E2B" w:rsidRPr="00FC4EB7" w:rsidRDefault="00075E2B" w:rsidP="005E2C4F">
            <w:pPr>
              <w:snapToGrid w:val="0"/>
              <w:spacing w:after="60" w:line="240" w:lineRule="auto"/>
              <w:jc w:val="left"/>
              <w:rPr>
                <w:color w:val="000000"/>
                <w:sz w:val="16"/>
                <w:szCs w:val="16"/>
              </w:rPr>
            </w:pPr>
            <w:r w:rsidRPr="00FC4EB7">
              <w:rPr>
                <w:sz w:val="16"/>
                <w:szCs w:val="16"/>
              </w:rPr>
              <w:t>1 =</w:t>
            </w:r>
            <w:r>
              <w:rPr>
                <w:sz w:val="16"/>
                <w:szCs w:val="16"/>
              </w:rPr>
              <w:t xml:space="preserve"> </w:t>
            </w:r>
            <w:r>
              <w:rPr>
                <w:color w:val="000000"/>
                <w:sz w:val="16"/>
                <w:szCs w:val="16"/>
              </w:rPr>
              <w:t xml:space="preserve">Unternehmen hat in den letzten zwölf Monaten ein deutlich </w:t>
            </w:r>
            <w:r w:rsidRPr="00BE37B6">
              <w:rPr>
                <w:color w:val="000000"/>
                <w:spacing w:val="-2"/>
                <w:sz w:val="16"/>
                <w:szCs w:val="16"/>
              </w:rPr>
              <w:t xml:space="preserve">verbessertes Produkt </w:t>
            </w:r>
            <w:r>
              <w:rPr>
                <w:color w:val="000000"/>
                <w:spacing w:val="-2"/>
                <w:sz w:val="16"/>
                <w:szCs w:val="16"/>
              </w:rPr>
              <w:t>/</w:t>
            </w:r>
            <w:r w:rsidRPr="00BE37B6">
              <w:rPr>
                <w:color w:val="000000"/>
                <w:spacing w:val="-2"/>
                <w:sz w:val="16"/>
                <w:szCs w:val="16"/>
              </w:rPr>
              <w:t xml:space="preserve"> Service veröffentlicht</w:t>
            </w:r>
            <w:r w:rsidRPr="00BE37B6">
              <w:rPr>
                <w:spacing w:val="-2"/>
                <w:sz w:val="16"/>
                <w:szCs w:val="16"/>
              </w:rPr>
              <w:t>; 0 = andernfalls</w:t>
            </w:r>
          </w:p>
        </w:tc>
      </w:tr>
      <w:tr w:rsidR="00075E2B" w:rsidRPr="00FC4EB7" w14:paraId="61650F82" w14:textId="77777777" w:rsidTr="005E2C4F">
        <w:trPr>
          <w:trHeight w:val="20"/>
          <w:jc w:val="center"/>
        </w:trPr>
        <w:tc>
          <w:tcPr>
            <w:tcW w:w="1683" w:type="pct"/>
            <w:tcBorders>
              <w:top w:val="nil"/>
              <w:left w:val="nil"/>
              <w:right w:val="nil"/>
            </w:tcBorders>
            <w:shd w:val="clear" w:color="000000" w:fill="FFFFFF"/>
          </w:tcPr>
          <w:p w14:paraId="1D82BF10" w14:textId="77777777" w:rsidR="00075E2B" w:rsidRPr="00F906E9" w:rsidRDefault="00075E2B" w:rsidP="005E2C4F">
            <w:pPr>
              <w:snapToGrid w:val="0"/>
              <w:spacing w:after="60" w:line="240" w:lineRule="auto"/>
              <w:jc w:val="left"/>
              <w:rPr>
                <w:b/>
                <w:bCs/>
                <w:color w:val="000000"/>
                <w:sz w:val="16"/>
                <w:szCs w:val="16"/>
              </w:rPr>
            </w:pPr>
            <w:r w:rsidRPr="00F906E9">
              <w:rPr>
                <w:b/>
                <w:bCs/>
                <w:color w:val="000000"/>
                <w:sz w:val="16"/>
                <w:szCs w:val="16"/>
              </w:rPr>
              <w:t>Branche</w:t>
            </w:r>
          </w:p>
        </w:tc>
        <w:tc>
          <w:tcPr>
            <w:tcW w:w="3317" w:type="pct"/>
            <w:tcBorders>
              <w:top w:val="nil"/>
              <w:left w:val="nil"/>
              <w:right w:val="nil"/>
            </w:tcBorders>
            <w:shd w:val="clear" w:color="000000" w:fill="FFFFFF"/>
            <w:noWrap/>
          </w:tcPr>
          <w:p w14:paraId="3BE87F36" w14:textId="77777777" w:rsidR="00075E2B" w:rsidRPr="00FC4EB7" w:rsidRDefault="00075E2B" w:rsidP="005E2C4F">
            <w:pPr>
              <w:snapToGrid w:val="0"/>
              <w:spacing w:after="60" w:line="240" w:lineRule="auto"/>
              <w:jc w:val="left"/>
              <w:rPr>
                <w:color w:val="000000"/>
                <w:sz w:val="16"/>
                <w:szCs w:val="16"/>
              </w:rPr>
            </w:pPr>
            <w:r w:rsidRPr="002838C3">
              <w:rPr>
                <w:color w:val="000000"/>
                <w:spacing w:val="-4"/>
                <w:sz w:val="16"/>
                <w:szCs w:val="16"/>
              </w:rPr>
              <w:t>Variable für jede Branche (Industrie, Handel, Bauwesen, Service)</w:t>
            </w:r>
          </w:p>
        </w:tc>
      </w:tr>
      <w:tr w:rsidR="00075E2B" w:rsidRPr="00FC4EB7" w14:paraId="33E45C94" w14:textId="77777777" w:rsidTr="005E2C4F">
        <w:trPr>
          <w:trHeight w:val="20"/>
          <w:jc w:val="center"/>
        </w:trPr>
        <w:tc>
          <w:tcPr>
            <w:tcW w:w="1683" w:type="pct"/>
            <w:tcBorders>
              <w:left w:val="nil"/>
              <w:bottom w:val="single" w:sz="8" w:space="0" w:color="auto"/>
              <w:right w:val="nil"/>
            </w:tcBorders>
            <w:shd w:val="clear" w:color="000000" w:fill="FFFFFF"/>
          </w:tcPr>
          <w:p w14:paraId="7D10E6B5" w14:textId="77777777" w:rsidR="00075E2B" w:rsidRPr="00F906E9" w:rsidRDefault="00075E2B" w:rsidP="005E2C4F">
            <w:pPr>
              <w:snapToGrid w:val="0"/>
              <w:spacing w:after="60" w:line="240" w:lineRule="auto"/>
              <w:jc w:val="left"/>
              <w:rPr>
                <w:b/>
                <w:bCs/>
                <w:color w:val="000000"/>
                <w:sz w:val="16"/>
                <w:szCs w:val="16"/>
              </w:rPr>
            </w:pPr>
            <w:r w:rsidRPr="00F906E9">
              <w:rPr>
                <w:b/>
                <w:bCs/>
                <w:color w:val="000000"/>
                <w:sz w:val="16"/>
                <w:szCs w:val="16"/>
              </w:rPr>
              <w:t>Land</w:t>
            </w:r>
          </w:p>
        </w:tc>
        <w:tc>
          <w:tcPr>
            <w:tcW w:w="3317" w:type="pct"/>
            <w:tcBorders>
              <w:left w:val="nil"/>
              <w:bottom w:val="single" w:sz="8" w:space="0" w:color="auto"/>
              <w:right w:val="nil"/>
            </w:tcBorders>
            <w:shd w:val="clear" w:color="000000" w:fill="FFFFFF"/>
            <w:noWrap/>
          </w:tcPr>
          <w:p w14:paraId="0C6FB0F5" w14:textId="77777777" w:rsidR="00075E2B" w:rsidRPr="00FC4EB7" w:rsidRDefault="00075E2B" w:rsidP="005E2C4F">
            <w:pPr>
              <w:snapToGrid w:val="0"/>
              <w:spacing w:after="60" w:line="240" w:lineRule="auto"/>
              <w:jc w:val="left"/>
              <w:rPr>
                <w:color w:val="000000"/>
                <w:sz w:val="16"/>
                <w:szCs w:val="16"/>
              </w:rPr>
            </w:pPr>
            <w:r>
              <w:rPr>
                <w:color w:val="000000"/>
                <w:sz w:val="16"/>
                <w:szCs w:val="16"/>
              </w:rPr>
              <w:t>Variable für jedes Land der EU-28</w:t>
            </w:r>
          </w:p>
        </w:tc>
      </w:tr>
    </w:tbl>
    <w:p w14:paraId="3B141E2E" w14:textId="43BCABE3" w:rsidR="00AD16F9" w:rsidRDefault="00AD16F9" w:rsidP="001A4E15">
      <w:pPr>
        <w:pStyle w:val="berschrift1"/>
        <w:numPr>
          <w:ilvl w:val="0"/>
          <w:numId w:val="2"/>
        </w:numPr>
      </w:pPr>
      <w:bookmarkStart w:id="40" w:name="_Toc88425836"/>
      <w:bookmarkStart w:id="41" w:name="_Ref88428683"/>
      <w:bookmarkStart w:id="42" w:name="_Ref88429213"/>
      <w:r>
        <w:lastRenderedPageBreak/>
        <w:t>Finanzierungsmuster und Hypothesen</w:t>
      </w:r>
      <w:bookmarkEnd w:id="40"/>
      <w:bookmarkEnd w:id="41"/>
      <w:bookmarkEnd w:id="42"/>
    </w:p>
    <w:p w14:paraId="366D466E" w14:textId="080EDD2E" w:rsidR="00A254EA" w:rsidRDefault="002C2FA5" w:rsidP="001A4E15">
      <w:pPr>
        <w:pStyle w:val="berschrift2"/>
        <w:numPr>
          <w:ilvl w:val="1"/>
          <w:numId w:val="4"/>
        </w:numPr>
        <w:spacing w:after="120" w:line="240" w:lineRule="auto"/>
        <w:ind w:left="425" w:hanging="431"/>
      </w:pPr>
      <w:bookmarkStart w:id="43" w:name="_Toc88425837"/>
      <w:r>
        <w:t>Ergebnisse der Clusteranalyse und daraus abgeleitete Finanzierungsm</w:t>
      </w:r>
      <w:r w:rsidR="00D3347F">
        <w:t>uster</w:t>
      </w:r>
      <w:bookmarkEnd w:id="43"/>
    </w:p>
    <w:p w14:paraId="0B27C5B6" w14:textId="43BF1B5A" w:rsidR="006008D0" w:rsidRDefault="00A254EA" w:rsidP="00E6230B">
      <w:pPr>
        <w:spacing w:after="120"/>
      </w:pPr>
      <w:r>
        <w:t>Zur</w:t>
      </w:r>
      <w:r w:rsidRPr="00A254EA">
        <w:t xml:space="preserve"> empirische</w:t>
      </w:r>
      <w:r>
        <w:t>n</w:t>
      </w:r>
      <w:r w:rsidRPr="00A254EA">
        <w:t xml:space="preserve"> Herleitung der Finanzierungsmuster</w:t>
      </w:r>
      <w:r>
        <w:t xml:space="preserve"> </w:t>
      </w:r>
      <w:r w:rsidRPr="00A254EA">
        <w:t>erfolgt</w:t>
      </w:r>
      <w:r w:rsidR="00974EBE">
        <w:t>e</w:t>
      </w:r>
      <w:r w:rsidRPr="00A254EA">
        <w:t xml:space="preserve"> eine Clusteranalyse</w:t>
      </w:r>
      <w:r>
        <w:t xml:space="preserve"> basierend auf den elf verschiedenen Finanzierungsquellen</w:t>
      </w:r>
      <w:r w:rsidRPr="00A254EA">
        <w:t>.</w:t>
      </w:r>
      <w:r>
        <w:t xml:space="preserve"> Dabei wurde</w:t>
      </w:r>
      <w:r w:rsidR="00BE5DC9">
        <w:t xml:space="preserve"> auf einer Stichprobe mit 12.578 Unternehmen das Ward-Verfahren mit der Jaccard-Distanz </w:t>
      </w:r>
      <w:r w:rsidR="00BE5DC9" w:rsidRPr="00E6230B">
        <w:rPr>
          <w:spacing w:val="-4"/>
        </w:rPr>
        <w:t>verwendet</w:t>
      </w:r>
      <w:r w:rsidR="000C04D0" w:rsidRPr="00E6230B">
        <w:rPr>
          <w:spacing w:val="-4"/>
        </w:rPr>
        <w:t>.</w:t>
      </w:r>
      <w:r w:rsidR="0045465F" w:rsidRPr="00E6230B">
        <w:rPr>
          <w:spacing w:val="-4"/>
        </w:rPr>
        <w:t xml:space="preserve"> </w:t>
      </w:r>
      <w:r w:rsidR="00945DC5" w:rsidRPr="00E6230B">
        <w:rPr>
          <w:spacing w:val="-4"/>
        </w:rPr>
        <w:t>Im Kontrast zu den sieben identifizierten Finanzierungsmustern in Masiak et al.</w:t>
      </w:r>
      <w:r w:rsidR="00945DC5">
        <w:t xml:space="preserve"> (2019) deuten d</w:t>
      </w:r>
      <w:r w:rsidR="0045465F">
        <w:t xml:space="preserve">as Elbow-Kriterium sowie das </w:t>
      </w:r>
      <w:r w:rsidR="0045465F" w:rsidRPr="00760CB2">
        <w:t>Kriterium von Ratkowsky / Lance</w:t>
      </w:r>
      <w:r w:rsidR="0045465F">
        <w:t xml:space="preserve"> beide auf eine optimale Clusterzahl von acht Clustern an</w:t>
      </w:r>
      <w:r w:rsidR="000C04D0">
        <w:t xml:space="preserve">, </w:t>
      </w:r>
      <w:r w:rsidR="00317195">
        <w:t>abgebildet</w:t>
      </w:r>
      <w:r w:rsidR="0045465F">
        <w:t xml:space="preserve"> </w:t>
      </w:r>
      <w:r w:rsidR="000C04D0">
        <w:t xml:space="preserve">in Anhang </w:t>
      </w:r>
      <w:r w:rsidR="001426B1">
        <w:t>A</w:t>
      </w:r>
      <w:r w:rsidR="000C04D0">
        <w:t>.</w:t>
      </w:r>
      <w:r w:rsidR="00BE7FCE">
        <w:t>3</w:t>
      </w:r>
      <w:r w:rsidR="0045465F">
        <w:t xml:space="preserve"> und </w:t>
      </w:r>
      <w:r w:rsidR="001426B1">
        <w:t>A</w:t>
      </w:r>
      <w:r w:rsidR="0045465F">
        <w:t>.</w:t>
      </w:r>
      <w:r w:rsidR="00BE7FCE">
        <w:t>4</w:t>
      </w:r>
      <w:r w:rsidR="000C04D0">
        <w:t>.</w:t>
      </w:r>
      <w:r w:rsidR="00771FCF">
        <w:t xml:space="preserve"> </w:t>
      </w:r>
    </w:p>
    <w:p w14:paraId="0A53B522" w14:textId="2A6F84CD" w:rsidR="00A254EA" w:rsidRDefault="00D45F1D" w:rsidP="00E6230B">
      <w:pPr>
        <w:spacing w:after="120"/>
        <w:rPr>
          <w:rFonts w:cs="Times New Roman"/>
          <w:szCs w:val="24"/>
        </w:rPr>
      </w:pPr>
      <w:r>
        <w:t xml:space="preserve">Tabelle </w:t>
      </w:r>
      <w:r w:rsidR="000A68F7">
        <w:t>5</w:t>
      </w:r>
      <w:r>
        <w:t xml:space="preserve"> zeigt die Ergebnisse der Clusteranalyse und die daraus abgeleiteten Finanzierungsmuster, welche nachfolgend näher erläutert werden.</w:t>
      </w:r>
      <w:r w:rsidR="00F605BD">
        <w:t xml:space="preserve"> Dabei sind alle Cluster statistisch signifikant </w:t>
      </w:r>
      <m:oMath>
        <m:r>
          <w:rPr>
            <w:rFonts w:ascii="Cambria Math" w:hAnsi="Cambria Math"/>
          </w:rPr>
          <m:t>(p&lt;0,01)</m:t>
        </m:r>
      </m:oMath>
      <w:r w:rsidR="00F605BD">
        <w:t xml:space="preserve"> in Abhängigkeit von </w:t>
      </w:r>
      <w:r w:rsidR="00502B76">
        <w:t>jeder</w:t>
      </w:r>
      <w:r w:rsidR="00F605BD">
        <w:t xml:space="preserve"> Finanzierungsquelle.</w:t>
      </w:r>
      <w:r w:rsidR="00502B76">
        <w:t xml:space="preserve"> Die</w:t>
      </w:r>
      <w:r w:rsidR="00AB769B">
        <w:t xml:space="preserve"> Zusammensetzung</w:t>
      </w:r>
      <w:r w:rsidR="00180C6F">
        <w:t xml:space="preserve"> der</w:t>
      </w:r>
      <w:r w:rsidR="00502B76">
        <w:t xml:space="preserve"> acht Cluster </w:t>
      </w:r>
      <w:r w:rsidR="00AB769B">
        <w:t>wird</w:t>
      </w:r>
      <w:r w:rsidR="00502B76">
        <w:t xml:space="preserve"> jeweils hauptsächlich </w:t>
      </w:r>
      <w:r w:rsidR="00AB769B">
        <w:t xml:space="preserve">von </w:t>
      </w:r>
      <w:r w:rsidR="00502B76">
        <w:t>einer Finanzierungsquelle</w:t>
      </w:r>
      <w:r w:rsidR="00AB769B">
        <w:t xml:space="preserve"> bestimmt </w:t>
      </w:r>
      <m:oMath>
        <m:r>
          <w:rPr>
            <w:rFonts w:ascii="Cambria Math" w:hAnsi="Cambria Math"/>
          </w:rPr>
          <m:t>(Cramers V&gt; 0,6)</m:t>
        </m:r>
      </m:oMath>
      <w:r w:rsidR="00502B76">
        <w:t xml:space="preserve">, nach </w:t>
      </w:r>
      <w:r w:rsidR="00180C6F">
        <w:t>der</w:t>
      </w:r>
      <w:r w:rsidR="00502B76">
        <w:t xml:space="preserve"> auch das dazugehörige Finanzierungsmuster benannt wird.</w:t>
      </w:r>
      <w:r w:rsidR="001B2364">
        <w:t xml:space="preserve"> Die restlichen Clustervariablen</w:t>
      </w:r>
      <w:r w:rsidR="00502B76">
        <w:t xml:space="preserve"> </w:t>
      </w:r>
      <w:r w:rsidR="001B2364">
        <w:rPr>
          <w:rFonts w:cs="Times New Roman"/>
          <w:szCs w:val="24"/>
        </w:rPr>
        <w:t>Eigenkapital</w:t>
      </w:r>
      <m:oMath>
        <m:r>
          <w:rPr>
            <w:rFonts w:ascii="Cambria Math" w:hAnsi="Cambria Math"/>
          </w:rPr>
          <m:t>(Cramers V= 0,301)</m:t>
        </m:r>
      </m:oMath>
      <w:r w:rsidR="001B2364">
        <w:rPr>
          <w:rFonts w:cs="Times New Roman"/>
          <w:szCs w:val="24"/>
        </w:rPr>
        <w:t>, Schuldverschreibungen</w:t>
      </w:r>
      <m:oMath>
        <m:r>
          <w:rPr>
            <w:rFonts w:ascii="Cambria Math" w:hAnsi="Cambria Math"/>
          </w:rPr>
          <m:t>(Cramers V= 0,224)</m:t>
        </m:r>
      </m:oMath>
      <w:r w:rsidR="001B2364">
        <w:rPr>
          <w:rFonts w:cs="Times New Roman"/>
          <w:szCs w:val="24"/>
        </w:rPr>
        <w:t xml:space="preserve"> sowie andere Finanzierungsquellen</w:t>
      </w:r>
      <m:oMath>
        <m:r>
          <w:rPr>
            <w:rFonts w:ascii="Cambria Math" w:hAnsi="Cambria Math"/>
          </w:rPr>
          <m:t>(Cramers V= 0,265)</m:t>
        </m:r>
      </m:oMath>
      <w:r w:rsidR="001B2364">
        <w:rPr>
          <w:rFonts w:cs="Times New Roman"/>
          <w:szCs w:val="24"/>
        </w:rPr>
        <w:t xml:space="preserve"> spielen </w:t>
      </w:r>
      <w:r w:rsidR="002B4DE1">
        <w:rPr>
          <w:rFonts w:cs="Times New Roman"/>
          <w:szCs w:val="24"/>
        </w:rPr>
        <w:t>lediglich</w:t>
      </w:r>
      <w:r w:rsidR="001B2364">
        <w:rPr>
          <w:rFonts w:cs="Times New Roman"/>
          <w:szCs w:val="24"/>
        </w:rPr>
        <w:t xml:space="preserve"> eine geringfügige Rolle bei der Clusterbildung</w:t>
      </w:r>
      <w:r w:rsidR="0017261E">
        <w:rPr>
          <w:rFonts w:cs="Times New Roman"/>
          <w:szCs w:val="24"/>
        </w:rPr>
        <w:t>, da diese nur von wenigen Unternehmen verwendet werden.</w:t>
      </w:r>
      <w:r w:rsidR="0017261E">
        <w:rPr>
          <w:rStyle w:val="Funotenzeichen"/>
          <w:rFonts w:cs="Times New Roman"/>
          <w:szCs w:val="24"/>
        </w:rPr>
        <w:footnoteReference w:id="85"/>
      </w:r>
      <w:r w:rsidR="003E4067">
        <w:rPr>
          <w:rFonts w:cs="Times New Roman"/>
          <w:szCs w:val="24"/>
        </w:rPr>
        <w:t xml:space="preserve"> </w:t>
      </w:r>
    </w:p>
    <w:p w14:paraId="292F6863" w14:textId="77777777" w:rsidR="009103E3" w:rsidRDefault="00CF4538" w:rsidP="002B34A2">
      <w:pPr>
        <w:spacing w:after="120"/>
        <w:rPr>
          <w:b/>
          <w:bCs/>
          <w:szCs w:val="24"/>
        </w:rPr>
      </w:pPr>
      <w:r w:rsidRPr="005676FC">
        <w:rPr>
          <w:b/>
          <w:bCs/>
          <w:szCs w:val="24"/>
        </w:rPr>
        <w:t xml:space="preserve">Cluster 1 (Gemischte Finanzierung mit Fokus auf andere Darlehen): </w:t>
      </w:r>
      <w:r>
        <w:rPr>
          <w:szCs w:val="24"/>
        </w:rPr>
        <w:t>Dieses Cluster zeichnet sich durch eine</w:t>
      </w:r>
      <w:r w:rsidRPr="005676FC">
        <w:rPr>
          <w:szCs w:val="24"/>
        </w:rPr>
        <w:t xml:space="preserve"> </w:t>
      </w:r>
      <w:r>
        <w:rPr>
          <w:szCs w:val="24"/>
        </w:rPr>
        <w:t xml:space="preserve">große Bandbreite an Finanzierungsquellen aus, wobei der Fokus auf </w:t>
      </w:r>
      <w:r w:rsidRPr="005676FC">
        <w:rPr>
          <w:i/>
          <w:iCs/>
          <w:szCs w:val="24"/>
        </w:rPr>
        <w:t>andere</w:t>
      </w:r>
      <w:r>
        <w:rPr>
          <w:i/>
          <w:iCs/>
          <w:szCs w:val="24"/>
        </w:rPr>
        <w:t>n</w:t>
      </w:r>
      <w:r w:rsidRPr="005676FC">
        <w:rPr>
          <w:i/>
          <w:iCs/>
          <w:szCs w:val="24"/>
        </w:rPr>
        <w:t xml:space="preserve"> Darlehen</w:t>
      </w:r>
      <w:r>
        <w:rPr>
          <w:szCs w:val="24"/>
        </w:rPr>
        <w:t xml:space="preserve"> (95,5%) liegt. Zu diesen zählen beispielsweise Darlehen von Freunden und Familie, zugehörigen Unternehmen oder Anteilseignern. Die Finanzierungsquellen </w:t>
      </w:r>
      <w:r w:rsidRPr="00755FCF">
        <w:rPr>
          <w:i/>
          <w:iCs/>
          <w:szCs w:val="24"/>
        </w:rPr>
        <w:t xml:space="preserve">Kreditlinien, Überziehung von Bankkonten </w:t>
      </w:r>
      <w:r>
        <w:rPr>
          <w:i/>
          <w:iCs/>
          <w:szCs w:val="24"/>
        </w:rPr>
        <w:t>und</w:t>
      </w:r>
      <w:r w:rsidRPr="00755FCF">
        <w:rPr>
          <w:i/>
          <w:iCs/>
          <w:szCs w:val="24"/>
        </w:rPr>
        <w:t xml:space="preserve"> Kreditkarten</w:t>
      </w:r>
      <w:r>
        <w:rPr>
          <w:szCs w:val="24"/>
        </w:rPr>
        <w:t xml:space="preserve"> (51,6%), </w:t>
      </w:r>
      <w:r w:rsidRPr="00755FCF">
        <w:rPr>
          <w:i/>
          <w:iCs/>
          <w:szCs w:val="24"/>
        </w:rPr>
        <w:t xml:space="preserve">Leasing, Ratenkauf </w:t>
      </w:r>
      <w:r>
        <w:rPr>
          <w:i/>
          <w:iCs/>
          <w:szCs w:val="24"/>
        </w:rPr>
        <w:t>und</w:t>
      </w:r>
      <w:r w:rsidRPr="00755FCF">
        <w:rPr>
          <w:i/>
          <w:iCs/>
          <w:szCs w:val="24"/>
        </w:rPr>
        <w:t xml:space="preserve"> Factoring</w:t>
      </w:r>
      <w:r>
        <w:rPr>
          <w:szCs w:val="24"/>
        </w:rPr>
        <w:t xml:space="preserve"> (39,6%), </w:t>
      </w:r>
      <w:r w:rsidRPr="00755FCF">
        <w:rPr>
          <w:i/>
          <w:iCs/>
          <w:szCs w:val="24"/>
        </w:rPr>
        <w:t>Lieferantenkredite</w:t>
      </w:r>
      <w:r>
        <w:rPr>
          <w:szCs w:val="24"/>
        </w:rPr>
        <w:t xml:space="preserve"> (30,0%), </w:t>
      </w:r>
      <w:r w:rsidRPr="00C8395F">
        <w:rPr>
          <w:i/>
          <w:iCs/>
          <w:szCs w:val="24"/>
        </w:rPr>
        <w:t>Gewinnthesaurierung und Vermögensumschichtung</w:t>
      </w:r>
      <w:r w:rsidRPr="00755FCF">
        <w:rPr>
          <w:szCs w:val="24"/>
        </w:rPr>
        <w:t xml:space="preserve"> (</w:t>
      </w:r>
      <w:r>
        <w:rPr>
          <w:szCs w:val="24"/>
        </w:rPr>
        <w:t>22,4%</w:t>
      </w:r>
      <w:r w:rsidRPr="00755FCF">
        <w:rPr>
          <w:szCs w:val="24"/>
        </w:rPr>
        <w:t>),</w:t>
      </w:r>
      <w:r>
        <w:rPr>
          <w:szCs w:val="24"/>
        </w:rPr>
        <w:t xml:space="preserve"> sowie </w:t>
      </w:r>
      <w:r w:rsidRPr="00755FCF">
        <w:rPr>
          <w:i/>
          <w:iCs/>
          <w:szCs w:val="24"/>
        </w:rPr>
        <w:t>Bankdarlehen</w:t>
      </w:r>
      <w:r>
        <w:rPr>
          <w:szCs w:val="24"/>
        </w:rPr>
        <w:t xml:space="preserve"> (22,2%) weisen durchweg ein hohes Aufkommen auf. Mit 1.008 Unternehmen (8,0%) stellt dieses Cluster das Zweitkleinste dar.</w:t>
      </w:r>
      <w:r w:rsidR="009103E3" w:rsidRPr="009103E3">
        <w:rPr>
          <w:b/>
          <w:bCs/>
          <w:szCs w:val="24"/>
        </w:rPr>
        <w:t xml:space="preserve"> </w:t>
      </w:r>
    </w:p>
    <w:p w14:paraId="7796F109" w14:textId="6DA94E7F" w:rsidR="006E4C14" w:rsidRPr="006E4C14" w:rsidRDefault="006E4C14" w:rsidP="006E4C14">
      <w:pPr>
        <w:spacing w:line="276" w:lineRule="auto"/>
        <w:jc w:val="left"/>
        <w:rPr>
          <w:b/>
          <w:bCs/>
          <w:szCs w:val="24"/>
        </w:rPr>
        <w:sectPr w:rsidR="006E4C14" w:rsidRPr="006E4C14" w:rsidSect="005312DD">
          <w:type w:val="continuous"/>
          <w:pgSz w:w="11906" w:h="16838" w:code="9"/>
          <w:pgMar w:top="1418" w:right="567" w:bottom="1418" w:left="2835" w:header="709" w:footer="709" w:gutter="0"/>
          <w:pgNumType w:start="1"/>
          <w:cols w:space="708"/>
          <w:docGrid w:linePitch="360"/>
        </w:sectPr>
      </w:pPr>
    </w:p>
    <w:p w14:paraId="76ADBCA6" w14:textId="0D78F1DD" w:rsidR="009D68A7" w:rsidRDefault="009D68A7" w:rsidP="009D68A7">
      <w:pPr>
        <w:pStyle w:val="Beschriftung"/>
        <w:keepNext/>
        <w:spacing w:after="0"/>
        <w:rPr>
          <w:i w:val="0"/>
          <w:iCs w:val="0"/>
          <w:color w:val="auto"/>
          <w:sz w:val="24"/>
          <w:szCs w:val="22"/>
        </w:rPr>
      </w:pPr>
      <w:bookmarkStart w:id="44" w:name="_Toc88423392"/>
      <w:r w:rsidRPr="009D68A7">
        <w:rPr>
          <w:b/>
          <w:bCs/>
          <w:i w:val="0"/>
          <w:iCs w:val="0"/>
          <w:color w:val="auto"/>
          <w:sz w:val="24"/>
          <w:szCs w:val="22"/>
        </w:rPr>
        <w:lastRenderedPageBreak/>
        <w:t xml:space="preserve">Tabelle </w:t>
      </w:r>
      <w:r w:rsidRPr="009D68A7">
        <w:rPr>
          <w:b/>
          <w:bCs/>
          <w:i w:val="0"/>
          <w:iCs w:val="0"/>
          <w:color w:val="auto"/>
          <w:sz w:val="24"/>
          <w:szCs w:val="22"/>
        </w:rPr>
        <w:fldChar w:fldCharType="begin"/>
      </w:r>
      <w:r w:rsidRPr="009D68A7">
        <w:rPr>
          <w:b/>
          <w:bCs/>
          <w:i w:val="0"/>
          <w:iCs w:val="0"/>
          <w:color w:val="auto"/>
          <w:sz w:val="24"/>
          <w:szCs w:val="22"/>
        </w:rPr>
        <w:instrText xml:space="preserve"> SEQ Tabelle \* ARABIC </w:instrText>
      </w:r>
      <w:r w:rsidRPr="009D68A7">
        <w:rPr>
          <w:b/>
          <w:bCs/>
          <w:i w:val="0"/>
          <w:iCs w:val="0"/>
          <w:color w:val="auto"/>
          <w:sz w:val="24"/>
          <w:szCs w:val="22"/>
        </w:rPr>
        <w:fldChar w:fldCharType="separate"/>
      </w:r>
      <w:r w:rsidR="00285390">
        <w:rPr>
          <w:b/>
          <w:bCs/>
          <w:i w:val="0"/>
          <w:iCs w:val="0"/>
          <w:noProof/>
          <w:color w:val="auto"/>
          <w:sz w:val="24"/>
          <w:szCs w:val="22"/>
        </w:rPr>
        <w:t>5</w:t>
      </w:r>
      <w:r w:rsidRPr="009D68A7">
        <w:rPr>
          <w:b/>
          <w:bCs/>
          <w:i w:val="0"/>
          <w:iCs w:val="0"/>
          <w:color w:val="auto"/>
          <w:sz w:val="24"/>
          <w:szCs w:val="22"/>
        </w:rPr>
        <w:fldChar w:fldCharType="end"/>
      </w:r>
      <w:r w:rsidRPr="009D68A7">
        <w:rPr>
          <w:b/>
          <w:bCs/>
          <w:i w:val="0"/>
          <w:iCs w:val="0"/>
          <w:color w:val="auto"/>
          <w:sz w:val="24"/>
          <w:szCs w:val="22"/>
        </w:rPr>
        <w:t>:</w:t>
      </w:r>
      <w:r w:rsidRPr="009D68A7">
        <w:rPr>
          <w:i w:val="0"/>
          <w:iCs w:val="0"/>
          <w:color w:val="auto"/>
          <w:spacing w:val="-2"/>
          <w:sz w:val="24"/>
          <w:szCs w:val="22"/>
        </w:rPr>
        <w:t xml:space="preserve"> </w:t>
      </w:r>
      <w:r>
        <w:rPr>
          <w:i w:val="0"/>
          <w:iCs w:val="0"/>
          <w:color w:val="auto"/>
          <w:spacing w:val="-2"/>
          <w:sz w:val="24"/>
          <w:szCs w:val="22"/>
        </w:rPr>
        <w:tab/>
      </w:r>
      <w:r w:rsidRPr="0074575A">
        <w:rPr>
          <w:i w:val="0"/>
          <w:iCs w:val="0"/>
          <w:color w:val="auto"/>
          <w:spacing w:val="-2"/>
          <w:sz w:val="24"/>
          <w:szCs w:val="22"/>
        </w:rPr>
        <w:t>Ergebnisse der Clusteranalyse und daraus abgeleitete Finanzierungsmuster</w:t>
      </w:r>
      <w:bookmarkEnd w:id="44"/>
    </w:p>
    <w:p w14:paraId="1C65DC0D" w14:textId="5B2E20AD" w:rsidR="009D68A7" w:rsidRDefault="009D68A7" w:rsidP="009D68A7">
      <w:pPr>
        <w:spacing w:after="60" w:line="240" w:lineRule="auto"/>
      </w:pPr>
      <w:r>
        <w:tab/>
      </w:r>
      <w:r>
        <w:tab/>
        <w:t>eigene Darstellung nach Masiak et al. (2019), S. 305.</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5"/>
        <w:gridCol w:w="142"/>
        <w:gridCol w:w="1081"/>
        <w:gridCol w:w="1223"/>
        <w:gridCol w:w="1223"/>
        <w:gridCol w:w="1223"/>
        <w:gridCol w:w="1223"/>
        <w:gridCol w:w="1223"/>
        <w:gridCol w:w="1223"/>
        <w:gridCol w:w="1086"/>
        <w:gridCol w:w="136"/>
        <w:gridCol w:w="850"/>
        <w:gridCol w:w="125"/>
        <w:gridCol w:w="805"/>
      </w:tblGrid>
      <w:tr w:rsidR="00A01FA6" w14:paraId="7901A5A0" w14:textId="77777777" w:rsidTr="009D68A7">
        <w:tc>
          <w:tcPr>
            <w:tcW w:w="984" w:type="pct"/>
            <w:gridSpan w:val="2"/>
            <w:tcBorders>
              <w:top w:val="single" w:sz="6" w:space="0" w:color="auto"/>
            </w:tcBorders>
            <w:vAlign w:val="bottom"/>
          </w:tcPr>
          <w:p w14:paraId="6808A4F8" w14:textId="77777777" w:rsidR="000424EA" w:rsidRPr="00D904F2" w:rsidRDefault="000424EA" w:rsidP="00A01FA6">
            <w:pPr>
              <w:spacing w:line="240" w:lineRule="auto"/>
              <w:jc w:val="left"/>
              <w:rPr>
                <w:rFonts w:cs="Times New Roman"/>
                <w:b/>
                <w:bCs/>
                <w:sz w:val="16"/>
                <w:szCs w:val="16"/>
              </w:rPr>
            </w:pPr>
          </w:p>
        </w:tc>
        <w:tc>
          <w:tcPr>
            <w:tcW w:w="3342" w:type="pct"/>
            <w:gridSpan w:val="8"/>
            <w:tcBorders>
              <w:top w:val="single" w:sz="6" w:space="0" w:color="auto"/>
              <w:bottom w:val="single" w:sz="6" w:space="0" w:color="auto"/>
            </w:tcBorders>
            <w:vAlign w:val="center"/>
          </w:tcPr>
          <w:p w14:paraId="2EADA1AD" w14:textId="77777777" w:rsidR="000424EA" w:rsidRPr="00D904F2" w:rsidRDefault="000424EA" w:rsidP="00A01FA6">
            <w:pPr>
              <w:spacing w:line="240" w:lineRule="auto"/>
              <w:jc w:val="center"/>
              <w:rPr>
                <w:rFonts w:cs="Times New Roman"/>
                <w:b/>
                <w:bCs/>
                <w:sz w:val="16"/>
                <w:szCs w:val="16"/>
              </w:rPr>
            </w:pPr>
            <w:r>
              <w:rPr>
                <w:rFonts w:cs="Times New Roman"/>
                <w:b/>
                <w:bCs/>
                <w:sz w:val="16"/>
                <w:szCs w:val="16"/>
              </w:rPr>
              <w:t>Cluster / Finanzierungsmuster</w:t>
            </w:r>
          </w:p>
        </w:tc>
        <w:tc>
          <w:tcPr>
            <w:tcW w:w="391" w:type="pct"/>
            <w:gridSpan w:val="3"/>
            <w:tcBorders>
              <w:top w:val="single" w:sz="6" w:space="0" w:color="auto"/>
            </w:tcBorders>
            <w:vAlign w:val="center"/>
          </w:tcPr>
          <w:p w14:paraId="56202CAF" w14:textId="77777777" w:rsidR="000424EA" w:rsidRPr="00D904F2" w:rsidRDefault="000424EA" w:rsidP="00A01FA6">
            <w:pPr>
              <w:spacing w:line="240" w:lineRule="auto"/>
              <w:jc w:val="center"/>
              <w:rPr>
                <w:rFonts w:cs="Times New Roman"/>
                <w:b/>
                <w:bCs/>
                <w:sz w:val="16"/>
                <w:szCs w:val="16"/>
              </w:rPr>
            </w:pPr>
          </w:p>
        </w:tc>
        <w:tc>
          <w:tcPr>
            <w:tcW w:w="284" w:type="pct"/>
            <w:tcBorders>
              <w:top w:val="single" w:sz="6" w:space="0" w:color="auto"/>
            </w:tcBorders>
            <w:vAlign w:val="center"/>
          </w:tcPr>
          <w:p w14:paraId="2B5F1050" w14:textId="77777777" w:rsidR="000424EA" w:rsidRPr="00FE617F" w:rsidRDefault="000424EA" w:rsidP="00A01FA6">
            <w:pPr>
              <w:spacing w:line="240" w:lineRule="auto"/>
              <w:jc w:val="center"/>
              <w:rPr>
                <w:rFonts w:cs="Times New Roman"/>
                <w:b/>
                <w:bCs/>
                <w:spacing w:val="-6"/>
                <w:sz w:val="16"/>
                <w:szCs w:val="16"/>
              </w:rPr>
            </w:pPr>
          </w:p>
        </w:tc>
      </w:tr>
      <w:tr w:rsidR="00D60958" w14:paraId="093AA083" w14:textId="77777777" w:rsidTr="00D60958">
        <w:tc>
          <w:tcPr>
            <w:tcW w:w="934" w:type="pct"/>
            <w:tcBorders>
              <w:bottom w:val="single" w:sz="8" w:space="0" w:color="auto"/>
            </w:tcBorders>
            <w:vAlign w:val="bottom"/>
          </w:tcPr>
          <w:p w14:paraId="4F3BDFCA" w14:textId="16C6D9FB" w:rsidR="000424EA" w:rsidRPr="00D904F2" w:rsidRDefault="000424EA" w:rsidP="00A01FA6">
            <w:pPr>
              <w:spacing w:line="240" w:lineRule="auto"/>
              <w:jc w:val="left"/>
              <w:rPr>
                <w:rFonts w:cs="Times New Roman"/>
                <w:b/>
                <w:bCs/>
                <w:sz w:val="16"/>
                <w:szCs w:val="16"/>
              </w:rPr>
            </w:pPr>
            <w:r w:rsidRPr="00D904F2">
              <w:rPr>
                <w:rFonts w:cs="Times New Roman"/>
                <w:b/>
                <w:bCs/>
                <w:sz w:val="16"/>
                <w:szCs w:val="16"/>
              </w:rPr>
              <w:t>Finanzierungs</w:t>
            </w:r>
            <w:r>
              <w:rPr>
                <w:rFonts w:cs="Times New Roman"/>
                <w:b/>
                <w:bCs/>
                <w:sz w:val="16"/>
                <w:szCs w:val="16"/>
              </w:rPr>
              <w:t>quelle</w:t>
            </w:r>
          </w:p>
        </w:tc>
        <w:tc>
          <w:tcPr>
            <w:tcW w:w="430" w:type="pct"/>
            <w:gridSpan w:val="2"/>
            <w:tcBorders>
              <w:top w:val="single" w:sz="6" w:space="0" w:color="auto"/>
              <w:bottom w:val="single" w:sz="8" w:space="0" w:color="auto"/>
            </w:tcBorders>
            <w:vAlign w:val="bottom"/>
          </w:tcPr>
          <w:p w14:paraId="45965480" w14:textId="77777777" w:rsidR="005056A9" w:rsidRDefault="006E4C14" w:rsidP="00A01FA6">
            <w:pPr>
              <w:spacing w:line="240" w:lineRule="auto"/>
              <w:jc w:val="center"/>
              <w:rPr>
                <w:rFonts w:cs="Times New Roman"/>
                <w:b/>
                <w:bCs/>
                <w:sz w:val="16"/>
                <w:szCs w:val="16"/>
              </w:rPr>
            </w:pPr>
            <w:r w:rsidRPr="006E4C14">
              <w:rPr>
                <w:rFonts w:cs="Times New Roman"/>
                <w:b/>
                <w:bCs/>
                <w:sz w:val="16"/>
                <w:szCs w:val="16"/>
              </w:rPr>
              <w:t>Gemischte Finanzierung (andere Darlehen)</w:t>
            </w:r>
          </w:p>
          <w:p w14:paraId="47051B2E" w14:textId="226CDE3B" w:rsidR="000424EA" w:rsidRPr="00D904F2" w:rsidRDefault="000424EA" w:rsidP="00A01FA6">
            <w:pPr>
              <w:spacing w:line="240" w:lineRule="auto"/>
              <w:jc w:val="center"/>
              <w:rPr>
                <w:rFonts w:cs="Times New Roman"/>
                <w:b/>
                <w:bCs/>
                <w:sz w:val="16"/>
                <w:szCs w:val="16"/>
              </w:rPr>
            </w:pPr>
            <w:r w:rsidRPr="00D904F2">
              <w:rPr>
                <w:rFonts w:cs="Times New Roman"/>
                <w:b/>
                <w:bCs/>
                <w:sz w:val="16"/>
                <w:szCs w:val="16"/>
              </w:rPr>
              <w:t>(1)</w:t>
            </w:r>
          </w:p>
        </w:tc>
        <w:tc>
          <w:tcPr>
            <w:tcW w:w="430" w:type="pct"/>
            <w:tcBorders>
              <w:top w:val="single" w:sz="6" w:space="0" w:color="auto"/>
              <w:bottom w:val="single" w:sz="8" w:space="0" w:color="auto"/>
            </w:tcBorders>
            <w:vAlign w:val="bottom"/>
          </w:tcPr>
          <w:p w14:paraId="29F0828A" w14:textId="5D1F8C82" w:rsidR="000424EA" w:rsidRPr="00D904F2" w:rsidRDefault="00606971" w:rsidP="00A01FA6">
            <w:pPr>
              <w:spacing w:line="240" w:lineRule="auto"/>
              <w:jc w:val="center"/>
              <w:rPr>
                <w:rFonts w:cs="Times New Roman"/>
                <w:b/>
                <w:bCs/>
                <w:sz w:val="16"/>
                <w:szCs w:val="16"/>
              </w:rPr>
            </w:pPr>
            <w:r w:rsidRPr="00606971">
              <w:rPr>
                <w:rFonts w:cs="Times New Roman"/>
                <w:b/>
                <w:bCs/>
                <w:sz w:val="16"/>
                <w:szCs w:val="16"/>
              </w:rPr>
              <w:t xml:space="preserve">Gemischte Finanzierung </w:t>
            </w:r>
            <w:r w:rsidRPr="005056A9">
              <w:rPr>
                <w:rFonts w:cs="Times New Roman"/>
                <w:b/>
                <w:bCs/>
                <w:spacing w:val="-2"/>
                <w:sz w:val="16"/>
                <w:szCs w:val="16"/>
              </w:rPr>
              <w:t>(Gewinn</w:t>
            </w:r>
            <w:r w:rsidR="005056A9" w:rsidRPr="005056A9">
              <w:rPr>
                <w:rFonts w:cs="Times New Roman"/>
                <w:b/>
                <w:bCs/>
                <w:spacing w:val="-2"/>
                <w:sz w:val="16"/>
                <w:szCs w:val="16"/>
              </w:rPr>
              <w:t>-</w:t>
            </w:r>
            <w:r w:rsidRPr="005056A9">
              <w:rPr>
                <w:rFonts w:cs="Times New Roman"/>
                <w:b/>
                <w:bCs/>
                <w:spacing w:val="-2"/>
                <w:sz w:val="16"/>
                <w:szCs w:val="16"/>
              </w:rPr>
              <w:t>thesaurierung)</w:t>
            </w:r>
            <w:r w:rsidRPr="00606971">
              <w:rPr>
                <w:rFonts w:cs="Times New Roman"/>
                <w:b/>
                <w:bCs/>
                <w:sz w:val="16"/>
                <w:szCs w:val="16"/>
              </w:rPr>
              <w:t xml:space="preserve"> </w:t>
            </w:r>
            <w:r w:rsidR="000424EA" w:rsidRPr="00D904F2">
              <w:rPr>
                <w:rFonts w:cs="Times New Roman"/>
                <w:b/>
                <w:bCs/>
                <w:sz w:val="16"/>
                <w:szCs w:val="16"/>
              </w:rPr>
              <w:t>(2)</w:t>
            </w:r>
          </w:p>
        </w:tc>
        <w:tc>
          <w:tcPr>
            <w:tcW w:w="430" w:type="pct"/>
            <w:tcBorders>
              <w:top w:val="single" w:sz="6" w:space="0" w:color="auto"/>
              <w:bottom w:val="single" w:sz="8" w:space="0" w:color="auto"/>
            </w:tcBorders>
            <w:vAlign w:val="bottom"/>
          </w:tcPr>
          <w:p w14:paraId="0ACC9EE9" w14:textId="1984A622" w:rsidR="000424EA" w:rsidRPr="00D904F2" w:rsidRDefault="00606971" w:rsidP="00A01FA6">
            <w:pPr>
              <w:spacing w:line="240" w:lineRule="auto"/>
              <w:jc w:val="center"/>
              <w:rPr>
                <w:rFonts w:cs="Times New Roman"/>
                <w:b/>
                <w:bCs/>
                <w:sz w:val="16"/>
                <w:szCs w:val="16"/>
              </w:rPr>
            </w:pPr>
            <w:r w:rsidRPr="00606971">
              <w:rPr>
                <w:rFonts w:cs="Times New Roman"/>
                <w:b/>
                <w:bCs/>
                <w:sz w:val="16"/>
                <w:szCs w:val="16"/>
              </w:rPr>
              <w:t xml:space="preserve">Staatlich </w:t>
            </w:r>
            <w:r w:rsidRPr="005056A9">
              <w:rPr>
                <w:rFonts w:cs="Times New Roman"/>
                <w:b/>
                <w:bCs/>
                <w:spacing w:val="-4"/>
                <w:sz w:val="16"/>
                <w:szCs w:val="16"/>
              </w:rPr>
              <w:t xml:space="preserve">subventionierte </w:t>
            </w:r>
            <w:r w:rsidRPr="00606971">
              <w:rPr>
                <w:rFonts w:cs="Times New Roman"/>
                <w:b/>
                <w:bCs/>
                <w:sz w:val="16"/>
                <w:szCs w:val="16"/>
              </w:rPr>
              <w:t xml:space="preserve">Finanzierung </w:t>
            </w:r>
            <w:r w:rsidR="000424EA" w:rsidRPr="00D904F2">
              <w:rPr>
                <w:rFonts w:cs="Times New Roman"/>
                <w:b/>
                <w:bCs/>
                <w:sz w:val="16"/>
                <w:szCs w:val="16"/>
              </w:rPr>
              <w:t>(3)</w:t>
            </w:r>
          </w:p>
        </w:tc>
        <w:tc>
          <w:tcPr>
            <w:tcW w:w="430" w:type="pct"/>
            <w:tcBorders>
              <w:top w:val="single" w:sz="6" w:space="0" w:color="auto"/>
              <w:bottom w:val="single" w:sz="8" w:space="0" w:color="auto"/>
            </w:tcBorders>
            <w:vAlign w:val="bottom"/>
          </w:tcPr>
          <w:p w14:paraId="03B9F3BA" w14:textId="1D007681" w:rsidR="00606971" w:rsidRPr="00606971" w:rsidRDefault="00606971" w:rsidP="00A01FA6">
            <w:pPr>
              <w:spacing w:line="240" w:lineRule="auto"/>
              <w:jc w:val="center"/>
              <w:rPr>
                <w:rFonts w:cs="Times New Roman"/>
                <w:b/>
                <w:bCs/>
                <w:sz w:val="16"/>
                <w:szCs w:val="16"/>
              </w:rPr>
            </w:pPr>
            <w:r w:rsidRPr="00606971">
              <w:rPr>
                <w:rFonts w:cs="Times New Roman"/>
                <w:b/>
                <w:bCs/>
                <w:sz w:val="16"/>
                <w:szCs w:val="16"/>
              </w:rPr>
              <w:t>Flexible Schulden</w:t>
            </w:r>
            <w:r w:rsidR="005056A9">
              <w:rPr>
                <w:rFonts w:cs="Times New Roman"/>
                <w:b/>
                <w:bCs/>
                <w:sz w:val="16"/>
                <w:szCs w:val="16"/>
              </w:rPr>
              <w:t>-</w:t>
            </w:r>
            <w:r w:rsidRPr="00606971">
              <w:rPr>
                <w:rFonts w:cs="Times New Roman"/>
                <w:b/>
                <w:bCs/>
                <w:sz w:val="16"/>
                <w:szCs w:val="16"/>
              </w:rPr>
              <w:t>finanzierung</w:t>
            </w:r>
          </w:p>
          <w:p w14:paraId="66F8FBA7" w14:textId="77777777" w:rsidR="000424EA" w:rsidRPr="00D904F2" w:rsidRDefault="000424EA" w:rsidP="00A01FA6">
            <w:pPr>
              <w:spacing w:line="240" w:lineRule="auto"/>
              <w:jc w:val="center"/>
              <w:rPr>
                <w:rFonts w:cs="Times New Roman"/>
                <w:b/>
                <w:bCs/>
                <w:sz w:val="16"/>
                <w:szCs w:val="16"/>
              </w:rPr>
            </w:pPr>
            <w:r w:rsidRPr="00D904F2">
              <w:rPr>
                <w:rFonts w:cs="Times New Roman"/>
                <w:b/>
                <w:bCs/>
                <w:sz w:val="16"/>
                <w:szCs w:val="16"/>
              </w:rPr>
              <w:t>(4)</w:t>
            </w:r>
          </w:p>
        </w:tc>
        <w:tc>
          <w:tcPr>
            <w:tcW w:w="430" w:type="pct"/>
            <w:tcBorders>
              <w:top w:val="single" w:sz="6" w:space="0" w:color="auto"/>
              <w:bottom w:val="single" w:sz="8" w:space="0" w:color="auto"/>
            </w:tcBorders>
            <w:vAlign w:val="bottom"/>
          </w:tcPr>
          <w:p w14:paraId="767FE7FB" w14:textId="31AEE128" w:rsidR="00606971" w:rsidRPr="00606971" w:rsidRDefault="00606971" w:rsidP="00A01FA6">
            <w:pPr>
              <w:spacing w:line="240" w:lineRule="auto"/>
              <w:jc w:val="center"/>
              <w:rPr>
                <w:rFonts w:cs="Times New Roman"/>
                <w:b/>
                <w:bCs/>
                <w:sz w:val="16"/>
                <w:szCs w:val="16"/>
              </w:rPr>
            </w:pPr>
            <w:r w:rsidRPr="00606971">
              <w:rPr>
                <w:rFonts w:cs="Times New Roman"/>
                <w:b/>
                <w:bCs/>
                <w:sz w:val="16"/>
                <w:szCs w:val="16"/>
              </w:rPr>
              <w:t>Darlehens</w:t>
            </w:r>
            <w:r w:rsidR="005056A9">
              <w:rPr>
                <w:rFonts w:cs="Times New Roman"/>
                <w:b/>
                <w:bCs/>
                <w:sz w:val="16"/>
                <w:szCs w:val="16"/>
              </w:rPr>
              <w:t>-</w:t>
            </w:r>
            <w:r w:rsidRPr="00606971">
              <w:rPr>
                <w:rFonts w:cs="Times New Roman"/>
                <w:b/>
                <w:bCs/>
                <w:sz w:val="16"/>
                <w:szCs w:val="16"/>
              </w:rPr>
              <w:t>finanzierung</w:t>
            </w:r>
          </w:p>
          <w:p w14:paraId="78DB198B" w14:textId="77777777" w:rsidR="000424EA" w:rsidRPr="00D904F2" w:rsidRDefault="000424EA" w:rsidP="00A01FA6">
            <w:pPr>
              <w:spacing w:line="240" w:lineRule="auto"/>
              <w:jc w:val="center"/>
              <w:rPr>
                <w:rFonts w:cs="Times New Roman"/>
                <w:b/>
                <w:bCs/>
                <w:sz w:val="16"/>
                <w:szCs w:val="16"/>
              </w:rPr>
            </w:pPr>
            <w:r w:rsidRPr="00D904F2">
              <w:rPr>
                <w:rFonts w:cs="Times New Roman"/>
                <w:b/>
                <w:bCs/>
                <w:sz w:val="16"/>
                <w:szCs w:val="16"/>
              </w:rPr>
              <w:t>(5)</w:t>
            </w:r>
          </w:p>
        </w:tc>
        <w:tc>
          <w:tcPr>
            <w:tcW w:w="430" w:type="pct"/>
            <w:tcBorders>
              <w:top w:val="single" w:sz="6" w:space="0" w:color="auto"/>
              <w:bottom w:val="single" w:sz="8" w:space="0" w:color="auto"/>
            </w:tcBorders>
            <w:vAlign w:val="bottom"/>
          </w:tcPr>
          <w:p w14:paraId="62BE290B" w14:textId="78C4D1BB" w:rsidR="00606971" w:rsidRPr="00606971" w:rsidRDefault="00606971" w:rsidP="00A01FA6">
            <w:pPr>
              <w:spacing w:line="240" w:lineRule="auto"/>
              <w:jc w:val="center"/>
              <w:rPr>
                <w:rFonts w:cs="Times New Roman"/>
                <w:b/>
                <w:bCs/>
                <w:sz w:val="16"/>
                <w:szCs w:val="16"/>
              </w:rPr>
            </w:pPr>
            <w:r w:rsidRPr="00606971">
              <w:rPr>
                <w:rFonts w:cs="Times New Roman"/>
                <w:b/>
                <w:bCs/>
                <w:sz w:val="16"/>
                <w:szCs w:val="16"/>
              </w:rPr>
              <w:t xml:space="preserve">Finanzierung durch </w:t>
            </w:r>
            <w:r w:rsidR="005056A9">
              <w:rPr>
                <w:rFonts w:cs="Times New Roman"/>
                <w:b/>
                <w:bCs/>
                <w:sz w:val="16"/>
                <w:szCs w:val="16"/>
              </w:rPr>
              <w:t>L</w:t>
            </w:r>
            <w:r w:rsidRPr="00606971">
              <w:rPr>
                <w:rFonts w:cs="Times New Roman"/>
                <w:b/>
                <w:bCs/>
                <w:sz w:val="16"/>
                <w:szCs w:val="16"/>
              </w:rPr>
              <w:t>ieferanten</w:t>
            </w:r>
            <w:r w:rsidR="005056A9">
              <w:rPr>
                <w:rFonts w:cs="Times New Roman"/>
                <w:b/>
                <w:bCs/>
                <w:sz w:val="16"/>
                <w:szCs w:val="16"/>
              </w:rPr>
              <w:t>-</w:t>
            </w:r>
            <w:r w:rsidRPr="00606971">
              <w:rPr>
                <w:rFonts w:cs="Times New Roman"/>
                <w:b/>
                <w:bCs/>
                <w:sz w:val="16"/>
                <w:szCs w:val="16"/>
              </w:rPr>
              <w:t>kredite</w:t>
            </w:r>
          </w:p>
          <w:p w14:paraId="086FEE93" w14:textId="77777777" w:rsidR="000424EA" w:rsidRPr="00D904F2" w:rsidRDefault="000424EA" w:rsidP="00A01FA6">
            <w:pPr>
              <w:spacing w:line="240" w:lineRule="auto"/>
              <w:jc w:val="center"/>
              <w:rPr>
                <w:rFonts w:cs="Times New Roman"/>
                <w:b/>
                <w:bCs/>
                <w:sz w:val="16"/>
                <w:szCs w:val="16"/>
              </w:rPr>
            </w:pPr>
            <w:r w:rsidRPr="00D904F2">
              <w:rPr>
                <w:rFonts w:cs="Times New Roman"/>
                <w:b/>
                <w:bCs/>
                <w:sz w:val="16"/>
                <w:szCs w:val="16"/>
              </w:rPr>
              <w:t>(6)</w:t>
            </w:r>
          </w:p>
        </w:tc>
        <w:tc>
          <w:tcPr>
            <w:tcW w:w="430" w:type="pct"/>
            <w:tcBorders>
              <w:top w:val="single" w:sz="6" w:space="0" w:color="auto"/>
              <w:bottom w:val="single" w:sz="8" w:space="0" w:color="auto"/>
            </w:tcBorders>
            <w:vAlign w:val="bottom"/>
          </w:tcPr>
          <w:p w14:paraId="575F6245" w14:textId="77777777" w:rsidR="00606971" w:rsidRPr="00606971" w:rsidRDefault="00606971" w:rsidP="00A01FA6">
            <w:pPr>
              <w:spacing w:line="240" w:lineRule="auto"/>
              <w:jc w:val="center"/>
              <w:rPr>
                <w:rFonts w:cs="Times New Roman"/>
                <w:b/>
                <w:bCs/>
                <w:sz w:val="16"/>
                <w:szCs w:val="16"/>
              </w:rPr>
            </w:pPr>
            <w:r w:rsidRPr="00606971">
              <w:rPr>
                <w:rFonts w:cs="Times New Roman"/>
                <w:b/>
                <w:bCs/>
                <w:sz w:val="16"/>
                <w:szCs w:val="16"/>
              </w:rPr>
              <w:t>Asset-basierte Finanzierung</w:t>
            </w:r>
          </w:p>
          <w:p w14:paraId="4920214B" w14:textId="77777777" w:rsidR="000424EA" w:rsidRPr="00D904F2" w:rsidRDefault="000424EA" w:rsidP="00A01FA6">
            <w:pPr>
              <w:spacing w:line="240" w:lineRule="auto"/>
              <w:jc w:val="center"/>
              <w:rPr>
                <w:rFonts w:cs="Times New Roman"/>
                <w:b/>
                <w:bCs/>
                <w:sz w:val="16"/>
                <w:szCs w:val="16"/>
              </w:rPr>
            </w:pPr>
            <w:r w:rsidRPr="00D904F2">
              <w:rPr>
                <w:rFonts w:cs="Times New Roman"/>
                <w:b/>
                <w:bCs/>
                <w:sz w:val="16"/>
                <w:szCs w:val="16"/>
              </w:rPr>
              <w:t>(7)</w:t>
            </w:r>
          </w:p>
        </w:tc>
        <w:tc>
          <w:tcPr>
            <w:tcW w:w="430" w:type="pct"/>
            <w:gridSpan w:val="2"/>
            <w:tcBorders>
              <w:top w:val="single" w:sz="6" w:space="0" w:color="auto"/>
              <w:bottom w:val="single" w:sz="8" w:space="0" w:color="auto"/>
            </w:tcBorders>
            <w:vAlign w:val="bottom"/>
          </w:tcPr>
          <w:p w14:paraId="2C4C4EA0" w14:textId="06AA725C" w:rsidR="00606971" w:rsidRPr="00606971" w:rsidRDefault="00606971" w:rsidP="00A01FA6">
            <w:pPr>
              <w:spacing w:line="240" w:lineRule="auto"/>
              <w:jc w:val="center"/>
              <w:rPr>
                <w:rFonts w:cs="Times New Roman"/>
                <w:b/>
                <w:bCs/>
                <w:sz w:val="16"/>
                <w:szCs w:val="16"/>
              </w:rPr>
            </w:pPr>
            <w:r w:rsidRPr="00606971">
              <w:rPr>
                <w:rFonts w:cs="Times New Roman"/>
                <w:b/>
                <w:bCs/>
                <w:sz w:val="16"/>
                <w:szCs w:val="16"/>
              </w:rPr>
              <w:t>Innen</w:t>
            </w:r>
            <w:r w:rsidR="005056A9">
              <w:rPr>
                <w:rFonts w:cs="Times New Roman"/>
                <w:b/>
                <w:bCs/>
                <w:sz w:val="16"/>
                <w:szCs w:val="16"/>
              </w:rPr>
              <w:t>-</w:t>
            </w:r>
            <w:r w:rsidRPr="00606971">
              <w:rPr>
                <w:rFonts w:cs="Times New Roman"/>
                <w:b/>
                <w:bCs/>
                <w:sz w:val="16"/>
                <w:szCs w:val="16"/>
              </w:rPr>
              <w:t>finanzierung</w:t>
            </w:r>
          </w:p>
          <w:p w14:paraId="70AA144F" w14:textId="77777777" w:rsidR="000424EA" w:rsidRPr="00D904F2" w:rsidRDefault="000424EA" w:rsidP="00A01FA6">
            <w:pPr>
              <w:spacing w:line="240" w:lineRule="auto"/>
              <w:jc w:val="center"/>
              <w:rPr>
                <w:rFonts w:cs="Times New Roman"/>
                <w:b/>
                <w:bCs/>
                <w:sz w:val="16"/>
                <w:szCs w:val="16"/>
              </w:rPr>
            </w:pPr>
            <w:r w:rsidRPr="00D904F2">
              <w:rPr>
                <w:rFonts w:cs="Times New Roman"/>
                <w:b/>
                <w:bCs/>
                <w:sz w:val="16"/>
                <w:szCs w:val="16"/>
              </w:rPr>
              <w:t>(8)</w:t>
            </w:r>
          </w:p>
        </w:tc>
        <w:tc>
          <w:tcPr>
            <w:tcW w:w="299" w:type="pct"/>
            <w:tcBorders>
              <w:bottom w:val="single" w:sz="8" w:space="0" w:color="auto"/>
            </w:tcBorders>
            <w:vAlign w:val="bottom"/>
          </w:tcPr>
          <w:p w14:paraId="47DA0147" w14:textId="7918F219" w:rsidR="000424EA" w:rsidRPr="00D904F2" w:rsidRDefault="000424EA" w:rsidP="00D60958">
            <w:pPr>
              <w:spacing w:line="240" w:lineRule="auto"/>
              <w:jc w:val="center"/>
              <w:rPr>
                <w:rFonts w:cs="Times New Roman"/>
                <w:b/>
                <w:bCs/>
                <w:sz w:val="16"/>
                <w:szCs w:val="16"/>
              </w:rPr>
            </w:pPr>
            <w:r w:rsidRPr="00D904F2">
              <w:rPr>
                <w:rFonts w:cs="Times New Roman"/>
                <w:b/>
                <w:bCs/>
                <w:sz w:val="16"/>
                <w:szCs w:val="16"/>
              </w:rPr>
              <w:t xml:space="preserve">Pearsons </w:t>
            </w:r>
            <w:r w:rsidR="00BB7665" w:rsidRPr="00BB7665">
              <w:rPr>
                <w:rFonts w:cs="Times New Roman"/>
                <w:b/>
                <w:bCs/>
                <w:sz w:val="16"/>
                <w:szCs w:val="16"/>
              </w:rPr>
              <w:t>χ</w:t>
            </w:r>
            <w:r w:rsidR="00BB7665" w:rsidRPr="00BB7665">
              <w:rPr>
                <w:rFonts w:cs="Times New Roman"/>
                <w:b/>
                <w:bCs/>
                <w:sz w:val="16"/>
                <w:szCs w:val="16"/>
                <w:vertAlign w:val="superscript"/>
              </w:rPr>
              <w:t>2</w:t>
            </w:r>
          </w:p>
        </w:tc>
        <w:tc>
          <w:tcPr>
            <w:tcW w:w="327" w:type="pct"/>
            <w:gridSpan w:val="2"/>
            <w:tcBorders>
              <w:bottom w:val="single" w:sz="8" w:space="0" w:color="auto"/>
            </w:tcBorders>
            <w:vAlign w:val="bottom"/>
          </w:tcPr>
          <w:p w14:paraId="116FCDE6" w14:textId="77777777" w:rsidR="000424EA" w:rsidRPr="00D904F2" w:rsidRDefault="000424EA" w:rsidP="00D60958">
            <w:pPr>
              <w:spacing w:line="240" w:lineRule="auto"/>
              <w:jc w:val="center"/>
              <w:rPr>
                <w:rFonts w:cs="Times New Roman"/>
                <w:b/>
                <w:bCs/>
                <w:sz w:val="16"/>
                <w:szCs w:val="16"/>
              </w:rPr>
            </w:pPr>
            <w:r w:rsidRPr="00FE617F">
              <w:rPr>
                <w:rFonts w:cs="Times New Roman"/>
                <w:b/>
                <w:bCs/>
                <w:spacing w:val="-6"/>
                <w:sz w:val="16"/>
                <w:szCs w:val="16"/>
              </w:rPr>
              <w:t xml:space="preserve">Creamers </w:t>
            </w:r>
            <w:r w:rsidRPr="00D904F2">
              <w:rPr>
                <w:rFonts w:cs="Times New Roman"/>
                <w:b/>
                <w:bCs/>
                <w:sz w:val="16"/>
                <w:szCs w:val="16"/>
              </w:rPr>
              <w:t>V</w:t>
            </w:r>
          </w:p>
        </w:tc>
      </w:tr>
      <w:tr w:rsidR="005056A9" w14:paraId="73EDD59B" w14:textId="77777777" w:rsidTr="00A01FA6">
        <w:tc>
          <w:tcPr>
            <w:tcW w:w="934" w:type="pct"/>
            <w:tcBorders>
              <w:top w:val="single" w:sz="8" w:space="0" w:color="auto"/>
            </w:tcBorders>
            <w:vAlign w:val="center"/>
          </w:tcPr>
          <w:p w14:paraId="292C7EA8" w14:textId="3E5222AB" w:rsidR="000424EA" w:rsidRPr="00BD5DFB" w:rsidRDefault="000424EA" w:rsidP="005056A9">
            <w:pPr>
              <w:spacing w:before="40" w:after="40" w:line="240" w:lineRule="auto"/>
              <w:jc w:val="left"/>
              <w:rPr>
                <w:rFonts w:cs="Times New Roman"/>
                <w:sz w:val="16"/>
                <w:szCs w:val="16"/>
              </w:rPr>
            </w:pPr>
            <w:bookmarkStart w:id="45" w:name="_Hlk88168804"/>
            <w:r w:rsidRPr="00BD5DFB">
              <w:rPr>
                <w:rFonts w:cs="Times New Roman"/>
                <w:sz w:val="16"/>
                <w:szCs w:val="16"/>
              </w:rPr>
              <w:t xml:space="preserve">Gewinnthesaurierung </w:t>
            </w:r>
            <w:r>
              <w:rPr>
                <w:rFonts w:cs="Times New Roman"/>
                <w:sz w:val="16"/>
                <w:szCs w:val="16"/>
              </w:rPr>
              <w:t>und</w:t>
            </w:r>
            <w:r w:rsidRPr="00BD5DFB">
              <w:rPr>
                <w:rFonts w:cs="Times New Roman"/>
                <w:sz w:val="16"/>
                <w:szCs w:val="16"/>
              </w:rPr>
              <w:t xml:space="preserve"> Vermögensumschichtung</w:t>
            </w:r>
          </w:p>
        </w:tc>
        <w:tc>
          <w:tcPr>
            <w:tcW w:w="430" w:type="pct"/>
            <w:gridSpan w:val="2"/>
            <w:tcBorders>
              <w:top w:val="single" w:sz="8" w:space="0" w:color="auto"/>
            </w:tcBorders>
            <w:vAlign w:val="center"/>
          </w:tcPr>
          <w:p w14:paraId="2B03CE4C"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22,4%</w:t>
            </w:r>
          </w:p>
        </w:tc>
        <w:tc>
          <w:tcPr>
            <w:tcW w:w="430" w:type="pct"/>
            <w:tcBorders>
              <w:top w:val="single" w:sz="8" w:space="0" w:color="auto"/>
            </w:tcBorders>
            <w:vAlign w:val="center"/>
          </w:tcPr>
          <w:p w14:paraId="4C0DF63A" w14:textId="77777777" w:rsidR="000424EA" w:rsidRPr="00D904F2" w:rsidRDefault="000424EA" w:rsidP="005056A9">
            <w:pPr>
              <w:spacing w:before="40" w:after="40" w:line="240" w:lineRule="auto"/>
              <w:jc w:val="center"/>
              <w:rPr>
                <w:rFonts w:cs="Times New Roman"/>
                <w:b/>
                <w:bCs/>
                <w:sz w:val="16"/>
                <w:szCs w:val="16"/>
              </w:rPr>
            </w:pPr>
            <w:r w:rsidRPr="00D904F2">
              <w:rPr>
                <w:rFonts w:cs="Times New Roman"/>
                <w:b/>
                <w:bCs/>
                <w:sz w:val="16"/>
                <w:szCs w:val="16"/>
              </w:rPr>
              <w:t>87,0%</w:t>
            </w:r>
          </w:p>
        </w:tc>
        <w:tc>
          <w:tcPr>
            <w:tcW w:w="430" w:type="pct"/>
            <w:tcBorders>
              <w:top w:val="single" w:sz="8" w:space="0" w:color="auto"/>
            </w:tcBorders>
            <w:vAlign w:val="center"/>
          </w:tcPr>
          <w:p w14:paraId="4EABE6E3"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21,8%</w:t>
            </w:r>
          </w:p>
        </w:tc>
        <w:tc>
          <w:tcPr>
            <w:tcW w:w="430" w:type="pct"/>
            <w:tcBorders>
              <w:top w:val="single" w:sz="8" w:space="0" w:color="auto"/>
            </w:tcBorders>
            <w:vAlign w:val="center"/>
          </w:tcPr>
          <w:p w14:paraId="33C567CF"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tcBorders>
              <w:top w:val="single" w:sz="8" w:space="0" w:color="auto"/>
            </w:tcBorders>
            <w:vAlign w:val="center"/>
          </w:tcPr>
          <w:p w14:paraId="372C45C5"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tcBorders>
              <w:top w:val="single" w:sz="8" w:space="0" w:color="auto"/>
            </w:tcBorders>
            <w:vAlign w:val="center"/>
          </w:tcPr>
          <w:p w14:paraId="387D5AAD"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tcBorders>
              <w:top w:val="single" w:sz="8" w:space="0" w:color="auto"/>
            </w:tcBorders>
            <w:vAlign w:val="center"/>
          </w:tcPr>
          <w:p w14:paraId="3C0C7CF5"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gridSpan w:val="2"/>
            <w:tcBorders>
              <w:top w:val="single" w:sz="8" w:space="0" w:color="auto"/>
            </w:tcBorders>
            <w:vAlign w:val="center"/>
          </w:tcPr>
          <w:p w14:paraId="4622A23D"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299" w:type="pct"/>
            <w:tcBorders>
              <w:top w:val="single" w:sz="8" w:space="0" w:color="auto"/>
            </w:tcBorders>
            <w:vAlign w:val="center"/>
          </w:tcPr>
          <w:p w14:paraId="39B6D2D4" w14:textId="77777777" w:rsidR="000424EA" w:rsidRDefault="000424EA" w:rsidP="005056A9">
            <w:pPr>
              <w:spacing w:before="40" w:after="40" w:line="240" w:lineRule="auto"/>
              <w:jc w:val="center"/>
              <w:rPr>
                <w:rFonts w:cs="Times New Roman"/>
                <w:sz w:val="16"/>
                <w:szCs w:val="16"/>
              </w:rPr>
            </w:pPr>
            <w:r w:rsidRPr="00BD5DFB">
              <w:rPr>
                <w:rFonts w:cs="Times New Roman"/>
                <w:sz w:val="16"/>
                <w:szCs w:val="16"/>
              </w:rPr>
              <w:t>8</w:t>
            </w:r>
            <w:r>
              <w:rPr>
                <w:rFonts w:cs="Times New Roman"/>
                <w:sz w:val="16"/>
                <w:szCs w:val="16"/>
              </w:rPr>
              <w:t>.</w:t>
            </w:r>
            <w:r w:rsidRPr="00BD5DFB">
              <w:rPr>
                <w:rFonts w:cs="Times New Roman"/>
                <w:sz w:val="16"/>
                <w:szCs w:val="16"/>
              </w:rPr>
              <w:t>532,5</w:t>
            </w:r>
          </w:p>
          <w:p w14:paraId="35C2F299" w14:textId="77777777" w:rsidR="000424EA" w:rsidRPr="00BD5DFB" w:rsidRDefault="000424EA" w:rsidP="005056A9">
            <w:pPr>
              <w:spacing w:before="40" w:after="40" w:line="240" w:lineRule="auto"/>
              <w:jc w:val="center"/>
              <w:rPr>
                <w:rFonts w:cs="Times New Roman"/>
                <w:sz w:val="16"/>
                <w:szCs w:val="16"/>
              </w:rPr>
            </w:pPr>
            <w:r>
              <w:rPr>
                <w:rFonts w:cs="Times New Roman"/>
                <w:sz w:val="16"/>
                <w:szCs w:val="16"/>
              </w:rPr>
              <w:t>***</w:t>
            </w:r>
          </w:p>
        </w:tc>
        <w:tc>
          <w:tcPr>
            <w:tcW w:w="327" w:type="pct"/>
            <w:gridSpan w:val="2"/>
            <w:tcBorders>
              <w:top w:val="single" w:sz="8" w:space="0" w:color="auto"/>
            </w:tcBorders>
            <w:vAlign w:val="center"/>
          </w:tcPr>
          <w:p w14:paraId="12E19A6C"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0,824</w:t>
            </w:r>
          </w:p>
        </w:tc>
      </w:tr>
      <w:tr w:rsidR="005056A9" w14:paraId="6FBAA504" w14:textId="77777777" w:rsidTr="00A01FA6">
        <w:tc>
          <w:tcPr>
            <w:tcW w:w="934" w:type="pct"/>
            <w:vAlign w:val="center"/>
          </w:tcPr>
          <w:p w14:paraId="06289A3E" w14:textId="77777777" w:rsidR="000424EA" w:rsidRPr="00BD5DFB" w:rsidRDefault="000424EA" w:rsidP="005056A9">
            <w:pPr>
              <w:spacing w:before="40" w:after="40" w:line="240" w:lineRule="auto"/>
              <w:jc w:val="left"/>
              <w:rPr>
                <w:rFonts w:cs="Times New Roman"/>
                <w:sz w:val="16"/>
                <w:szCs w:val="16"/>
              </w:rPr>
            </w:pPr>
            <w:r w:rsidRPr="00BD5DFB">
              <w:rPr>
                <w:rFonts w:cs="Times New Roman"/>
                <w:sz w:val="16"/>
                <w:szCs w:val="16"/>
              </w:rPr>
              <w:t xml:space="preserve">Zuschüsse </w:t>
            </w:r>
            <w:r>
              <w:rPr>
                <w:rFonts w:cs="Times New Roman"/>
                <w:sz w:val="16"/>
                <w:szCs w:val="16"/>
              </w:rPr>
              <w:t>und</w:t>
            </w:r>
            <w:r w:rsidRPr="00BD5DFB">
              <w:rPr>
                <w:rFonts w:cs="Times New Roman"/>
                <w:sz w:val="16"/>
                <w:szCs w:val="16"/>
              </w:rPr>
              <w:t xml:space="preserve"> subventionierte Bankdarlehen</w:t>
            </w:r>
          </w:p>
        </w:tc>
        <w:tc>
          <w:tcPr>
            <w:tcW w:w="430" w:type="pct"/>
            <w:gridSpan w:val="2"/>
            <w:vAlign w:val="center"/>
          </w:tcPr>
          <w:p w14:paraId="5EB1E49C"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7,0%</w:t>
            </w:r>
          </w:p>
        </w:tc>
        <w:tc>
          <w:tcPr>
            <w:tcW w:w="430" w:type="pct"/>
            <w:vAlign w:val="center"/>
          </w:tcPr>
          <w:p w14:paraId="699C1554"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3,3%</w:t>
            </w:r>
          </w:p>
        </w:tc>
        <w:tc>
          <w:tcPr>
            <w:tcW w:w="430" w:type="pct"/>
            <w:vAlign w:val="center"/>
          </w:tcPr>
          <w:p w14:paraId="23EB1D7F" w14:textId="77777777" w:rsidR="000424EA" w:rsidRPr="00D904F2" w:rsidRDefault="000424EA" w:rsidP="005056A9">
            <w:pPr>
              <w:spacing w:before="40" w:after="40" w:line="240" w:lineRule="auto"/>
              <w:jc w:val="center"/>
              <w:rPr>
                <w:rFonts w:cs="Times New Roman"/>
                <w:b/>
                <w:bCs/>
                <w:spacing w:val="-6"/>
                <w:sz w:val="16"/>
                <w:szCs w:val="16"/>
              </w:rPr>
            </w:pPr>
            <w:r w:rsidRPr="00D904F2">
              <w:rPr>
                <w:rFonts w:cs="Times New Roman"/>
                <w:b/>
                <w:bCs/>
                <w:spacing w:val="-6"/>
                <w:sz w:val="16"/>
                <w:szCs w:val="16"/>
              </w:rPr>
              <w:t>100,0%</w:t>
            </w:r>
          </w:p>
        </w:tc>
        <w:tc>
          <w:tcPr>
            <w:tcW w:w="430" w:type="pct"/>
            <w:vAlign w:val="center"/>
          </w:tcPr>
          <w:p w14:paraId="0DD74CC8"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17A95E9D"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579F6B39"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19E160C5"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gridSpan w:val="2"/>
            <w:vAlign w:val="center"/>
          </w:tcPr>
          <w:p w14:paraId="764A3117"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299" w:type="pct"/>
            <w:vAlign w:val="center"/>
          </w:tcPr>
          <w:p w14:paraId="174A4328" w14:textId="77777777" w:rsidR="000424EA" w:rsidRDefault="000424EA" w:rsidP="005056A9">
            <w:pPr>
              <w:spacing w:before="40" w:after="40" w:line="240" w:lineRule="auto"/>
              <w:jc w:val="center"/>
              <w:rPr>
                <w:rFonts w:cs="Times New Roman"/>
                <w:sz w:val="16"/>
                <w:szCs w:val="16"/>
              </w:rPr>
            </w:pPr>
            <w:r w:rsidRPr="00BD5DFB">
              <w:rPr>
                <w:rFonts w:cs="Times New Roman"/>
                <w:sz w:val="16"/>
                <w:szCs w:val="16"/>
              </w:rPr>
              <w:t>10</w:t>
            </w:r>
            <w:r>
              <w:rPr>
                <w:rFonts w:cs="Times New Roman"/>
                <w:sz w:val="16"/>
                <w:szCs w:val="16"/>
              </w:rPr>
              <w:t>.</w:t>
            </w:r>
            <w:r w:rsidRPr="00BD5DFB">
              <w:rPr>
                <w:rFonts w:cs="Times New Roman"/>
                <w:sz w:val="16"/>
                <w:szCs w:val="16"/>
              </w:rPr>
              <w:t>959,4</w:t>
            </w:r>
          </w:p>
          <w:p w14:paraId="16FF1C7E" w14:textId="77777777" w:rsidR="000424EA" w:rsidRPr="00BD5DFB" w:rsidRDefault="000424EA" w:rsidP="005056A9">
            <w:pPr>
              <w:spacing w:before="40" w:after="40" w:line="240" w:lineRule="auto"/>
              <w:jc w:val="center"/>
              <w:rPr>
                <w:rFonts w:cs="Times New Roman"/>
                <w:sz w:val="16"/>
                <w:szCs w:val="16"/>
              </w:rPr>
            </w:pPr>
            <w:r>
              <w:rPr>
                <w:rFonts w:cs="Times New Roman"/>
                <w:sz w:val="16"/>
                <w:szCs w:val="16"/>
              </w:rPr>
              <w:t>***</w:t>
            </w:r>
          </w:p>
        </w:tc>
        <w:tc>
          <w:tcPr>
            <w:tcW w:w="327" w:type="pct"/>
            <w:gridSpan w:val="2"/>
            <w:vAlign w:val="center"/>
          </w:tcPr>
          <w:p w14:paraId="53F4C1C6"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0,933</w:t>
            </w:r>
          </w:p>
        </w:tc>
      </w:tr>
      <w:tr w:rsidR="005056A9" w14:paraId="25CC4452" w14:textId="77777777" w:rsidTr="00A01FA6">
        <w:tc>
          <w:tcPr>
            <w:tcW w:w="934" w:type="pct"/>
            <w:vAlign w:val="center"/>
          </w:tcPr>
          <w:p w14:paraId="66596D5B" w14:textId="77777777" w:rsidR="000424EA" w:rsidRPr="00BD5DFB" w:rsidRDefault="000424EA" w:rsidP="005056A9">
            <w:pPr>
              <w:spacing w:before="40" w:after="40" w:line="240" w:lineRule="auto"/>
              <w:jc w:val="left"/>
              <w:rPr>
                <w:rFonts w:cs="Times New Roman"/>
                <w:sz w:val="16"/>
                <w:szCs w:val="16"/>
              </w:rPr>
            </w:pPr>
            <w:bookmarkStart w:id="46" w:name="_Hlk88149868"/>
            <w:r w:rsidRPr="00BD5DFB">
              <w:rPr>
                <w:rFonts w:cs="Times New Roman"/>
                <w:sz w:val="16"/>
                <w:szCs w:val="16"/>
              </w:rPr>
              <w:t xml:space="preserve">Kreditlinien, Überziehung von </w:t>
            </w:r>
            <w:r w:rsidRPr="00D904F2">
              <w:rPr>
                <w:rFonts w:cs="Times New Roman"/>
                <w:spacing w:val="-4"/>
                <w:sz w:val="16"/>
                <w:szCs w:val="16"/>
              </w:rPr>
              <w:t>Bankkonten</w:t>
            </w:r>
            <w:r>
              <w:rPr>
                <w:rFonts w:cs="Times New Roman"/>
                <w:sz w:val="16"/>
                <w:szCs w:val="16"/>
              </w:rPr>
              <w:t xml:space="preserve"> </w:t>
            </w:r>
            <w:r w:rsidRPr="00944D34">
              <w:rPr>
                <w:rFonts w:cs="Times New Roman"/>
                <w:spacing w:val="-4"/>
                <w:sz w:val="16"/>
                <w:szCs w:val="16"/>
              </w:rPr>
              <w:t>und Kreditkarten</w:t>
            </w:r>
            <w:bookmarkEnd w:id="46"/>
          </w:p>
        </w:tc>
        <w:tc>
          <w:tcPr>
            <w:tcW w:w="430" w:type="pct"/>
            <w:gridSpan w:val="2"/>
            <w:vAlign w:val="center"/>
          </w:tcPr>
          <w:p w14:paraId="0FC53346"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51,6%</w:t>
            </w:r>
          </w:p>
        </w:tc>
        <w:tc>
          <w:tcPr>
            <w:tcW w:w="430" w:type="pct"/>
            <w:vAlign w:val="center"/>
          </w:tcPr>
          <w:p w14:paraId="1B4CB789"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41,7%</w:t>
            </w:r>
          </w:p>
        </w:tc>
        <w:tc>
          <w:tcPr>
            <w:tcW w:w="430" w:type="pct"/>
            <w:vAlign w:val="center"/>
          </w:tcPr>
          <w:p w14:paraId="6929B199"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59,0%</w:t>
            </w:r>
          </w:p>
        </w:tc>
        <w:tc>
          <w:tcPr>
            <w:tcW w:w="430" w:type="pct"/>
            <w:vAlign w:val="center"/>
          </w:tcPr>
          <w:p w14:paraId="7F8F2893" w14:textId="77777777" w:rsidR="000424EA" w:rsidRPr="00D904F2" w:rsidRDefault="000424EA" w:rsidP="005056A9">
            <w:pPr>
              <w:spacing w:before="40" w:after="40" w:line="240" w:lineRule="auto"/>
              <w:jc w:val="center"/>
              <w:rPr>
                <w:rFonts w:cs="Times New Roman"/>
                <w:b/>
                <w:bCs/>
                <w:spacing w:val="-6"/>
                <w:sz w:val="16"/>
                <w:szCs w:val="16"/>
              </w:rPr>
            </w:pPr>
            <w:r w:rsidRPr="00D904F2">
              <w:rPr>
                <w:rFonts w:cs="Times New Roman"/>
                <w:b/>
                <w:bCs/>
                <w:spacing w:val="-6"/>
                <w:sz w:val="16"/>
                <w:szCs w:val="16"/>
              </w:rPr>
              <w:t>100,0%</w:t>
            </w:r>
          </w:p>
        </w:tc>
        <w:tc>
          <w:tcPr>
            <w:tcW w:w="430" w:type="pct"/>
            <w:vAlign w:val="center"/>
          </w:tcPr>
          <w:p w14:paraId="3214821E"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60,9%</w:t>
            </w:r>
          </w:p>
        </w:tc>
        <w:tc>
          <w:tcPr>
            <w:tcW w:w="430" w:type="pct"/>
            <w:vAlign w:val="center"/>
          </w:tcPr>
          <w:p w14:paraId="57D09655"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48,8%</w:t>
            </w:r>
          </w:p>
        </w:tc>
        <w:tc>
          <w:tcPr>
            <w:tcW w:w="430" w:type="pct"/>
            <w:vAlign w:val="center"/>
          </w:tcPr>
          <w:p w14:paraId="7824281F"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41,5%</w:t>
            </w:r>
          </w:p>
        </w:tc>
        <w:tc>
          <w:tcPr>
            <w:tcW w:w="430" w:type="pct"/>
            <w:gridSpan w:val="2"/>
            <w:vAlign w:val="center"/>
          </w:tcPr>
          <w:p w14:paraId="1E242706"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299" w:type="pct"/>
            <w:vAlign w:val="center"/>
          </w:tcPr>
          <w:p w14:paraId="6BF9CB19" w14:textId="77777777" w:rsidR="000424EA" w:rsidRDefault="000424EA" w:rsidP="005056A9">
            <w:pPr>
              <w:spacing w:before="40" w:after="40" w:line="240" w:lineRule="auto"/>
              <w:jc w:val="center"/>
              <w:rPr>
                <w:rFonts w:cs="Times New Roman"/>
                <w:sz w:val="16"/>
                <w:szCs w:val="16"/>
              </w:rPr>
            </w:pPr>
            <w:r w:rsidRPr="00BD5DFB">
              <w:rPr>
                <w:rFonts w:cs="Times New Roman"/>
                <w:sz w:val="16"/>
                <w:szCs w:val="16"/>
              </w:rPr>
              <w:t>5</w:t>
            </w:r>
            <w:r>
              <w:rPr>
                <w:rFonts w:cs="Times New Roman"/>
                <w:sz w:val="16"/>
                <w:szCs w:val="16"/>
              </w:rPr>
              <w:t>.</w:t>
            </w:r>
            <w:r w:rsidRPr="00BD5DFB">
              <w:rPr>
                <w:rFonts w:cs="Times New Roman"/>
                <w:sz w:val="16"/>
                <w:szCs w:val="16"/>
              </w:rPr>
              <w:t>093,2</w:t>
            </w:r>
          </w:p>
          <w:p w14:paraId="68F16794" w14:textId="77777777" w:rsidR="000424EA" w:rsidRPr="00BD5DFB" w:rsidRDefault="000424EA" w:rsidP="005056A9">
            <w:pPr>
              <w:spacing w:before="40" w:after="40" w:line="240" w:lineRule="auto"/>
              <w:jc w:val="center"/>
              <w:rPr>
                <w:rFonts w:cs="Times New Roman"/>
                <w:sz w:val="16"/>
                <w:szCs w:val="16"/>
              </w:rPr>
            </w:pPr>
            <w:r>
              <w:rPr>
                <w:rFonts w:cs="Times New Roman"/>
                <w:sz w:val="16"/>
                <w:szCs w:val="16"/>
              </w:rPr>
              <w:t>***</w:t>
            </w:r>
          </w:p>
        </w:tc>
        <w:tc>
          <w:tcPr>
            <w:tcW w:w="327" w:type="pct"/>
            <w:gridSpan w:val="2"/>
            <w:vAlign w:val="center"/>
          </w:tcPr>
          <w:p w14:paraId="101F8F61"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0,636</w:t>
            </w:r>
          </w:p>
        </w:tc>
      </w:tr>
      <w:tr w:rsidR="005056A9" w14:paraId="638C5D29" w14:textId="77777777" w:rsidTr="00A01FA6">
        <w:tc>
          <w:tcPr>
            <w:tcW w:w="934" w:type="pct"/>
            <w:vAlign w:val="center"/>
          </w:tcPr>
          <w:p w14:paraId="2865CD97" w14:textId="77777777" w:rsidR="000424EA" w:rsidRPr="00BD5DFB" w:rsidRDefault="000424EA" w:rsidP="005056A9">
            <w:pPr>
              <w:spacing w:before="40" w:after="40" w:line="240" w:lineRule="auto"/>
              <w:jc w:val="left"/>
              <w:rPr>
                <w:rFonts w:cs="Times New Roman"/>
                <w:sz w:val="16"/>
                <w:szCs w:val="16"/>
              </w:rPr>
            </w:pPr>
            <w:r w:rsidRPr="00BD5DFB">
              <w:rPr>
                <w:rFonts w:cs="Times New Roman"/>
                <w:sz w:val="16"/>
                <w:szCs w:val="16"/>
              </w:rPr>
              <w:t>Bankdarlehen</w:t>
            </w:r>
          </w:p>
        </w:tc>
        <w:tc>
          <w:tcPr>
            <w:tcW w:w="430" w:type="pct"/>
            <w:gridSpan w:val="2"/>
            <w:vAlign w:val="center"/>
          </w:tcPr>
          <w:p w14:paraId="648CDE7D"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22,2%</w:t>
            </w:r>
          </w:p>
        </w:tc>
        <w:tc>
          <w:tcPr>
            <w:tcW w:w="430" w:type="pct"/>
            <w:vAlign w:val="center"/>
          </w:tcPr>
          <w:p w14:paraId="0B4049F0"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20,8%</w:t>
            </w:r>
          </w:p>
        </w:tc>
        <w:tc>
          <w:tcPr>
            <w:tcW w:w="430" w:type="pct"/>
            <w:vAlign w:val="center"/>
          </w:tcPr>
          <w:p w14:paraId="3C613E93"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43,8%</w:t>
            </w:r>
          </w:p>
        </w:tc>
        <w:tc>
          <w:tcPr>
            <w:tcW w:w="430" w:type="pct"/>
            <w:vAlign w:val="center"/>
          </w:tcPr>
          <w:p w14:paraId="79AA64B1"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18E5CB98" w14:textId="77777777" w:rsidR="000424EA" w:rsidRPr="00D904F2" w:rsidRDefault="000424EA" w:rsidP="005056A9">
            <w:pPr>
              <w:spacing w:before="40" w:after="40" w:line="240" w:lineRule="auto"/>
              <w:jc w:val="center"/>
              <w:rPr>
                <w:rFonts w:cs="Times New Roman"/>
                <w:b/>
                <w:bCs/>
                <w:spacing w:val="-6"/>
                <w:sz w:val="16"/>
                <w:szCs w:val="16"/>
              </w:rPr>
            </w:pPr>
            <w:r w:rsidRPr="00D904F2">
              <w:rPr>
                <w:rFonts w:cs="Times New Roman"/>
                <w:b/>
                <w:bCs/>
                <w:spacing w:val="-6"/>
                <w:sz w:val="16"/>
                <w:szCs w:val="16"/>
              </w:rPr>
              <w:t>100,0%</w:t>
            </w:r>
          </w:p>
        </w:tc>
        <w:tc>
          <w:tcPr>
            <w:tcW w:w="430" w:type="pct"/>
            <w:vAlign w:val="center"/>
          </w:tcPr>
          <w:p w14:paraId="42C05245"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672108EA"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gridSpan w:val="2"/>
            <w:vAlign w:val="center"/>
          </w:tcPr>
          <w:p w14:paraId="795FEFC4"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299" w:type="pct"/>
            <w:vAlign w:val="center"/>
          </w:tcPr>
          <w:p w14:paraId="707E2E95" w14:textId="77777777" w:rsidR="000424EA" w:rsidRDefault="000424EA" w:rsidP="005056A9">
            <w:pPr>
              <w:spacing w:before="40" w:after="40" w:line="240" w:lineRule="auto"/>
              <w:jc w:val="center"/>
              <w:rPr>
                <w:rFonts w:cs="Times New Roman"/>
                <w:sz w:val="16"/>
                <w:szCs w:val="16"/>
              </w:rPr>
            </w:pPr>
            <w:r w:rsidRPr="00BD5DFB">
              <w:rPr>
                <w:rFonts w:cs="Times New Roman"/>
                <w:sz w:val="16"/>
                <w:szCs w:val="16"/>
              </w:rPr>
              <w:t>7</w:t>
            </w:r>
            <w:r>
              <w:rPr>
                <w:rFonts w:cs="Times New Roman"/>
                <w:sz w:val="16"/>
                <w:szCs w:val="16"/>
              </w:rPr>
              <w:t>.</w:t>
            </w:r>
            <w:r w:rsidRPr="00BD5DFB">
              <w:rPr>
                <w:rFonts w:cs="Times New Roman"/>
                <w:sz w:val="16"/>
                <w:szCs w:val="16"/>
              </w:rPr>
              <w:t>757,6</w:t>
            </w:r>
          </w:p>
          <w:p w14:paraId="33CDF80D" w14:textId="77777777" w:rsidR="000424EA" w:rsidRPr="00BD5DFB" w:rsidRDefault="000424EA" w:rsidP="005056A9">
            <w:pPr>
              <w:spacing w:before="40" w:after="40" w:line="240" w:lineRule="auto"/>
              <w:jc w:val="center"/>
              <w:rPr>
                <w:rFonts w:cs="Times New Roman"/>
                <w:sz w:val="16"/>
                <w:szCs w:val="16"/>
              </w:rPr>
            </w:pPr>
            <w:r>
              <w:rPr>
                <w:rFonts w:cs="Times New Roman"/>
                <w:sz w:val="16"/>
                <w:szCs w:val="16"/>
              </w:rPr>
              <w:t>***</w:t>
            </w:r>
          </w:p>
        </w:tc>
        <w:tc>
          <w:tcPr>
            <w:tcW w:w="327" w:type="pct"/>
            <w:gridSpan w:val="2"/>
            <w:vAlign w:val="center"/>
          </w:tcPr>
          <w:p w14:paraId="7FB1D02D"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0,785</w:t>
            </w:r>
          </w:p>
        </w:tc>
      </w:tr>
      <w:tr w:rsidR="005056A9" w14:paraId="6EF3BDD4" w14:textId="77777777" w:rsidTr="00A01FA6">
        <w:tc>
          <w:tcPr>
            <w:tcW w:w="934" w:type="pct"/>
            <w:vAlign w:val="center"/>
          </w:tcPr>
          <w:p w14:paraId="1ADECFD4" w14:textId="0B383ADB" w:rsidR="000424EA" w:rsidRPr="00BD5DFB" w:rsidRDefault="000424EA" w:rsidP="005056A9">
            <w:pPr>
              <w:spacing w:before="40" w:after="40" w:line="240" w:lineRule="auto"/>
              <w:jc w:val="left"/>
              <w:rPr>
                <w:rFonts w:cs="Times New Roman"/>
                <w:sz w:val="16"/>
                <w:szCs w:val="16"/>
              </w:rPr>
            </w:pPr>
            <w:r w:rsidRPr="00BD5DFB">
              <w:rPr>
                <w:rFonts w:cs="Times New Roman"/>
                <w:sz w:val="16"/>
                <w:szCs w:val="16"/>
              </w:rPr>
              <w:t>Lieferantenkredite</w:t>
            </w:r>
          </w:p>
        </w:tc>
        <w:tc>
          <w:tcPr>
            <w:tcW w:w="430" w:type="pct"/>
            <w:gridSpan w:val="2"/>
            <w:vAlign w:val="center"/>
          </w:tcPr>
          <w:p w14:paraId="70D7BB00"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30,0%</w:t>
            </w:r>
          </w:p>
        </w:tc>
        <w:tc>
          <w:tcPr>
            <w:tcW w:w="430" w:type="pct"/>
            <w:vAlign w:val="center"/>
          </w:tcPr>
          <w:p w14:paraId="1F2DD7AD"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30,3%</w:t>
            </w:r>
          </w:p>
        </w:tc>
        <w:tc>
          <w:tcPr>
            <w:tcW w:w="430" w:type="pct"/>
            <w:vAlign w:val="center"/>
          </w:tcPr>
          <w:p w14:paraId="3CB7D83F"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29,5%</w:t>
            </w:r>
          </w:p>
        </w:tc>
        <w:tc>
          <w:tcPr>
            <w:tcW w:w="430" w:type="pct"/>
            <w:vAlign w:val="center"/>
          </w:tcPr>
          <w:p w14:paraId="73EFBEE7"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4F7B91D6"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24,1%</w:t>
            </w:r>
          </w:p>
        </w:tc>
        <w:tc>
          <w:tcPr>
            <w:tcW w:w="430" w:type="pct"/>
            <w:vAlign w:val="center"/>
          </w:tcPr>
          <w:p w14:paraId="5296AA90" w14:textId="77777777" w:rsidR="000424EA" w:rsidRPr="00D904F2" w:rsidRDefault="000424EA" w:rsidP="005056A9">
            <w:pPr>
              <w:spacing w:before="40" w:after="40" w:line="240" w:lineRule="auto"/>
              <w:jc w:val="center"/>
              <w:rPr>
                <w:rFonts w:cs="Times New Roman"/>
                <w:b/>
                <w:bCs/>
                <w:spacing w:val="-6"/>
                <w:sz w:val="16"/>
                <w:szCs w:val="16"/>
              </w:rPr>
            </w:pPr>
            <w:r w:rsidRPr="00D904F2">
              <w:rPr>
                <w:rFonts w:cs="Times New Roman"/>
                <w:b/>
                <w:bCs/>
                <w:spacing w:val="-6"/>
                <w:sz w:val="16"/>
                <w:szCs w:val="16"/>
              </w:rPr>
              <w:t>100,0%</w:t>
            </w:r>
          </w:p>
        </w:tc>
        <w:tc>
          <w:tcPr>
            <w:tcW w:w="430" w:type="pct"/>
            <w:vAlign w:val="center"/>
          </w:tcPr>
          <w:p w14:paraId="791A3EC2"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gridSpan w:val="2"/>
            <w:vAlign w:val="center"/>
          </w:tcPr>
          <w:p w14:paraId="7EE6A09E"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299" w:type="pct"/>
            <w:vAlign w:val="center"/>
          </w:tcPr>
          <w:p w14:paraId="70ACCF3F" w14:textId="77777777" w:rsidR="000424EA" w:rsidRDefault="000424EA" w:rsidP="005056A9">
            <w:pPr>
              <w:spacing w:before="40" w:after="40" w:line="240" w:lineRule="auto"/>
              <w:jc w:val="center"/>
              <w:rPr>
                <w:rFonts w:cs="Times New Roman"/>
                <w:sz w:val="16"/>
                <w:szCs w:val="16"/>
              </w:rPr>
            </w:pPr>
            <w:r w:rsidRPr="00BD5DFB">
              <w:rPr>
                <w:rFonts w:cs="Times New Roman"/>
                <w:sz w:val="16"/>
                <w:szCs w:val="16"/>
              </w:rPr>
              <w:t>6</w:t>
            </w:r>
            <w:r>
              <w:rPr>
                <w:rFonts w:cs="Times New Roman"/>
                <w:sz w:val="16"/>
                <w:szCs w:val="16"/>
              </w:rPr>
              <w:t>.</w:t>
            </w:r>
            <w:r w:rsidRPr="00BD5DFB">
              <w:rPr>
                <w:rFonts w:cs="Times New Roman"/>
                <w:sz w:val="16"/>
                <w:szCs w:val="16"/>
              </w:rPr>
              <w:t>432,7</w:t>
            </w:r>
          </w:p>
          <w:p w14:paraId="30979BD9" w14:textId="77777777" w:rsidR="000424EA" w:rsidRPr="00BD5DFB" w:rsidRDefault="000424EA" w:rsidP="005056A9">
            <w:pPr>
              <w:spacing w:before="40" w:after="40" w:line="240" w:lineRule="auto"/>
              <w:jc w:val="center"/>
              <w:rPr>
                <w:rFonts w:cs="Times New Roman"/>
                <w:sz w:val="16"/>
                <w:szCs w:val="16"/>
              </w:rPr>
            </w:pPr>
            <w:r>
              <w:rPr>
                <w:rFonts w:cs="Times New Roman"/>
                <w:sz w:val="16"/>
                <w:szCs w:val="16"/>
              </w:rPr>
              <w:t>***</w:t>
            </w:r>
          </w:p>
        </w:tc>
        <w:tc>
          <w:tcPr>
            <w:tcW w:w="327" w:type="pct"/>
            <w:gridSpan w:val="2"/>
            <w:vAlign w:val="center"/>
          </w:tcPr>
          <w:p w14:paraId="4342A654"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0,715</w:t>
            </w:r>
          </w:p>
        </w:tc>
      </w:tr>
      <w:tr w:rsidR="005056A9" w14:paraId="27B1654B" w14:textId="77777777" w:rsidTr="00A01FA6">
        <w:tc>
          <w:tcPr>
            <w:tcW w:w="934" w:type="pct"/>
            <w:vAlign w:val="center"/>
          </w:tcPr>
          <w:p w14:paraId="17C65BA3" w14:textId="77777777" w:rsidR="000424EA" w:rsidRPr="00BD5DFB" w:rsidRDefault="000424EA" w:rsidP="005056A9">
            <w:pPr>
              <w:spacing w:before="40" w:after="40" w:line="240" w:lineRule="auto"/>
              <w:jc w:val="left"/>
              <w:rPr>
                <w:rFonts w:cs="Times New Roman"/>
                <w:sz w:val="16"/>
                <w:szCs w:val="16"/>
              </w:rPr>
            </w:pPr>
            <w:r w:rsidRPr="00BD5DFB">
              <w:rPr>
                <w:rFonts w:cs="Times New Roman"/>
                <w:sz w:val="16"/>
                <w:szCs w:val="16"/>
              </w:rPr>
              <w:t>Andere Darlehen</w:t>
            </w:r>
          </w:p>
        </w:tc>
        <w:tc>
          <w:tcPr>
            <w:tcW w:w="430" w:type="pct"/>
            <w:gridSpan w:val="2"/>
            <w:vAlign w:val="center"/>
          </w:tcPr>
          <w:p w14:paraId="2FB64C2A" w14:textId="77777777" w:rsidR="000424EA" w:rsidRPr="00D904F2" w:rsidRDefault="000424EA" w:rsidP="005056A9">
            <w:pPr>
              <w:spacing w:before="40" w:after="40" w:line="240" w:lineRule="auto"/>
              <w:jc w:val="center"/>
              <w:rPr>
                <w:rFonts w:cs="Times New Roman"/>
                <w:b/>
                <w:bCs/>
                <w:sz w:val="16"/>
                <w:szCs w:val="16"/>
              </w:rPr>
            </w:pPr>
            <w:r w:rsidRPr="00D904F2">
              <w:rPr>
                <w:rFonts w:cs="Times New Roman"/>
                <w:b/>
                <w:bCs/>
                <w:sz w:val="16"/>
                <w:szCs w:val="16"/>
              </w:rPr>
              <w:t>95,5%</w:t>
            </w:r>
          </w:p>
        </w:tc>
        <w:tc>
          <w:tcPr>
            <w:tcW w:w="430" w:type="pct"/>
            <w:vAlign w:val="center"/>
          </w:tcPr>
          <w:p w14:paraId="7F94B9D3"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3,0%</w:t>
            </w:r>
          </w:p>
        </w:tc>
        <w:tc>
          <w:tcPr>
            <w:tcW w:w="430" w:type="pct"/>
            <w:vAlign w:val="center"/>
          </w:tcPr>
          <w:p w14:paraId="07A9DA4D"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1,5%</w:t>
            </w:r>
          </w:p>
        </w:tc>
        <w:tc>
          <w:tcPr>
            <w:tcW w:w="430" w:type="pct"/>
            <w:vAlign w:val="center"/>
          </w:tcPr>
          <w:p w14:paraId="1A287F30"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1EA4054B"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156BD235"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646C0B6D"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gridSpan w:val="2"/>
            <w:vAlign w:val="center"/>
          </w:tcPr>
          <w:p w14:paraId="1FFF3C13"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299" w:type="pct"/>
            <w:vAlign w:val="center"/>
          </w:tcPr>
          <w:p w14:paraId="1DB078D3" w14:textId="77777777" w:rsidR="000424EA" w:rsidRDefault="000424EA" w:rsidP="005056A9">
            <w:pPr>
              <w:spacing w:before="40" w:after="40" w:line="240" w:lineRule="auto"/>
              <w:jc w:val="center"/>
              <w:rPr>
                <w:rFonts w:cs="Times New Roman"/>
                <w:sz w:val="16"/>
                <w:szCs w:val="16"/>
              </w:rPr>
            </w:pPr>
            <w:r w:rsidRPr="00BD5DFB">
              <w:rPr>
                <w:rFonts w:cs="Times New Roman"/>
                <w:sz w:val="16"/>
                <w:szCs w:val="16"/>
              </w:rPr>
              <w:t>11</w:t>
            </w:r>
            <w:r>
              <w:rPr>
                <w:rFonts w:cs="Times New Roman"/>
                <w:sz w:val="16"/>
                <w:szCs w:val="16"/>
              </w:rPr>
              <w:t>.</w:t>
            </w:r>
            <w:r w:rsidRPr="00BD5DFB">
              <w:rPr>
                <w:rFonts w:cs="Times New Roman"/>
                <w:sz w:val="16"/>
                <w:szCs w:val="16"/>
              </w:rPr>
              <w:t>185,5</w:t>
            </w:r>
          </w:p>
          <w:p w14:paraId="1617FAEA" w14:textId="77777777" w:rsidR="000424EA" w:rsidRPr="00BD5DFB" w:rsidRDefault="000424EA" w:rsidP="005056A9">
            <w:pPr>
              <w:spacing w:before="40" w:after="40" w:line="240" w:lineRule="auto"/>
              <w:jc w:val="center"/>
              <w:rPr>
                <w:rFonts w:cs="Times New Roman"/>
                <w:sz w:val="16"/>
                <w:szCs w:val="16"/>
              </w:rPr>
            </w:pPr>
            <w:r>
              <w:rPr>
                <w:rFonts w:cs="Times New Roman"/>
                <w:sz w:val="16"/>
                <w:szCs w:val="16"/>
              </w:rPr>
              <w:t>***</w:t>
            </w:r>
          </w:p>
        </w:tc>
        <w:tc>
          <w:tcPr>
            <w:tcW w:w="327" w:type="pct"/>
            <w:gridSpan w:val="2"/>
            <w:vAlign w:val="center"/>
          </w:tcPr>
          <w:p w14:paraId="3101A8B1"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0,943</w:t>
            </w:r>
          </w:p>
        </w:tc>
      </w:tr>
      <w:tr w:rsidR="005056A9" w14:paraId="75911A05" w14:textId="77777777" w:rsidTr="00A01FA6">
        <w:tc>
          <w:tcPr>
            <w:tcW w:w="934" w:type="pct"/>
            <w:vAlign w:val="center"/>
          </w:tcPr>
          <w:p w14:paraId="5B87C3AA" w14:textId="5B553E75" w:rsidR="000424EA" w:rsidRPr="00BD5DFB" w:rsidRDefault="000424EA" w:rsidP="005056A9">
            <w:pPr>
              <w:spacing w:before="40" w:after="40" w:line="240" w:lineRule="auto"/>
              <w:jc w:val="left"/>
              <w:rPr>
                <w:rFonts w:cs="Times New Roman"/>
                <w:sz w:val="16"/>
                <w:szCs w:val="16"/>
              </w:rPr>
            </w:pPr>
            <w:r w:rsidRPr="00BD5DFB">
              <w:rPr>
                <w:rFonts w:cs="Times New Roman"/>
                <w:sz w:val="16"/>
                <w:szCs w:val="16"/>
              </w:rPr>
              <w:t>Schuldverschreibungen</w:t>
            </w:r>
          </w:p>
        </w:tc>
        <w:tc>
          <w:tcPr>
            <w:tcW w:w="430" w:type="pct"/>
            <w:gridSpan w:val="2"/>
            <w:vAlign w:val="center"/>
          </w:tcPr>
          <w:p w14:paraId="026A2D4C"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0,8%</w:t>
            </w:r>
          </w:p>
        </w:tc>
        <w:tc>
          <w:tcPr>
            <w:tcW w:w="430" w:type="pct"/>
            <w:vAlign w:val="center"/>
          </w:tcPr>
          <w:p w14:paraId="3E587C99"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6,5%</w:t>
            </w:r>
          </w:p>
        </w:tc>
        <w:tc>
          <w:tcPr>
            <w:tcW w:w="430" w:type="pct"/>
            <w:vAlign w:val="center"/>
          </w:tcPr>
          <w:p w14:paraId="63B0D811"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0,5%</w:t>
            </w:r>
          </w:p>
        </w:tc>
        <w:tc>
          <w:tcPr>
            <w:tcW w:w="430" w:type="pct"/>
            <w:vAlign w:val="center"/>
          </w:tcPr>
          <w:p w14:paraId="125DF6E5"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39D56631"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4ABE25B7"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7BB9B4FE"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gridSpan w:val="2"/>
            <w:vAlign w:val="center"/>
          </w:tcPr>
          <w:p w14:paraId="1E617A79"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299" w:type="pct"/>
            <w:vAlign w:val="center"/>
          </w:tcPr>
          <w:p w14:paraId="1CA433B9" w14:textId="77777777" w:rsidR="000424EA" w:rsidRDefault="000424EA" w:rsidP="005056A9">
            <w:pPr>
              <w:spacing w:before="40" w:after="40" w:line="240" w:lineRule="auto"/>
              <w:jc w:val="center"/>
              <w:rPr>
                <w:rFonts w:cs="Times New Roman"/>
                <w:sz w:val="16"/>
                <w:szCs w:val="16"/>
              </w:rPr>
            </w:pPr>
            <w:r w:rsidRPr="00BD5DFB">
              <w:rPr>
                <w:rFonts w:cs="Times New Roman"/>
                <w:sz w:val="16"/>
                <w:szCs w:val="16"/>
              </w:rPr>
              <w:t>631,1</w:t>
            </w:r>
          </w:p>
          <w:p w14:paraId="626109C9" w14:textId="77777777" w:rsidR="000424EA" w:rsidRPr="00BD5DFB" w:rsidRDefault="000424EA" w:rsidP="005056A9">
            <w:pPr>
              <w:spacing w:before="40" w:after="40" w:line="240" w:lineRule="auto"/>
              <w:jc w:val="center"/>
              <w:rPr>
                <w:rFonts w:cs="Times New Roman"/>
                <w:sz w:val="16"/>
                <w:szCs w:val="16"/>
              </w:rPr>
            </w:pPr>
            <w:r>
              <w:rPr>
                <w:rFonts w:cs="Times New Roman"/>
                <w:sz w:val="16"/>
                <w:szCs w:val="16"/>
              </w:rPr>
              <w:t>***</w:t>
            </w:r>
          </w:p>
        </w:tc>
        <w:tc>
          <w:tcPr>
            <w:tcW w:w="327" w:type="pct"/>
            <w:gridSpan w:val="2"/>
            <w:vAlign w:val="center"/>
          </w:tcPr>
          <w:p w14:paraId="3FC14C18"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0,224</w:t>
            </w:r>
          </w:p>
        </w:tc>
      </w:tr>
      <w:tr w:rsidR="005056A9" w14:paraId="2190C3A0" w14:textId="77777777" w:rsidTr="00A01FA6">
        <w:tc>
          <w:tcPr>
            <w:tcW w:w="934" w:type="pct"/>
            <w:vAlign w:val="center"/>
          </w:tcPr>
          <w:p w14:paraId="5AA021D5" w14:textId="77777777" w:rsidR="000424EA" w:rsidRPr="00BD5DFB" w:rsidRDefault="000424EA" w:rsidP="005056A9">
            <w:pPr>
              <w:spacing w:before="40" w:after="40" w:line="240" w:lineRule="auto"/>
              <w:jc w:val="left"/>
              <w:rPr>
                <w:rFonts w:cs="Times New Roman"/>
                <w:sz w:val="16"/>
                <w:szCs w:val="16"/>
              </w:rPr>
            </w:pPr>
            <w:r w:rsidRPr="00BD5DFB">
              <w:rPr>
                <w:rFonts w:cs="Times New Roman"/>
                <w:sz w:val="16"/>
                <w:szCs w:val="16"/>
              </w:rPr>
              <w:t>Eigenkapital</w:t>
            </w:r>
          </w:p>
        </w:tc>
        <w:tc>
          <w:tcPr>
            <w:tcW w:w="430" w:type="pct"/>
            <w:gridSpan w:val="2"/>
            <w:vAlign w:val="center"/>
          </w:tcPr>
          <w:p w14:paraId="4C3ED77F"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0,9%</w:t>
            </w:r>
          </w:p>
        </w:tc>
        <w:tc>
          <w:tcPr>
            <w:tcW w:w="430" w:type="pct"/>
            <w:vAlign w:val="center"/>
          </w:tcPr>
          <w:p w14:paraId="21DE0B4A"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11,3%</w:t>
            </w:r>
          </w:p>
        </w:tc>
        <w:tc>
          <w:tcPr>
            <w:tcW w:w="430" w:type="pct"/>
            <w:vAlign w:val="center"/>
          </w:tcPr>
          <w:p w14:paraId="5E63DBCA"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0,7%</w:t>
            </w:r>
          </w:p>
        </w:tc>
        <w:tc>
          <w:tcPr>
            <w:tcW w:w="430" w:type="pct"/>
            <w:vAlign w:val="center"/>
          </w:tcPr>
          <w:p w14:paraId="37F3C048"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1D245337"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15991C48"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2DDEAB95"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gridSpan w:val="2"/>
            <w:vAlign w:val="center"/>
          </w:tcPr>
          <w:p w14:paraId="52693A29"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299" w:type="pct"/>
            <w:vAlign w:val="center"/>
          </w:tcPr>
          <w:p w14:paraId="29E9183A" w14:textId="77777777" w:rsidR="000424EA" w:rsidRDefault="000424EA" w:rsidP="005056A9">
            <w:pPr>
              <w:spacing w:before="40" w:after="40" w:line="240" w:lineRule="auto"/>
              <w:jc w:val="center"/>
              <w:rPr>
                <w:rFonts w:cs="Times New Roman"/>
                <w:sz w:val="16"/>
                <w:szCs w:val="16"/>
              </w:rPr>
            </w:pPr>
            <w:r w:rsidRPr="00BD5DFB">
              <w:rPr>
                <w:rFonts w:cs="Times New Roman"/>
                <w:sz w:val="16"/>
                <w:szCs w:val="16"/>
              </w:rPr>
              <w:t>1</w:t>
            </w:r>
            <w:r>
              <w:rPr>
                <w:rFonts w:cs="Times New Roman"/>
                <w:sz w:val="16"/>
                <w:szCs w:val="16"/>
              </w:rPr>
              <w:t>.</w:t>
            </w:r>
            <w:r w:rsidRPr="00BD5DFB">
              <w:rPr>
                <w:rFonts w:cs="Times New Roman"/>
                <w:sz w:val="16"/>
                <w:szCs w:val="16"/>
              </w:rPr>
              <w:t>138,9</w:t>
            </w:r>
          </w:p>
          <w:p w14:paraId="6E534109" w14:textId="77777777" w:rsidR="000424EA" w:rsidRPr="00BD5DFB" w:rsidRDefault="000424EA" w:rsidP="005056A9">
            <w:pPr>
              <w:spacing w:before="40" w:after="40" w:line="240" w:lineRule="auto"/>
              <w:jc w:val="center"/>
              <w:rPr>
                <w:rFonts w:cs="Times New Roman"/>
                <w:sz w:val="16"/>
                <w:szCs w:val="16"/>
              </w:rPr>
            </w:pPr>
            <w:r>
              <w:rPr>
                <w:rFonts w:cs="Times New Roman"/>
                <w:sz w:val="16"/>
                <w:szCs w:val="16"/>
              </w:rPr>
              <w:t>***</w:t>
            </w:r>
          </w:p>
        </w:tc>
        <w:tc>
          <w:tcPr>
            <w:tcW w:w="327" w:type="pct"/>
            <w:gridSpan w:val="2"/>
            <w:vAlign w:val="center"/>
          </w:tcPr>
          <w:p w14:paraId="0AF2D98E"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0,301</w:t>
            </w:r>
          </w:p>
        </w:tc>
      </w:tr>
      <w:tr w:rsidR="005056A9" w14:paraId="481E4AF0" w14:textId="77777777" w:rsidTr="00A01FA6">
        <w:tc>
          <w:tcPr>
            <w:tcW w:w="934" w:type="pct"/>
            <w:vAlign w:val="center"/>
          </w:tcPr>
          <w:p w14:paraId="49AD9CF4" w14:textId="77777777" w:rsidR="000424EA" w:rsidRPr="00BD5DFB" w:rsidRDefault="000424EA" w:rsidP="005056A9">
            <w:pPr>
              <w:spacing w:before="40" w:after="40" w:line="240" w:lineRule="auto"/>
              <w:jc w:val="left"/>
              <w:rPr>
                <w:rFonts w:cs="Times New Roman"/>
                <w:sz w:val="16"/>
                <w:szCs w:val="16"/>
              </w:rPr>
            </w:pPr>
            <w:r w:rsidRPr="00BD5DFB">
              <w:rPr>
                <w:rFonts w:cs="Times New Roman"/>
                <w:sz w:val="16"/>
                <w:szCs w:val="16"/>
              </w:rPr>
              <w:t xml:space="preserve">Leasing, Ratenkauf </w:t>
            </w:r>
            <w:r>
              <w:rPr>
                <w:rFonts w:cs="Times New Roman"/>
                <w:sz w:val="16"/>
                <w:szCs w:val="16"/>
              </w:rPr>
              <w:t>und</w:t>
            </w:r>
            <w:r w:rsidRPr="00BD5DFB">
              <w:rPr>
                <w:rFonts w:cs="Times New Roman"/>
                <w:sz w:val="16"/>
                <w:szCs w:val="16"/>
              </w:rPr>
              <w:t xml:space="preserve"> Factoring</w:t>
            </w:r>
          </w:p>
        </w:tc>
        <w:tc>
          <w:tcPr>
            <w:tcW w:w="430" w:type="pct"/>
            <w:gridSpan w:val="2"/>
            <w:vAlign w:val="center"/>
          </w:tcPr>
          <w:p w14:paraId="246B0F97"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39,6%</w:t>
            </w:r>
          </w:p>
        </w:tc>
        <w:tc>
          <w:tcPr>
            <w:tcW w:w="430" w:type="pct"/>
            <w:vAlign w:val="center"/>
          </w:tcPr>
          <w:p w14:paraId="3A41CA41"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37,3%</w:t>
            </w:r>
          </w:p>
        </w:tc>
        <w:tc>
          <w:tcPr>
            <w:tcW w:w="430" w:type="pct"/>
            <w:vAlign w:val="center"/>
          </w:tcPr>
          <w:p w14:paraId="08F8F483"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43,1%</w:t>
            </w:r>
          </w:p>
        </w:tc>
        <w:tc>
          <w:tcPr>
            <w:tcW w:w="430" w:type="pct"/>
            <w:vAlign w:val="center"/>
          </w:tcPr>
          <w:p w14:paraId="51C8F159"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24DFC02C"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41,4%</w:t>
            </w:r>
          </w:p>
        </w:tc>
        <w:tc>
          <w:tcPr>
            <w:tcW w:w="430" w:type="pct"/>
            <w:vAlign w:val="center"/>
          </w:tcPr>
          <w:p w14:paraId="36DC0D7C"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39,1%</w:t>
            </w:r>
          </w:p>
        </w:tc>
        <w:tc>
          <w:tcPr>
            <w:tcW w:w="430" w:type="pct"/>
            <w:vAlign w:val="center"/>
          </w:tcPr>
          <w:p w14:paraId="32FE1C0C" w14:textId="77777777" w:rsidR="000424EA" w:rsidRPr="00D904F2" w:rsidRDefault="000424EA" w:rsidP="005056A9">
            <w:pPr>
              <w:spacing w:before="40" w:after="40" w:line="240" w:lineRule="auto"/>
              <w:jc w:val="center"/>
              <w:rPr>
                <w:rFonts w:cs="Times New Roman"/>
                <w:b/>
                <w:bCs/>
                <w:spacing w:val="-6"/>
                <w:sz w:val="16"/>
                <w:szCs w:val="16"/>
              </w:rPr>
            </w:pPr>
            <w:r w:rsidRPr="00D904F2">
              <w:rPr>
                <w:rFonts w:cs="Times New Roman"/>
                <w:b/>
                <w:bCs/>
                <w:spacing w:val="-6"/>
                <w:sz w:val="16"/>
                <w:szCs w:val="16"/>
              </w:rPr>
              <w:t>100,0%</w:t>
            </w:r>
          </w:p>
        </w:tc>
        <w:tc>
          <w:tcPr>
            <w:tcW w:w="430" w:type="pct"/>
            <w:gridSpan w:val="2"/>
            <w:vAlign w:val="center"/>
          </w:tcPr>
          <w:p w14:paraId="5986D592"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299" w:type="pct"/>
            <w:vAlign w:val="center"/>
          </w:tcPr>
          <w:p w14:paraId="24BC1A62" w14:textId="0100BE61" w:rsidR="000424EA" w:rsidRDefault="000424EA" w:rsidP="005056A9">
            <w:pPr>
              <w:spacing w:before="40" w:after="40" w:line="240" w:lineRule="auto"/>
              <w:jc w:val="center"/>
              <w:rPr>
                <w:rFonts w:cs="Times New Roman"/>
                <w:sz w:val="16"/>
                <w:szCs w:val="16"/>
              </w:rPr>
            </w:pPr>
            <w:r w:rsidRPr="00BD5DFB">
              <w:rPr>
                <w:rFonts w:cs="Times New Roman"/>
                <w:sz w:val="16"/>
                <w:szCs w:val="16"/>
              </w:rPr>
              <w:t>5</w:t>
            </w:r>
            <w:r>
              <w:rPr>
                <w:rFonts w:cs="Times New Roman"/>
                <w:sz w:val="16"/>
                <w:szCs w:val="16"/>
              </w:rPr>
              <w:t>.</w:t>
            </w:r>
            <w:r w:rsidRPr="00BD5DFB">
              <w:rPr>
                <w:rFonts w:cs="Times New Roman"/>
                <w:sz w:val="16"/>
                <w:szCs w:val="16"/>
              </w:rPr>
              <w:t>880</w:t>
            </w:r>
            <w:r w:rsidR="00561550">
              <w:rPr>
                <w:rFonts w:cs="Times New Roman"/>
                <w:sz w:val="16"/>
                <w:szCs w:val="16"/>
              </w:rPr>
              <w:t>,0</w:t>
            </w:r>
          </w:p>
          <w:p w14:paraId="5F4CDAFF" w14:textId="77777777" w:rsidR="000424EA" w:rsidRPr="00BD5DFB" w:rsidRDefault="000424EA" w:rsidP="005056A9">
            <w:pPr>
              <w:spacing w:before="40" w:after="40" w:line="240" w:lineRule="auto"/>
              <w:jc w:val="center"/>
              <w:rPr>
                <w:rFonts w:cs="Times New Roman"/>
                <w:sz w:val="16"/>
                <w:szCs w:val="16"/>
              </w:rPr>
            </w:pPr>
            <w:r>
              <w:rPr>
                <w:rFonts w:cs="Times New Roman"/>
                <w:sz w:val="16"/>
                <w:szCs w:val="16"/>
              </w:rPr>
              <w:t>***</w:t>
            </w:r>
          </w:p>
        </w:tc>
        <w:tc>
          <w:tcPr>
            <w:tcW w:w="327" w:type="pct"/>
            <w:gridSpan w:val="2"/>
            <w:vAlign w:val="center"/>
          </w:tcPr>
          <w:p w14:paraId="227A47B9"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0,684</w:t>
            </w:r>
          </w:p>
        </w:tc>
      </w:tr>
      <w:tr w:rsidR="005056A9" w14:paraId="39268BA7" w14:textId="77777777" w:rsidTr="00A01FA6">
        <w:tc>
          <w:tcPr>
            <w:tcW w:w="934" w:type="pct"/>
            <w:vAlign w:val="center"/>
          </w:tcPr>
          <w:p w14:paraId="4D2DC502" w14:textId="7AAFEC04" w:rsidR="000424EA" w:rsidRPr="00BD5DFB" w:rsidRDefault="000424EA" w:rsidP="005056A9">
            <w:pPr>
              <w:spacing w:before="40" w:after="40" w:line="240" w:lineRule="auto"/>
              <w:jc w:val="left"/>
              <w:rPr>
                <w:rFonts w:cs="Times New Roman"/>
                <w:sz w:val="16"/>
                <w:szCs w:val="16"/>
              </w:rPr>
            </w:pPr>
            <w:r w:rsidRPr="00BD5DFB">
              <w:rPr>
                <w:rFonts w:cs="Times New Roman"/>
                <w:sz w:val="16"/>
                <w:szCs w:val="16"/>
              </w:rPr>
              <w:t>Andere Finanzierungs</w:t>
            </w:r>
            <w:r>
              <w:rPr>
                <w:rFonts w:cs="Times New Roman"/>
                <w:sz w:val="16"/>
                <w:szCs w:val="16"/>
              </w:rPr>
              <w:t>quellen</w:t>
            </w:r>
          </w:p>
        </w:tc>
        <w:tc>
          <w:tcPr>
            <w:tcW w:w="430" w:type="pct"/>
            <w:gridSpan w:val="2"/>
            <w:vAlign w:val="center"/>
          </w:tcPr>
          <w:p w14:paraId="6FEBC62D"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9,1%</w:t>
            </w:r>
          </w:p>
        </w:tc>
        <w:tc>
          <w:tcPr>
            <w:tcW w:w="430" w:type="pct"/>
            <w:vAlign w:val="center"/>
          </w:tcPr>
          <w:p w14:paraId="431E8E21"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0,7%</w:t>
            </w:r>
          </w:p>
        </w:tc>
        <w:tc>
          <w:tcPr>
            <w:tcW w:w="430" w:type="pct"/>
            <w:vAlign w:val="center"/>
          </w:tcPr>
          <w:p w14:paraId="063F637B"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0,7%</w:t>
            </w:r>
          </w:p>
        </w:tc>
        <w:tc>
          <w:tcPr>
            <w:tcW w:w="430" w:type="pct"/>
            <w:vAlign w:val="center"/>
          </w:tcPr>
          <w:p w14:paraId="48D810D8"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240AF9EC"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5422A933"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vAlign w:val="center"/>
          </w:tcPr>
          <w:p w14:paraId="50C1FAE5"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gridSpan w:val="2"/>
            <w:vAlign w:val="center"/>
          </w:tcPr>
          <w:p w14:paraId="3CC2F636"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299" w:type="pct"/>
            <w:vAlign w:val="center"/>
          </w:tcPr>
          <w:p w14:paraId="1E6C5959" w14:textId="28B113C3" w:rsidR="000424EA" w:rsidRDefault="000424EA" w:rsidP="005056A9">
            <w:pPr>
              <w:spacing w:before="40" w:after="40" w:line="240" w:lineRule="auto"/>
              <w:jc w:val="center"/>
              <w:rPr>
                <w:rFonts w:cs="Times New Roman"/>
                <w:sz w:val="16"/>
                <w:szCs w:val="16"/>
              </w:rPr>
            </w:pPr>
            <w:r w:rsidRPr="00BD5DFB">
              <w:rPr>
                <w:rFonts w:cs="Times New Roman"/>
                <w:sz w:val="16"/>
                <w:szCs w:val="16"/>
              </w:rPr>
              <w:t>880,6</w:t>
            </w:r>
          </w:p>
          <w:p w14:paraId="3DAC7C1B" w14:textId="77777777" w:rsidR="000424EA" w:rsidRPr="00BD5DFB" w:rsidRDefault="000424EA" w:rsidP="005056A9">
            <w:pPr>
              <w:spacing w:before="40" w:after="40" w:line="240" w:lineRule="auto"/>
              <w:jc w:val="center"/>
              <w:rPr>
                <w:rFonts w:cs="Times New Roman"/>
                <w:sz w:val="16"/>
                <w:szCs w:val="16"/>
              </w:rPr>
            </w:pPr>
            <w:r>
              <w:rPr>
                <w:rFonts w:cs="Times New Roman"/>
                <w:sz w:val="16"/>
                <w:szCs w:val="16"/>
              </w:rPr>
              <w:t>***</w:t>
            </w:r>
          </w:p>
        </w:tc>
        <w:tc>
          <w:tcPr>
            <w:tcW w:w="327" w:type="pct"/>
            <w:gridSpan w:val="2"/>
            <w:vAlign w:val="center"/>
          </w:tcPr>
          <w:p w14:paraId="1D21EA4F"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0,265</w:t>
            </w:r>
          </w:p>
        </w:tc>
      </w:tr>
      <w:tr w:rsidR="005056A9" w14:paraId="61E6F0C3" w14:textId="77777777" w:rsidTr="00A01FA6">
        <w:tc>
          <w:tcPr>
            <w:tcW w:w="934" w:type="pct"/>
            <w:tcBorders>
              <w:bottom w:val="single" w:sz="6" w:space="0" w:color="auto"/>
            </w:tcBorders>
            <w:vAlign w:val="center"/>
          </w:tcPr>
          <w:p w14:paraId="16C84CED" w14:textId="49FE42EC" w:rsidR="000424EA" w:rsidRPr="00BD5DFB" w:rsidRDefault="000424EA" w:rsidP="005056A9">
            <w:pPr>
              <w:spacing w:before="40" w:after="40" w:line="240" w:lineRule="auto"/>
              <w:jc w:val="left"/>
              <w:rPr>
                <w:rFonts w:cs="Times New Roman"/>
                <w:sz w:val="16"/>
                <w:szCs w:val="16"/>
              </w:rPr>
            </w:pPr>
            <w:r w:rsidRPr="00BD5DFB">
              <w:rPr>
                <w:rFonts w:cs="Times New Roman"/>
                <w:sz w:val="16"/>
                <w:szCs w:val="16"/>
              </w:rPr>
              <w:t>Innenfinanzierung</w:t>
            </w:r>
          </w:p>
        </w:tc>
        <w:tc>
          <w:tcPr>
            <w:tcW w:w="430" w:type="pct"/>
            <w:gridSpan w:val="2"/>
            <w:tcBorders>
              <w:bottom w:val="single" w:sz="6" w:space="0" w:color="auto"/>
            </w:tcBorders>
            <w:vAlign w:val="center"/>
          </w:tcPr>
          <w:p w14:paraId="1D3BEFF9"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tcBorders>
              <w:bottom w:val="single" w:sz="6" w:space="0" w:color="auto"/>
            </w:tcBorders>
            <w:vAlign w:val="center"/>
          </w:tcPr>
          <w:p w14:paraId="1F71EF10"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tcBorders>
              <w:bottom w:val="single" w:sz="6" w:space="0" w:color="auto"/>
            </w:tcBorders>
            <w:vAlign w:val="center"/>
          </w:tcPr>
          <w:p w14:paraId="70ECF6DA"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tcBorders>
              <w:bottom w:val="single" w:sz="6" w:space="0" w:color="auto"/>
            </w:tcBorders>
            <w:vAlign w:val="center"/>
          </w:tcPr>
          <w:p w14:paraId="4DC6F252"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tcBorders>
              <w:bottom w:val="single" w:sz="6" w:space="0" w:color="auto"/>
            </w:tcBorders>
            <w:vAlign w:val="center"/>
          </w:tcPr>
          <w:p w14:paraId="644B07A2"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tcBorders>
              <w:bottom w:val="single" w:sz="6" w:space="0" w:color="auto"/>
            </w:tcBorders>
            <w:vAlign w:val="center"/>
          </w:tcPr>
          <w:p w14:paraId="2D70B582"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tcBorders>
              <w:bottom w:val="single" w:sz="6" w:space="0" w:color="auto"/>
            </w:tcBorders>
            <w:vAlign w:val="center"/>
          </w:tcPr>
          <w:p w14:paraId="57F00608"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0,0%</w:t>
            </w:r>
          </w:p>
        </w:tc>
        <w:tc>
          <w:tcPr>
            <w:tcW w:w="430" w:type="pct"/>
            <w:gridSpan w:val="2"/>
            <w:tcBorders>
              <w:bottom w:val="single" w:sz="6" w:space="0" w:color="auto"/>
            </w:tcBorders>
            <w:vAlign w:val="center"/>
          </w:tcPr>
          <w:p w14:paraId="2E243786" w14:textId="77777777" w:rsidR="000424EA" w:rsidRPr="00D904F2" w:rsidRDefault="000424EA" w:rsidP="005056A9">
            <w:pPr>
              <w:spacing w:before="40" w:after="40" w:line="240" w:lineRule="auto"/>
              <w:jc w:val="center"/>
              <w:rPr>
                <w:rFonts w:cs="Times New Roman"/>
                <w:b/>
                <w:bCs/>
                <w:spacing w:val="-6"/>
                <w:sz w:val="16"/>
                <w:szCs w:val="16"/>
              </w:rPr>
            </w:pPr>
            <w:r w:rsidRPr="00D904F2">
              <w:rPr>
                <w:rFonts w:cs="Times New Roman"/>
                <w:b/>
                <w:bCs/>
                <w:spacing w:val="-6"/>
                <w:sz w:val="16"/>
                <w:szCs w:val="16"/>
              </w:rPr>
              <w:t>100,0%</w:t>
            </w:r>
          </w:p>
        </w:tc>
        <w:tc>
          <w:tcPr>
            <w:tcW w:w="299" w:type="pct"/>
            <w:tcBorders>
              <w:bottom w:val="single" w:sz="6" w:space="0" w:color="auto"/>
            </w:tcBorders>
            <w:vAlign w:val="center"/>
          </w:tcPr>
          <w:p w14:paraId="3E72E89F" w14:textId="2C4FE693" w:rsidR="000424EA" w:rsidRDefault="000424EA" w:rsidP="005056A9">
            <w:pPr>
              <w:spacing w:before="40" w:after="40" w:line="240" w:lineRule="auto"/>
              <w:jc w:val="center"/>
              <w:rPr>
                <w:rFonts w:cs="Times New Roman"/>
                <w:sz w:val="16"/>
                <w:szCs w:val="16"/>
              </w:rPr>
            </w:pPr>
            <w:r w:rsidRPr="00BD5DFB">
              <w:rPr>
                <w:rFonts w:cs="Times New Roman"/>
                <w:sz w:val="16"/>
                <w:szCs w:val="16"/>
              </w:rPr>
              <w:t>12</w:t>
            </w:r>
            <w:r>
              <w:rPr>
                <w:rFonts w:cs="Times New Roman"/>
                <w:sz w:val="16"/>
                <w:szCs w:val="16"/>
              </w:rPr>
              <w:t>.</w:t>
            </w:r>
            <w:r w:rsidRPr="00BD5DFB">
              <w:rPr>
                <w:rFonts w:cs="Times New Roman"/>
                <w:sz w:val="16"/>
                <w:szCs w:val="16"/>
              </w:rPr>
              <w:t>578</w:t>
            </w:r>
            <w:r w:rsidR="00561550">
              <w:rPr>
                <w:rFonts w:cs="Times New Roman"/>
                <w:sz w:val="16"/>
                <w:szCs w:val="16"/>
              </w:rPr>
              <w:t>,0</w:t>
            </w:r>
          </w:p>
          <w:p w14:paraId="5952E68A" w14:textId="77777777" w:rsidR="000424EA" w:rsidRPr="00BD5DFB" w:rsidRDefault="000424EA" w:rsidP="005056A9">
            <w:pPr>
              <w:spacing w:before="40" w:after="40" w:line="240" w:lineRule="auto"/>
              <w:jc w:val="center"/>
              <w:rPr>
                <w:rFonts w:cs="Times New Roman"/>
                <w:sz w:val="16"/>
                <w:szCs w:val="16"/>
              </w:rPr>
            </w:pPr>
            <w:r>
              <w:rPr>
                <w:rFonts w:cs="Times New Roman"/>
                <w:sz w:val="16"/>
                <w:szCs w:val="16"/>
              </w:rPr>
              <w:t>***</w:t>
            </w:r>
          </w:p>
        </w:tc>
        <w:tc>
          <w:tcPr>
            <w:tcW w:w="327" w:type="pct"/>
            <w:gridSpan w:val="2"/>
            <w:tcBorders>
              <w:bottom w:val="single" w:sz="6" w:space="0" w:color="auto"/>
            </w:tcBorders>
            <w:vAlign w:val="center"/>
          </w:tcPr>
          <w:p w14:paraId="5C63209C" w14:textId="77777777" w:rsidR="000424EA" w:rsidRPr="00BD5DFB" w:rsidRDefault="000424EA" w:rsidP="005056A9">
            <w:pPr>
              <w:spacing w:before="40" w:after="40" w:line="240" w:lineRule="auto"/>
              <w:jc w:val="center"/>
              <w:rPr>
                <w:rFonts w:cs="Times New Roman"/>
                <w:sz w:val="16"/>
                <w:szCs w:val="16"/>
              </w:rPr>
            </w:pPr>
            <w:r w:rsidRPr="00BD5DFB">
              <w:rPr>
                <w:rFonts w:cs="Times New Roman"/>
                <w:sz w:val="16"/>
                <w:szCs w:val="16"/>
              </w:rPr>
              <w:t>1</w:t>
            </w:r>
          </w:p>
        </w:tc>
      </w:tr>
      <w:bookmarkEnd w:id="45"/>
      <w:tr w:rsidR="005056A9" w14:paraId="2219991A" w14:textId="77777777" w:rsidTr="00A01FA6">
        <w:tc>
          <w:tcPr>
            <w:tcW w:w="934" w:type="pct"/>
            <w:tcBorders>
              <w:top w:val="single" w:sz="6" w:space="0" w:color="auto"/>
            </w:tcBorders>
            <w:vAlign w:val="center"/>
          </w:tcPr>
          <w:p w14:paraId="73AF5ED9" w14:textId="77777777" w:rsidR="000424EA" w:rsidRPr="006E05D3" w:rsidRDefault="000424EA" w:rsidP="00120EEE">
            <w:pPr>
              <w:spacing w:before="20" w:after="20" w:line="240" w:lineRule="auto"/>
              <w:jc w:val="left"/>
              <w:rPr>
                <w:rFonts w:cs="Times New Roman"/>
                <w:b/>
                <w:bCs/>
                <w:sz w:val="16"/>
                <w:szCs w:val="16"/>
              </w:rPr>
            </w:pPr>
            <w:r w:rsidRPr="006E05D3">
              <w:rPr>
                <w:rFonts w:cs="Times New Roman"/>
                <w:b/>
                <w:bCs/>
                <w:sz w:val="16"/>
                <w:szCs w:val="16"/>
              </w:rPr>
              <w:t>N</w:t>
            </w:r>
          </w:p>
        </w:tc>
        <w:tc>
          <w:tcPr>
            <w:tcW w:w="430" w:type="pct"/>
            <w:gridSpan w:val="2"/>
            <w:tcBorders>
              <w:top w:val="single" w:sz="6" w:space="0" w:color="auto"/>
            </w:tcBorders>
            <w:vAlign w:val="center"/>
          </w:tcPr>
          <w:p w14:paraId="29D6AE42"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1</w:t>
            </w:r>
            <w:r>
              <w:rPr>
                <w:rFonts w:cs="Times New Roman"/>
                <w:b/>
                <w:bCs/>
                <w:sz w:val="16"/>
                <w:szCs w:val="16"/>
              </w:rPr>
              <w:t>.</w:t>
            </w:r>
            <w:r w:rsidRPr="006E05D3">
              <w:rPr>
                <w:rFonts w:cs="Times New Roman"/>
                <w:b/>
                <w:bCs/>
                <w:sz w:val="16"/>
                <w:szCs w:val="16"/>
              </w:rPr>
              <w:t>008</w:t>
            </w:r>
          </w:p>
        </w:tc>
        <w:tc>
          <w:tcPr>
            <w:tcW w:w="430" w:type="pct"/>
            <w:tcBorders>
              <w:top w:val="single" w:sz="6" w:space="0" w:color="auto"/>
            </w:tcBorders>
            <w:vAlign w:val="center"/>
          </w:tcPr>
          <w:p w14:paraId="2BE7E488"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1</w:t>
            </w:r>
            <w:r>
              <w:rPr>
                <w:rFonts w:cs="Times New Roman"/>
                <w:b/>
                <w:bCs/>
                <w:sz w:val="16"/>
                <w:szCs w:val="16"/>
              </w:rPr>
              <w:t>.</w:t>
            </w:r>
            <w:r w:rsidRPr="006E05D3">
              <w:rPr>
                <w:rFonts w:cs="Times New Roman"/>
                <w:b/>
                <w:bCs/>
                <w:sz w:val="16"/>
                <w:szCs w:val="16"/>
              </w:rPr>
              <w:t>689</w:t>
            </w:r>
          </w:p>
        </w:tc>
        <w:tc>
          <w:tcPr>
            <w:tcW w:w="430" w:type="pct"/>
            <w:tcBorders>
              <w:top w:val="single" w:sz="6" w:space="0" w:color="auto"/>
            </w:tcBorders>
            <w:vAlign w:val="center"/>
          </w:tcPr>
          <w:p w14:paraId="7A3704FA"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881</w:t>
            </w:r>
          </w:p>
        </w:tc>
        <w:tc>
          <w:tcPr>
            <w:tcW w:w="430" w:type="pct"/>
            <w:tcBorders>
              <w:top w:val="single" w:sz="6" w:space="0" w:color="auto"/>
            </w:tcBorders>
            <w:vAlign w:val="center"/>
          </w:tcPr>
          <w:p w14:paraId="2BC6E747"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1</w:t>
            </w:r>
            <w:r>
              <w:rPr>
                <w:rFonts w:cs="Times New Roman"/>
                <w:b/>
                <w:bCs/>
                <w:sz w:val="16"/>
                <w:szCs w:val="16"/>
              </w:rPr>
              <w:t>.</w:t>
            </w:r>
            <w:r w:rsidRPr="006E05D3">
              <w:rPr>
                <w:rFonts w:cs="Times New Roman"/>
                <w:b/>
                <w:bCs/>
                <w:sz w:val="16"/>
                <w:szCs w:val="16"/>
              </w:rPr>
              <w:t>156</w:t>
            </w:r>
          </w:p>
        </w:tc>
        <w:tc>
          <w:tcPr>
            <w:tcW w:w="430" w:type="pct"/>
            <w:tcBorders>
              <w:top w:val="single" w:sz="6" w:space="0" w:color="auto"/>
            </w:tcBorders>
            <w:vAlign w:val="center"/>
          </w:tcPr>
          <w:p w14:paraId="08A35D65"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1</w:t>
            </w:r>
            <w:r>
              <w:rPr>
                <w:rFonts w:cs="Times New Roman"/>
                <w:b/>
                <w:bCs/>
                <w:sz w:val="16"/>
                <w:szCs w:val="16"/>
              </w:rPr>
              <w:t>.</w:t>
            </w:r>
            <w:r w:rsidRPr="006E05D3">
              <w:rPr>
                <w:rFonts w:cs="Times New Roman"/>
                <w:b/>
                <w:bCs/>
                <w:sz w:val="16"/>
                <w:szCs w:val="16"/>
              </w:rPr>
              <w:t>134</w:t>
            </w:r>
          </w:p>
        </w:tc>
        <w:tc>
          <w:tcPr>
            <w:tcW w:w="430" w:type="pct"/>
            <w:tcBorders>
              <w:top w:val="single" w:sz="6" w:space="0" w:color="auto"/>
            </w:tcBorders>
            <w:vAlign w:val="center"/>
          </w:tcPr>
          <w:p w14:paraId="7E42B3EB"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1</w:t>
            </w:r>
            <w:r>
              <w:rPr>
                <w:rFonts w:cs="Times New Roman"/>
                <w:b/>
                <w:bCs/>
                <w:sz w:val="16"/>
                <w:szCs w:val="16"/>
              </w:rPr>
              <w:t>.</w:t>
            </w:r>
            <w:r w:rsidRPr="006E05D3">
              <w:rPr>
                <w:rFonts w:cs="Times New Roman"/>
                <w:b/>
                <w:bCs/>
                <w:sz w:val="16"/>
                <w:szCs w:val="16"/>
              </w:rPr>
              <w:t>086</w:t>
            </w:r>
          </w:p>
        </w:tc>
        <w:tc>
          <w:tcPr>
            <w:tcW w:w="430" w:type="pct"/>
            <w:tcBorders>
              <w:top w:val="single" w:sz="6" w:space="0" w:color="auto"/>
            </w:tcBorders>
            <w:vAlign w:val="center"/>
          </w:tcPr>
          <w:p w14:paraId="5FFD4278"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1</w:t>
            </w:r>
            <w:r>
              <w:rPr>
                <w:rFonts w:cs="Times New Roman"/>
                <w:b/>
                <w:bCs/>
                <w:sz w:val="16"/>
                <w:szCs w:val="16"/>
              </w:rPr>
              <w:t>.</w:t>
            </w:r>
            <w:r w:rsidRPr="006E05D3">
              <w:rPr>
                <w:rFonts w:cs="Times New Roman"/>
                <w:b/>
                <w:bCs/>
                <w:sz w:val="16"/>
                <w:szCs w:val="16"/>
              </w:rPr>
              <w:t>375</w:t>
            </w:r>
          </w:p>
        </w:tc>
        <w:tc>
          <w:tcPr>
            <w:tcW w:w="430" w:type="pct"/>
            <w:gridSpan w:val="2"/>
            <w:tcBorders>
              <w:top w:val="single" w:sz="6" w:space="0" w:color="auto"/>
            </w:tcBorders>
            <w:vAlign w:val="center"/>
          </w:tcPr>
          <w:p w14:paraId="11EBD86D"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4</w:t>
            </w:r>
            <w:r>
              <w:rPr>
                <w:rFonts w:cs="Times New Roman"/>
                <w:b/>
                <w:bCs/>
                <w:sz w:val="16"/>
                <w:szCs w:val="16"/>
              </w:rPr>
              <w:t>.</w:t>
            </w:r>
            <w:r w:rsidRPr="006E05D3">
              <w:rPr>
                <w:rFonts w:cs="Times New Roman"/>
                <w:b/>
                <w:bCs/>
                <w:sz w:val="16"/>
                <w:szCs w:val="16"/>
              </w:rPr>
              <w:t>249</w:t>
            </w:r>
          </w:p>
        </w:tc>
        <w:tc>
          <w:tcPr>
            <w:tcW w:w="299" w:type="pct"/>
            <w:tcBorders>
              <w:top w:val="single" w:sz="6" w:space="0" w:color="auto"/>
            </w:tcBorders>
            <w:vAlign w:val="center"/>
          </w:tcPr>
          <w:p w14:paraId="1FDA977B" w14:textId="77777777" w:rsidR="000424EA" w:rsidRPr="00BD5DFB" w:rsidRDefault="000424EA" w:rsidP="00120EEE">
            <w:pPr>
              <w:spacing w:before="20" w:after="20" w:line="240" w:lineRule="auto"/>
              <w:jc w:val="center"/>
              <w:rPr>
                <w:rFonts w:cs="Times New Roman"/>
                <w:sz w:val="16"/>
                <w:szCs w:val="16"/>
              </w:rPr>
            </w:pPr>
          </w:p>
        </w:tc>
        <w:tc>
          <w:tcPr>
            <w:tcW w:w="327" w:type="pct"/>
            <w:gridSpan w:val="2"/>
            <w:tcBorders>
              <w:top w:val="single" w:sz="6" w:space="0" w:color="auto"/>
            </w:tcBorders>
            <w:vAlign w:val="center"/>
          </w:tcPr>
          <w:p w14:paraId="1FF200E8" w14:textId="77777777" w:rsidR="000424EA" w:rsidRPr="00BD5DFB" w:rsidRDefault="000424EA" w:rsidP="00120EEE">
            <w:pPr>
              <w:spacing w:before="20" w:after="20" w:line="240" w:lineRule="auto"/>
              <w:jc w:val="center"/>
              <w:rPr>
                <w:rFonts w:cs="Times New Roman"/>
                <w:sz w:val="16"/>
                <w:szCs w:val="16"/>
              </w:rPr>
            </w:pPr>
          </w:p>
        </w:tc>
      </w:tr>
      <w:tr w:rsidR="005056A9" w14:paraId="344EC24A" w14:textId="77777777" w:rsidTr="00A01FA6">
        <w:trPr>
          <w:trHeight w:val="73"/>
        </w:trPr>
        <w:tc>
          <w:tcPr>
            <w:tcW w:w="934" w:type="pct"/>
            <w:tcBorders>
              <w:bottom w:val="single" w:sz="6" w:space="0" w:color="auto"/>
            </w:tcBorders>
            <w:vAlign w:val="center"/>
          </w:tcPr>
          <w:p w14:paraId="4B134599" w14:textId="77777777" w:rsidR="000424EA" w:rsidRPr="006E05D3" w:rsidRDefault="000424EA" w:rsidP="00120EEE">
            <w:pPr>
              <w:spacing w:before="20" w:after="20" w:line="240" w:lineRule="auto"/>
              <w:jc w:val="left"/>
              <w:rPr>
                <w:rFonts w:cs="Times New Roman"/>
                <w:b/>
                <w:bCs/>
                <w:sz w:val="16"/>
                <w:szCs w:val="16"/>
              </w:rPr>
            </w:pPr>
            <w:r w:rsidRPr="006E05D3">
              <w:rPr>
                <w:rFonts w:cs="Times New Roman"/>
                <w:b/>
                <w:bCs/>
                <w:sz w:val="16"/>
                <w:szCs w:val="16"/>
              </w:rPr>
              <w:t>Anteil</w:t>
            </w:r>
            <w:r>
              <w:rPr>
                <w:rFonts w:cs="Times New Roman"/>
                <w:b/>
                <w:bCs/>
                <w:sz w:val="16"/>
                <w:szCs w:val="16"/>
              </w:rPr>
              <w:t xml:space="preserve"> der Unternehmen</w:t>
            </w:r>
          </w:p>
        </w:tc>
        <w:tc>
          <w:tcPr>
            <w:tcW w:w="430" w:type="pct"/>
            <w:gridSpan w:val="2"/>
            <w:tcBorders>
              <w:bottom w:val="single" w:sz="6" w:space="0" w:color="auto"/>
            </w:tcBorders>
            <w:vAlign w:val="center"/>
          </w:tcPr>
          <w:p w14:paraId="3D61DF8A"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8,0%</w:t>
            </w:r>
          </w:p>
        </w:tc>
        <w:tc>
          <w:tcPr>
            <w:tcW w:w="430" w:type="pct"/>
            <w:tcBorders>
              <w:bottom w:val="single" w:sz="6" w:space="0" w:color="auto"/>
            </w:tcBorders>
            <w:vAlign w:val="center"/>
          </w:tcPr>
          <w:p w14:paraId="6EC98C9E"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13,4%</w:t>
            </w:r>
          </w:p>
        </w:tc>
        <w:tc>
          <w:tcPr>
            <w:tcW w:w="430" w:type="pct"/>
            <w:tcBorders>
              <w:bottom w:val="single" w:sz="6" w:space="0" w:color="auto"/>
            </w:tcBorders>
            <w:vAlign w:val="center"/>
          </w:tcPr>
          <w:p w14:paraId="45248149"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7,0%</w:t>
            </w:r>
          </w:p>
        </w:tc>
        <w:tc>
          <w:tcPr>
            <w:tcW w:w="430" w:type="pct"/>
            <w:tcBorders>
              <w:bottom w:val="single" w:sz="6" w:space="0" w:color="auto"/>
            </w:tcBorders>
            <w:vAlign w:val="center"/>
          </w:tcPr>
          <w:p w14:paraId="248098F9"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9,2%</w:t>
            </w:r>
          </w:p>
        </w:tc>
        <w:tc>
          <w:tcPr>
            <w:tcW w:w="430" w:type="pct"/>
            <w:tcBorders>
              <w:bottom w:val="single" w:sz="6" w:space="0" w:color="auto"/>
            </w:tcBorders>
            <w:vAlign w:val="center"/>
          </w:tcPr>
          <w:p w14:paraId="74795EEC"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9,0%</w:t>
            </w:r>
          </w:p>
        </w:tc>
        <w:tc>
          <w:tcPr>
            <w:tcW w:w="430" w:type="pct"/>
            <w:tcBorders>
              <w:bottom w:val="single" w:sz="6" w:space="0" w:color="auto"/>
            </w:tcBorders>
            <w:vAlign w:val="center"/>
          </w:tcPr>
          <w:p w14:paraId="6F3B7519"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8,6%</w:t>
            </w:r>
          </w:p>
        </w:tc>
        <w:tc>
          <w:tcPr>
            <w:tcW w:w="430" w:type="pct"/>
            <w:tcBorders>
              <w:bottom w:val="single" w:sz="6" w:space="0" w:color="auto"/>
            </w:tcBorders>
            <w:vAlign w:val="center"/>
          </w:tcPr>
          <w:p w14:paraId="5708398A"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10,9%</w:t>
            </w:r>
          </w:p>
        </w:tc>
        <w:tc>
          <w:tcPr>
            <w:tcW w:w="430" w:type="pct"/>
            <w:gridSpan w:val="2"/>
            <w:tcBorders>
              <w:bottom w:val="single" w:sz="6" w:space="0" w:color="auto"/>
            </w:tcBorders>
            <w:vAlign w:val="center"/>
          </w:tcPr>
          <w:p w14:paraId="71944DE7" w14:textId="77777777" w:rsidR="000424EA" w:rsidRPr="006E05D3" w:rsidRDefault="000424EA" w:rsidP="00120EEE">
            <w:pPr>
              <w:spacing w:before="20" w:after="20" w:line="240" w:lineRule="auto"/>
              <w:jc w:val="center"/>
              <w:rPr>
                <w:rFonts w:cs="Times New Roman"/>
                <w:b/>
                <w:bCs/>
                <w:sz w:val="16"/>
                <w:szCs w:val="16"/>
              </w:rPr>
            </w:pPr>
            <w:r w:rsidRPr="006E05D3">
              <w:rPr>
                <w:rFonts w:cs="Times New Roman"/>
                <w:b/>
                <w:bCs/>
                <w:sz w:val="16"/>
                <w:szCs w:val="16"/>
              </w:rPr>
              <w:t>33,8%</w:t>
            </w:r>
          </w:p>
        </w:tc>
        <w:tc>
          <w:tcPr>
            <w:tcW w:w="299" w:type="pct"/>
            <w:tcBorders>
              <w:bottom w:val="single" w:sz="6" w:space="0" w:color="auto"/>
            </w:tcBorders>
            <w:vAlign w:val="center"/>
          </w:tcPr>
          <w:p w14:paraId="617D90E6" w14:textId="77777777" w:rsidR="000424EA" w:rsidRPr="00BD5DFB" w:rsidRDefault="000424EA" w:rsidP="00120EEE">
            <w:pPr>
              <w:spacing w:before="20" w:after="20" w:line="240" w:lineRule="auto"/>
              <w:jc w:val="center"/>
              <w:rPr>
                <w:rFonts w:cs="Times New Roman"/>
                <w:sz w:val="16"/>
                <w:szCs w:val="16"/>
              </w:rPr>
            </w:pPr>
          </w:p>
        </w:tc>
        <w:tc>
          <w:tcPr>
            <w:tcW w:w="327" w:type="pct"/>
            <w:gridSpan w:val="2"/>
            <w:tcBorders>
              <w:bottom w:val="single" w:sz="6" w:space="0" w:color="auto"/>
            </w:tcBorders>
            <w:vAlign w:val="center"/>
          </w:tcPr>
          <w:p w14:paraId="292CBCAB" w14:textId="77777777" w:rsidR="000424EA" w:rsidRPr="00BD5DFB" w:rsidRDefault="000424EA" w:rsidP="00120EEE">
            <w:pPr>
              <w:spacing w:before="20" w:after="20" w:line="240" w:lineRule="auto"/>
              <w:jc w:val="center"/>
              <w:rPr>
                <w:rFonts w:cs="Times New Roman"/>
                <w:sz w:val="16"/>
                <w:szCs w:val="16"/>
              </w:rPr>
            </w:pPr>
          </w:p>
        </w:tc>
      </w:tr>
    </w:tbl>
    <w:p w14:paraId="4C806660" w14:textId="05B8ADD4" w:rsidR="000424EA" w:rsidRDefault="000424EA" w:rsidP="00B12487">
      <w:pPr>
        <w:tabs>
          <w:tab w:val="center" w:pos="7001"/>
        </w:tabs>
        <w:spacing w:after="0"/>
        <w:rPr>
          <w:b/>
          <w:bCs/>
          <w:szCs w:val="24"/>
          <w:lang w:val="en-US"/>
        </w:rPr>
      </w:pPr>
      <w:r w:rsidRPr="00774F94">
        <w:rPr>
          <w:sz w:val="16"/>
          <w:szCs w:val="14"/>
          <w:lang w:val="en-US"/>
        </w:rPr>
        <w:t xml:space="preserve">N = 12.578; Pearsons </w:t>
      </w:r>
      <w:r w:rsidRPr="00232F1B">
        <w:rPr>
          <w:rFonts w:cs="Times New Roman"/>
          <w:i/>
          <w:iCs/>
          <w:sz w:val="16"/>
          <w:szCs w:val="14"/>
          <w:lang w:val="en-US"/>
        </w:rPr>
        <w:t>χ</w:t>
      </w:r>
      <w:r w:rsidRPr="00774F94">
        <w:rPr>
          <w:sz w:val="16"/>
          <w:szCs w:val="14"/>
          <w:vertAlign w:val="superscript"/>
          <w:lang w:val="en-US"/>
        </w:rPr>
        <w:t>2</w:t>
      </w:r>
      <w:r w:rsidRPr="00774F94">
        <w:rPr>
          <w:sz w:val="16"/>
          <w:szCs w:val="14"/>
          <w:lang w:val="en-US"/>
        </w:rPr>
        <w:t xml:space="preserve"> Test:   ***p &lt; 0,01   **p &lt; 0,05   *p &lt; 0,1</w:t>
      </w:r>
      <w:r w:rsidR="00B12487">
        <w:rPr>
          <w:sz w:val="16"/>
          <w:szCs w:val="14"/>
          <w:lang w:val="en-US"/>
        </w:rPr>
        <w:tab/>
      </w:r>
    </w:p>
    <w:p w14:paraId="3340D59F" w14:textId="45567874" w:rsidR="00B12487" w:rsidRPr="00B12487" w:rsidRDefault="00B12487" w:rsidP="00B12487">
      <w:pPr>
        <w:rPr>
          <w:szCs w:val="24"/>
          <w:lang w:val="en-US"/>
        </w:rPr>
        <w:sectPr w:rsidR="00B12487" w:rsidRPr="00B12487" w:rsidSect="00F20E38">
          <w:footerReference w:type="default" r:id="rId11"/>
          <w:type w:val="continuous"/>
          <w:pgSz w:w="16838" w:h="11906" w:orient="landscape" w:code="9"/>
          <w:pgMar w:top="2835" w:right="1418" w:bottom="567" w:left="1418" w:header="709" w:footer="709" w:gutter="0"/>
          <w:cols w:space="708"/>
          <w:docGrid w:linePitch="360"/>
        </w:sectPr>
      </w:pPr>
    </w:p>
    <w:p w14:paraId="5CBF7FDC" w14:textId="2EF6AB1D" w:rsidR="009103E3" w:rsidRPr="003C15D8" w:rsidRDefault="009103E3" w:rsidP="002B34A2">
      <w:pPr>
        <w:spacing w:after="120"/>
        <w:rPr>
          <w:szCs w:val="24"/>
        </w:rPr>
      </w:pPr>
      <w:r w:rsidRPr="005676FC">
        <w:rPr>
          <w:b/>
          <w:bCs/>
          <w:szCs w:val="24"/>
        </w:rPr>
        <w:lastRenderedPageBreak/>
        <w:t xml:space="preserve">Cluster </w:t>
      </w:r>
      <w:r>
        <w:rPr>
          <w:b/>
          <w:bCs/>
          <w:szCs w:val="24"/>
        </w:rPr>
        <w:t>2</w:t>
      </w:r>
      <w:r w:rsidRPr="005676FC">
        <w:rPr>
          <w:b/>
          <w:bCs/>
          <w:szCs w:val="24"/>
        </w:rPr>
        <w:t xml:space="preserve"> (</w:t>
      </w:r>
      <w:r w:rsidRPr="003C15D8">
        <w:rPr>
          <w:b/>
          <w:bCs/>
          <w:szCs w:val="24"/>
        </w:rPr>
        <w:t>Gemischte Finanzierung mit Fokus auf Gewinnthesaurierung und Vermögensumschichtung</w:t>
      </w:r>
      <w:r w:rsidRPr="005676FC">
        <w:rPr>
          <w:b/>
          <w:bCs/>
          <w:szCs w:val="24"/>
        </w:rPr>
        <w:t xml:space="preserve">): </w:t>
      </w:r>
      <w:r>
        <w:rPr>
          <w:szCs w:val="24"/>
        </w:rPr>
        <w:t xml:space="preserve">Ähnlich wie Cluster 1 kennzeichnet sich auch dieses Cluster durch die häufige Verwendung der oben genannten Finanzierungsquellen. Der Fokus liegt hierbei auf </w:t>
      </w:r>
      <w:r w:rsidRPr="00C8395F">
        <w:rPr>
          <w:i/>
          <w:iCs/>
          <w:szCs w:val="24"/>
        </w:rPr>
        <w:t>Gewinnthesaurierung und Vermögensumschichtung</w:t>
      </w:r>
      <w:r>
        <w:rPr>
          <w:szCs w:val="24"/>
        </w:rPr>
        <w:t xml:space="preserve"> (87,0%). Es beinhaltet 1.689 Unternehmen (13,4%) und ist somit das zweitgrößte Cluster.</w:t>
      </w:r>
    </w:p>
    <w:p w14:paraId="2145E50C" w14:textId="72A51FA2" w:rsidR="00232F1B" w:rsidRPr="004E5D52" w:rsidRDefault="009103E3" w:rsidP="002B34A2">
      <w:pPr>
        <w:spacing w:after="120"/>
        <w:rPr>
          <w:szCs w:val="24"/>
        </w:rPr>
      </w:pPr>
      <w:r w:rsidRPr="005676FC">
        <w:rPr>
          <w:b/>
          <w:bCs/>
          <w:szCs w:val="24"/>
        </w:rPr>
        <w:t xml:space="preserve">Cluster </w:t>
      </w:r>
      <w:r>
        <w:rPr>
          <w:b/>
          <w:bCs/>
          <w:szCs w:val="24"/>
        </w:rPr>
        <w:t>3</w:t>
      </w:r>
      <w:r w:rsidRPr="005676FC">
        <w:rPr>
          <w:b/>
          <w:bCs/>
          <w:szCs w:val="24"/>
        </w:rPr>
        <w:t xml:space="preserve"> (</w:t>
      </w:r>
      <w:r>
        <w:rPr>
          <w:b/>
          <w:bCs/>
          <w:szCs w:val="24"/>
        </w:rPr>
        <w:t>S</w:t>
      </w:r>
      <w:r w:rsidRPr="00821628">
        <w:rPr>
          <w:b/>
          <w:bCs/>
          <w:szCs w:val="24"/>
        </w:rPr>
        <w:t>taatlich subventionierte Finanzierung</w:t>
      </w:r>
      <w:r w:rsidRPr="005676FC">
        <w:rPr>
          <w:b/>
          <w:bCs/>
          <w:szCs w:val="24"/>
        </w:rPr>
        <w:t>):</w:t>
      </w:r>
      <w:r w:rsidRPr="00821628">
        <w:rPr>
          <w:szCs w:val="24"/>
        </w:rPr>
        <w:t xml:space="preserve"> </w:t>
      </w:r>
      <w:r>
        <w:rPr>
          <w:szCs w:val="24"/>
        </w:rPr>
        <w:t xml:space="preserve">Das kleinste Cluster mit nur 881 Unternehmen (7,0%) baut auf staatliche Subvention durch </w:t>
      </w:r>
      <w:r w:rsidRPr="003D6DDE">
        <w:rPr>
          <w:i/>
          <w:iCs/>
          <w:szCs w:val="24"/>
        </w:rPr>
        <w:t xml:space="preserve">Zuschüsse </w:t>
      </w:r>
      <w:r>
        <w:rPr>
          <w:i/>
          <w:iCs/>
          <w:szCs w:val="24"/>
        </w:rPr>
        <w:t>und</w:t>
      </w:r>
      <w:r w:rsidRPr="003D6DDE">
        <w:rPr>
          <w:i/>
          <w:iCs/>
          <w:szCs w:val="24"/>
        </w:rPr>
        <w:t xml:space="preserve"> subventionierte Bankdarlehen</w:t>
      </w:r>
      <w:r>
        <w:rPr>
          <w:szCs w:val="24"/>
        </w:rPr>
        <w:t xml:space="preserve"> (100%) auf. </w:t>
      </w:r>
      <w:r w:rsidRPr="00821628">
        <w:rPr>
          <w:szCs w:val="24"/>
        </w:rPr>
        <w:t>Auch</w:t>
      </w:r>
      <w:r>
        <w:rPr>
          <w:szCs w:val="24"/>
        </w:rPr>
        <w:t xml:space="preserve"> hier finden sich die oben erwähnten Finanzierungsquellen wieder, jedoch spielt Schuldenfinanzierung durch </w:t>
      </w:r>
      <w:r w:rsidRPr="00755FCF">
        <w:rPr>
          <w:i/>
          <w:iCs/>
          <w:szCs w:val="24"/>
        </w:rPr>
        <w:t xml:space="preserve">Kreditlinien, Überziehung von Bankkonten </w:t>
      </w:r>
      <w:r>
        <w:rPr>
          <w:i/>
          <w:iCs/>
          <w:szCs w:val="24"/>
        </w:rPr>
        <w:t>und</w:t>
      </w:r>
      <w:r w:rsidRPr="00755FCF">
        <w:rPr>
          <w:i/>
          <w:iCs/>
          <w:szCs w:val="24"/>
        </w:rPr>
        <w:t xml:space="preserve"> Kreditkarten</w:t>
      </w:r>
      <w:r>
        <w:rPr>
          <w:szCs w:val="24"/>
        </w:rPr>
        <w:t xml:space="preserve"> (59,0%) und </w:t>
      </w:r>
      <w:r w:rsidRPr="00755FCF">
        <w:rPr>
          <w:i/>
          <w:iCs/>
          <w:szCs w:val="24"/>
        </w:rPr>
        <w:t>Bankdarlehen</w:t>
      </w:r>
      <w:r>
        <w:rPr>
          <w:szCs w:val="24"/>
        </w:rPr>
        <w:t xml:space="preserve"> (43,8%) verglichen zu den obigen beiden Clustern eine größere Rolle.</w:t>
      </w:r>
    </w:p>
    <w:p w14:paraId="378BC282" w14:textId="29323B02" w:rsidR="007A2D27" w:rsidRPr="00815F02" w:rsidRDefault="007A2D27" w:rsidP="002B34A2">
      <w:pPr>
        <w:spacing w:after="120"/>
        <w:rPr>
          <w:szCs w:val="24"/>
        </w:rPr>
      </w:pPr>
      <w:r w:rsidRPr="005676FC">
        <w:rPr>
          <w:b/>
          <w:bCs/>
          <w:szCs w:val="24"/>
        </w:rPr>
        <w:t xml:space="preserve">Cluster </w:t>
      </w:r>
      <w:r>
        <w:rPr>
          <w:b/>
          <w:bCs/>
          <w:szCs w:val="24"/>
        </w:rPr>
        <w:t>4</w:t>
      </w:r>
      <w:r w:rsidRPr="005676FC">
        <w:rPr>
          <w:b/>
          <w:bCs/>
          <w:szCs w:val="24"/>
        </w:rPr>
        <w:t xml:space="preserve"> (</w:t>
      </w:r>
      <w:r w:rsidRPr="00815F02">
        <w:rPr>
          <w:b/>
          <w:bCs/>
          <w:szCs w:val="24"/>
        </w:rPr>
        <w:t>Flexible Schuldenfinanzierung</w:t>
      </w:r>
      <w:r w:rsidRPr="005676FC">
        <w:rPr>
          <w:b/>
          <w:bCs/>
          <w:szCs w:val="24"/>
        </w:rPr>
        <w:t>):</w:t>
      </w:r>
      <w:r w:rsidRPr="00821628">
        <w:rPr>
          <w:szCs w:val="24"/>
        </w:rPr>
        <w:t xml:space="preserve"> </w:t>
      </w:r>
      <w:r w:rsidR="00E0102D">
        <w:rPr>
          <w:szCs w:val="24"/>
        </w:rPr>
        <w:t>Sämtliche</w:t>
      </w:r>
      <w:r w:rsidR="00AC3B39">
        <w:rPr>
          <w:szCs w:val="24"/>
        </w:rPr>
        <w:t xml:space="preserve"> </w:t>
      </w:r>
      <w:r>
        <w:rPr>
          <w:szCs w:val="24"/>
        </w:rPr>
        <w:t xml:space="preserve">Unternehmen in diesem Cluster (1.156 Unternehmen, 9,2%) finanzieren sich ausschließlich durch kurzfristige Schulden in Form von </w:t>
      </w:r>
      <w:r w:rsidRPr="00755FCF">
        <w:rPr>
          <w:i/>
          <w:iCs/>
          <w:szCs w:val="24"/>
        </w:rPr>
        <w:t xml:space="preserve">Kreditlinien, Überziehung von Bankkonten </w:t>
      </w:r>
      <w:r>
        <w:rPr>
          <w:i/>
          <w:iCs/>
          <w:szCs w:val="24"/>
        </w:rPr>
        <w:t>und</w:t>
      </w:r>
      <w:r w:rsidRPr="00755FCF">
        <w:rPr>
          <w:i/>
          <w:iCs/>
          <w:szCs w:val="24"/>
        </w:rPr>
        <w:t xml:space="preserve"> Kreditkarten</w:t>
      </w:r>
      <w:r>
        <w:rPr>
          <w:szCs w:val="24"/>
        </w:rPr>
        <w:t xml:space="preserve"> (100%).</w:t>
      </w:r>
    </w:p>
    <w:p w14:paraId="07B1D211" w14:textId="0451E96C" w:rsidR="007A2D27" w:rsidRDefault="007A2D27" w:rsidP="002B34A2">
      <w:pPr>
        <w:spacing w:after="120"/>
        <w:rPr>
          <w:szCs w:val="24"/>
        </w:rPr>
      </w:pPr>
      <w:r w:rsidRPr="005676FC">
        <w:rPr>
          <w:b/>
          <w:bCs/>
          <w:szCs w:val="24"/>
        </w:rPr>
        <w:t xml:space="preserve">Cluster </w:t>
      </w:r>
      <w:r>
        <w:rPr>
          <w:b/>
          <w:bCs/>
          <w:szCs w:val="24"/>
        </w:rPr>
        <w:t>5</w:t>
      </w:r>
      <w:r w:rsidRPr="005676FC">
        <w:rPr>
          <w:b/>
          <w:bCs/>
          <w:szCs w:val="24"/>
        </w:rPr>
        <w:t xml:space="preserve"> (</w:t>
      </w:r>
      <w:r w:rsidRPr="007A2D27">
        <w:rPr>
          <w:b/>
          <w:bCs/>
          <w:szCs w:val="24"/>
        </w:rPr>
        <w:t>Darlehensfinanzierung</w:t>
      </w:r>
      <w:r w:rsidRPr="005676FC">
        <w:rPr>
          <w:b/>
          <w:bCs/>
          <w:szCs w:val="24"/>
        </w:rPr>
        <w:t>):</w:t>
      </w:r>
      <w:r w:rsidRPr="00821628">
        <w:rPr>
          <w:szCs w:val="24"/>
        </w:rPr>
        <w:t xml:space="preserve"> </w:t>
      </w:r>
      <w:r>
        <w:rPr>
          <w:szCs w:val="24"/>
        </w:rPr>
        <w:t xml:space="preserve">Dieses Cluster weist 1.134 Unternehmen (9,0%) </w:t>
      </w:r>
      <w:r w:rsidR="00AC3B39">
        <w:rPr>
          <w:szCs w:val="24"/>
        </w:rPr>
        <w:t xml:space="preserve">auf, welche </w:t>
      </w:r>
      <w:r w:rsidR="00825A48">
        <w:rPr>
          <w:szCs w:val="24"/>
        </w:rPr>
        <w:t xml:space="preserve">allesamt </w:t>
      </w:r>
      <w:r w:rsidR="00AC3B39">
        <w:rPr>
          <w:szCs w:val="24"/>
        </w:rPr>
        <w:t xml:space="preserve">auf </w:t>
      </w:r>
      <w:r w:rsidR="00AC3B39" w:rsidRPr="00AC3B39">
        <w:rPr>
          <w:i/>
          <w:iCs/>
          <w:szCs w:val="24"/>
        </w:rPr>
        <w:t>Bankdarlehen</w:t>
      </w:r>
      <w:r w:rsidR="00AC3B39">
        <w:rPr>
          <w:szCs w:val="24"/>
        </w:rPr>
        <w:t xml:space="preserve"> (100%) zurückgreifen. </w:t>
      </w:r>
      <w:r w:rsidR="00825A48">
        <w:rPr>
          <w:szCs w:val="24"/>
        </w:rPr>
        <w:t xml:space="preserve">Zusätzlich stellen </w:t>
      </w:r>
      <w:r w:rsidR="00825A48" w:rsidRPr="00755FCF">
        <w:rPr>
          <w:i/>
          <w:iCs/>
          <w:szCs w:val="24"/>
        </w:rPr>
        <w:t xml:space="preserve">Kreditlinien, Überziehung von Bankkonten </w:t>
      </w:r>
      <w:r w:rsidR="00825A48">
        <w:rPr>
          <w:i/>
          <w:iCs/>
          <w:szCs w:val="24"/>
        </w:rPr>
        <w:t>und</w:t>
      </w:r>
      <w:r w:rsidR="00825A48" w:rsidRPr="00755FCF">
        <w:rPr>
          <w:i/>
          <w:iCs/>
          <w:szCs w:val="24"/>
        </w:rPr>
        <w:t xml:space="preserve"> Kreditkarten</w:t>
      </w:r>
      <w:r w:rsidR="00825A48">
        <w:rPr>
          <w:szCs w:val="24"/>
        </w:rPr>
        <w:t xml:space="preserve"> (60,9%),</w:t>
      </w:r>
      <w:r w:rsidR="00825A48" w:rsidRPr="00825A48">
        <w:rPr>
          <w:i/>
          <w:iCs/>
          <w:szCs w:val="24"/>
        </w:rPr>
        <w:t xml:space="preserve"> </w:t>
      </w:r>
      <w:r w:rsidR="00825A48" w:rsidRPr="00755FCF">
        <w:rPr>
          <w:i/>
          <w:iCs/>
          <w:szCs w:val="24"/>
        </w:rPr>
        <w:t xml:space="preserve">Leasing, Ratenkauf </w:t>
      </w:r>
      <w:r w:rsidR="00825A48">
        <w:rPr>
          <w:i/>
          <w:iCs/>
          <w:szCs w:val="24"/>
        </w:rPr>
        <w:t>und</w:t>
      </w:r>
      <w:r w:rsidR="00825A48" w:rsidRPr="00755FCF">
        <w:rPr>
          <w:i/>
          <w:iCs/>
          <w:szCs w:val="24"/>
        </w:rPr>
        <w:t xml:space="preserve"> Factoring</w:t>
      </w:r>
      <w:r w:rsidR="00825A48">
        <w:rPr>
          <w:szCs w:val="24"/>
        </w:rPr>
        <w:t xml:space="preserve"> (41,4%) sowie </w:t>
      </w:r>
      <w:r w:rsidR="00825A48" w:rsidRPr="00755FCF">
        <w:rPr>
          <w:i/>
          <w:iCs/>
          <w:szCs w:val="24"/>
        </w:rPr>
        <w:t>Lieferantenkredite</w:t>
      </w:r>
      <w:r w:rsidR="00825A48">
        <w:rPr>
          <w:szCs w:val="24"/>
        </w:rPr>
        <w:t xml:space="preserve"> (24,1%) weitere wichtige Finanzierungsquellen dar.</w:t>
      </w:r>
    </w:p>
    <w:p w14:paraId="606747C6" w14:textId="0E58E587" w:rsidR="00E46CED" w:rsidRDefault="00E46CED" w:rsidP="002B34A2">
      <w:pPr>
        <w:spacing w:after="120"/>
        <w:rPr>
          <w:szCs w:val="24"/>
        </w:rPr>
      </w:pPr>
      <w:r w:rsidRPr="005676FC">
        <w:rPr>
          <w:b/>
          <w:bCs/>
          <w:szCs w:val="24"/>
        </w:rPr>
        <w:t xml:space="preserve">Cluster </w:t>
      </w:r>
      <w:r>
        <w:rPr>
          <w:b/>
          <w:bCs/>
          <w:szCs w:val="24"/>
        </w:rPr>
        <w:t>6</w:t>
      </w:r>
      <w:r w:rsidRPr="005676FC">
        <w:rPr>
          <w:b/>
          <w:bCs/>
          <w:szCs w:val="24"/>
        </w:rPr>
        <w:t xml:space="preserve"> (</w:t>
      </w:r>
      <w:r>
        <w:rPr>
          <w:b/>
          <w:bCs/>
          <w:szCs w:val="24"/>
        </w:rPr>
        <w:t>Finanzierung durch Lieferantenkredite</w:t>
      </w:r>
      <w:r w:rsidRPr="005676FC">
        <w:rPr>
          <w:b/>
          <w:bCs/>
          <w:szCs w:val="24"/>
        </w:rPr>
        <w:t>):</w:t>
      </w:r>
      <w:r w:rsidRPr="00821628">
        <w:rPr>
          <w:szCs w:val="24"/>
        </w:rPr>
        <w:t xml:space="preserve"> </w:t>
      </w:r>
      <w:r>
        <w:rPr>
          <w:szCs w:val="24"/>
        </w:rPr>
        <w:t xml:space="preserve">Die Finanzierung erfolgt bei </w:t>
      </w:r>
      <w:r w:rsidR="00F7443A">
        <w:rPr>
          <w:szCs w:val="24"/>
        </w:rPr>
        <w:t>den</w:t>
      </w:r>
      <w:r>
        <w:rPr>
          <w:szCs w:val="24"/>
        </w:rPr>
        <w:t xml:space="preserve"> 1.086 Unternehmen (8,6%) hauptsächlich durch </w:t>
      </w:r>
      <w:r>
        <w:rPr>
          <w:i/>
          <w:iCs/>
          <w:szCs w:val="24"/>
        </w:rPr>
        <w:t>Lieferantenkredite</w:t>
      </w:r>
      <w:r>
        <w:rPr>
          <w:szCs w:val="24"/>
        </w:rPr>
        <w:t xml:space="preserve"> (100%). Ferner werden </w:t>
      </w:r>
      <w:r w:rsidRPr="00755FCF">
        <w:rPr>
          <w:i/>
          <w:iCs/>
          <w:szCs w:val="24"/>
        </w:rPr>
        <w:t xml:space="preserve">Kreditlinien, Überziehung von Bankkonten </w:t>
      </w:r>
      <w:r>
        <w:rPr>
          <w:i/>
          <w:iCs/>
          <w:szCs w:val="24"/>
        </w:rPr>
        <w:t>und</w:t>
      </w:r>
      <w:r w:rsidRPr="00755FCF">
        <w:rPr>
          <w:i/>
          <w:iCs/>
          <w:szCs w:val="24"/>
        </w:rPr>
        <w:t xml:space="preserve"> Kreditkarten</w:t>
      </w:r>
      <w:r>
        <w:rPr>
          <w:szCs w:val="24"/>
        </w:rPr>
        <w:t xml:space="preserve"> (48,8%) sowie </w:t>
      </w:r>
      <w:r w:rsidRPr="00755FCF">
        <w:rPr>
          <w:i/>
          <w:iCs/>
          <w:szCs w:val="24"/>
        </w:rPr>
        <w:t xml:space="preserve">Leasing, Ratenkauf </w:t>
      </w:r>
      <w:r>
        <w:rPr>
          <w:i/>
          <w:iCs/>
          <w:szCs w:val="24"/>
        </w:rPr>
        <w:t>und</w:t>
      </w:r>
      <w:r w:rsidRPr="00755FCF">
        <w:rPr>
          <w:i/>
          <w:iCs/>
          <w:szCs w:val="24"/>
        </w:rPr>
        <w:t xml:space="preserve"> Factoring</w:t>
      </w:r>
      <w:r>
        <w:rPr>
          <w:szCs w:val="24"/>
        </w:rPr>
        <w:t xml:space="preserve"> (39,1%) verwendet.</w:t>
      </w:r>
    </w:p>
    <w:p w14:paraId="75395350" w14:textId="77777777" w:rsidR="00E46CED" w:rsidRDefault="00E46CED" w:rsidP="002B34A2">
      <w:pPr>
        <w:spacing w:after="120"/>
        <w:rPr>
          <w:szCs w:val="24"/>
        </w:rPr>
      </w:pPr>
      <w:r w:rsidRPr="005676FC">
        <w:rPr>
          <w:b/>
          <w:bCs/>
          <w:szCs w:val="24"/>
        </w:rPr>
        <w:t xml:space="preserve">Cluster </w:t>
      </w:r>
      <w:r>
        <w:rPr>
          <w:b/>
          <w:bCs/>
          <w:szCs w:val="24"/>
        </w:rPr>
        <w:t>7</w:t>
      </w:r>
      <w:r w:rsidRPr="005676FC">
        <w:rPr>
          <w:b/>
          <w:bCs/>
          <w:szCs w:val="24"/>
        </w:rPr>
        <w:t xml:space="preserve"> (</w:t>
      </w:r>
      <w:r>
        <w:rPr>
          <w:b/>
          <w:bCs/>
          <w:szCs w:val="24"/>
        </w:rPr>
        <w:t>Asset-basierte Finanzierung</w:t>
      </w:r>
      <w:r w:rsidRPr="005676FC">
        <w:rPr>
          <w:b/>
          <w:bCs/>
          <w:szCs w:val="24"/>
        </w:rPr>
        <w:t>):</w:t>
      </w:r>
      <w:r w:rsidRPr="00821628">
        <w:rPr>
          <w:szCs w:val="24"/>
        </w:rPr>
        <w:t xml:space="preserve"> </w:t>
      </w:r>
      <w:r>
        <w:rPr>
          <w:szCs w:val="24"/>
        </w:rPr>
        <w:t xml:space="preserve">In diesem Cluster finanzieren sich alle 1.375 Unternehmen (10,9%) durch Asset-basierte Finanzierung in Form von </w:t>
      </w:r>
      <w:r w:rsidRPr="00755FCF">
        <w:rPr>
          <w:i/>
          <w:iCs/>
          <w:szCs w:val="24"/>
        </w:rPr>
        <w:t xml:space="preserve">Leasing, Ratenkauf </w:t>
      </w:r>
      <w:r>
        <w:rPr>
          <w:i/>
          <w:iCs/>
          <w:szCs w:val="24"/>
        </w:rPr>
        <w:t>und</w:t>
      </w:r>
      <w:r w:rsidRPr="00755FCF">
        <w:rPr>
          <w:i/>
          <w:iCs/>
          <w:szCs w:val="24"/>
        </w:rPr>
        <w:t xml:space="preserve"> Factoring</w:t>
      </w:r>
      <w:r>
        <w:rPr>
          <w:szCs w:val="24"/>
        </w:rPr>
        <w:t xml:space="preserve"> (100%). Die einzig andere Finanzierungsquelle bilden </w:t>
      </w:r>
      <w:r w:rsidRPr="00755FCF">
        <w:rPr>
          <w:i/>
          <w:iCs/>
          <w:szCs w:val="24"/>
        </w:rPr>
        <w:t xml:space="preserve">Kreditlinien, Überziehung von Bankkonten </w:t>
      </w:r>
      <w:r>
        <w:rPr>
          <w:i/>
          <w:iCs/>
          <w:szCs w:val="24"/>
        </w:rPr>
        <w:t>und</w:t>
      </w:r>
      <w:r w:rsidRPr="00755FCF">
        <w:rPr>
          <w:i/>
          <w:iCs/>
          <w:szCs w:val="24"/>
        </w:rPr>
        <w:t xml:space="preserve"> Kreditkarten</w:t>
      </w:r>
      <w:r>
        <w:rPr>
          <w:szCs w:val="24"/>
        </w:rPr>
        <w:t xml:space="preserve"> (41,5%).</w:t>
      </w:r>
    </w:p>
    <w:p w14:paraId="42DE5B37" w14:textId="7685EF77" w:rsidR="009103E3" w:rsidRDefault="0021004D" w:rsidP="000424EA">
      <w:pPr>
        <w:spacing w:after="120"/>
        <w:rPr>
          <w:szCs w:val="24"/>
        </w:rPr>
      </w:pPr>
      <w:r w:rsidRPr="005676FC">
        <w:rPr>
          <w:b/>
          <w:bCs/>
          <w:szCs w:val="24"/>
        </w:rPr>
        <w:t xml:space="preserve">Cluster </w:t>
      </w:r>
      <w:r>
        <w:rPr>
          <w:b/>
          <w:bCs/>
          <w:szCs w:val="24"/>
        </w:rPr>
        <w:t>8</w:t>
      </w:r>
      <w:r w:rsidRPr="005676FC">
        <w:rPr>
          <w:b/>
          <w:bCs/>
          <w:szCs w:val="24"/>
        </w:rPr>
        <w:t xml:space="preserve"> (</w:t>
      </w:r>
      <w:r>
        <w:rPr>
          <w:b/>
          <w:bCs/>
          <w:szCs w:val="24"/>
        </w:rPr>
        <w:t>Innenfinanzierung</w:t>
      </w:r>
      <w:r w:rsidRPr="005676FC">
        <w:rPr>
          <w:b/>
          <w:bCs/>
          <w:szCs w:val="24"/>
        </w:rPr>
        <w:t>):</w:t>
      </w:r>
      <w:r w:rsidRPr="00821628">
        <w:rPr>
          <w:szCs w:val="24"/>
        </w:rPr>
        <w:t xml:space="preserve"> </w:t>
      </w:r>
      <w:r>
        <w:rPr>
          <w:szCs w:val="24"/>
        </w:rPr>
        <w:t>Mit 4.249 Unternehmen (33,8%)</w:t>
      </w:r>
      <w:r w:rsidR="006178EE">
        <w:rPr>
          <w:szCs w:val="24"/>
        </w:rPr>
        <w:t xml:space="preserve"> handelt es sich hierbei um das größte Cluster. Diese nutzen ausschließlich </w:t>
      </w:r>
      <w:r w:rsidR="006178EE" w:rsidRPr="006178EE">
        <w:rPr>
          <w:i/>
          <w:iCs/>
          <w:szCs w:val="24"/>
        </w:rPr>
        <w:t>Innenfinanzierung</w:t>
      </w:r>
      <w:r w:rsidR="006178EE">
        <w:rPr>
          <w:szCs w:val="24"/>
        </w:rPr>
        <w:t xml:space="preserve"> (100%) und greifen </w:t>
      </w:r>
      <w:r>
        <w:rPr>
          <w:szCs w:val="24"/>
        </w:rPr>
        <w:t xml:space="preserve">weder auf externe Finanzierungsquellen noch auf </w:t>
      </w:r>
      <w:r w:rsidR="006178EE" w:rsidRPr="00C8395F">
        <w:rPr>
          <w:i/>
          <w:iCs/>
          <w:szCs w:val="24"/>
        </w:rPr>
        <w:t>Gewinnthesaurierung und Vermögensumschichtung</w:t>
      </w:r>
      <w:r>
        <w:rPr>
          <w:szCs w:val="24"/>
        </w:rPr>
        <w:t xml:space="preserve"> zurück</w:t>
      </w:r>
      <w:r w:rsidR="006178EE">
        <w:rPr>
          <w:szCs w:val="24"/>
        </w:rPr>
        <w:t>.</w:t>
      </w:r>
      <w:r>
        <w:rPr>
          <w:szCs w:val="24"/>
        </w:rPr>
        <w:t xml:space="preserve"> </w:t>
      </w:r>
    </w:p>
    <w:p w14:paraId="43AD828E" w14:textId="77777777" w:rsidR="00FE38AC" w:rsidRDefault="00FE38AC">
      <w:pPr>
        <w:spacing w:line="276" w:lineRule="auto"/>
        <w:jc w:val="left"/>
        <w:rPr>
          <w:szCs w:val="24"/>
        </w:rPr>
      </w:pPr>
      <w:r>
        <w:rPr>
          <w:szCs w:val="24"/>
        </w:rPr>
        <w:br w:type="page"/>
      </w:r>
    </w:p>
    <w:p w14:paraId="1337ED34" w14:textId="5F755098" w:rsidR="00781972" w:rsidRDefault="00B77060" w:rsidP="00FF1A3C">
      <w:pPr>
        <w:spacing w:before="120" w:after="120"/>
        <w:rPr>
          <w:szCs w:val="24"/>
        </w:rPr>
      </w:pPr>
      <w:r>
        <w:rPr>
          <w:szCs w:val="24"/>
        </w:rPr>
        <w:lastRenderedPageBreak/>
        <w:t>Im Vergleich zu</w:t>
      </w:r>
      <w:r w:rsidR="00483F38">
        <w:rPr>
          <w:szCs w:val="24"/>
        </w:rPr>
        <w:t xml:space="preserve"> den</w:t>
      </w:r>
      <w:r w:rsidR="0067698F">
        <w:rPr>
          <w:szCs w:val="24"/>
        </w:rPr>
        <w:t xml:space="preserve"> sieben Clustern</w:t>
      </w:r>
      <w:r w:rsidR="0067698F" w:rsidRPr="0067698F">
        <w:rPr>
          <w:szCs w:val="24"/>
        </w:rPr>
        <w:t xml:space="preserve"> </w:t>
      </w:r>
      <w:r w:rsidR="0067698F">
        <w:rPr>
          <w:szCs w:val="24"/>
        </w:rPr>
        <w:t>aus Masiak et al. (2019)</w:t>
      </w:r>
      <w:r w:rsidR="000263A2">
        <w:rPr>
          <w:szCs w:val="24"/>
        </w:rPr>
        <w:t xml:space="preserve"> (</w:t>
      </w:r>
      <w:r w:rsidR="0067698F">
        <w:rPr>
          <w:szCs w:val="24"/>
        </w:rPr>
        <w:t>basierend auf der SAFE Umfrage 2015H1</w:t>
      </w:r>
      <w:r w:rsidR="000263A2">
        <w:rPr>
          <w:szCs w:val="24"/>
        </w:rPr>
        <w:t>)</w:t>
      </w:r>
      <w:r w:rsidR="0067698F">
        <w:rPr>
          <w:szCs w:val="24"/>
        </w:rPr>
        <w:t xml:space="preserve"> ist festzustellen, dass </w:t>
      </w:r>
      <w:r w:rsidR="009A6193">
        <w:rPr>
          <w:szCs w:val="24"/>
        </w:rPr>
        <w:t>in dieser</w:t>
      </w:r>
      <w:r w:rsidR="000263A2">
        <w:rPr>
          <w:szCs w:val="24"/>
        </w:rPr>
        <w:t xml:space="preserve"> Analyse zwei Cluster mit Fokus auf Schuldenfinanzierung („</w:t>
      </w:r>
      <w:r w:rsidR="000263A2" w:rsidRPr="000263A2">
        <w:rPr>
          <w:szCs w:val="24"/>
        </w:rPr>
        <w:t>Flexible Schuldenfinanzierung</w:t>
      </w:r>
      <w:r w:rsidR="000263A2">
        <w:rPr>
          <w:szCs w:val="24"/>
        </w:rPr>
        <w:t>“ und „Darlehensfinanzierung“)</w:t>
      </w:r>
      <w:r w:rsidR="000263A2">
        <w:rPr>
          <w:spacing w:val="-2"/>
        </w:rPr>
        <w:t xml:space="preserve"> auftreten, während in der SAFE Umfrage </w:t>
      </w:r>
      <w:r w:rsidR="00DC74ED">
        <w:rPr>
          <w:spacing w:val="-2"/>
        </w:rPr>
        <w:t xml:space="preserve">2015H1 </w:t>
      </w:r>
      <w:r w:rsidR="00192C35">
        <w:rPr>
          <w:spacing w:val="-2"/>
        </w:rPr>
        <w:t xml:space="preserve">nur </w:t>
      </w:r>
      <w:r w:rsidR="00DC74ED">
        <w:rPr>
          <w:spacing w:val="-2"/>
        </w:rPr>
        <w:t>das</w:t>
      </w:r>
      <w:r w:rsidR="00142137">
        <w:rPr>
          <w:spacing w:val="-2"/>
        </w:rPr>
        <w:t xml:space="preserve"> vergleichbare</w:t>
      </w:r>
      <w:r w:rsidR="00DC74ED">
        <w:rPr>
          <w:spacing w:val="-2"/>
        </w:rPr>
        <w:t xml:space="preserve"> </w:t>
      </w:r>
      <w:r w:rsidR="003272DA" w:rsidRPr="003272DA">
        <w:rPr>
          <w:spacing w:val="-2"/>
        </w:rPr>
        <w:t xml:space="preserve">Finanzierungsmuster „Schuldenfinanzierung“ </w:t>
      </w:r>
      <w:r w:rsidR="003B3045">
        <w:rPr>
          <w:spacing w:val="-2"/>
        </w:rPr>
        <w:t>vor</w:t>
      </w:r>
      <w:r w:rsidR="00DC74ED">
        <w:rPr>
          <w:spacing w:val="-2"/>
        </w:rPr>
        <w:t>liegt</w:t>
      </w:r>
      <w:r w:rsidR="003B3045">
        <w:rPr>
          <w:spacing w:val="-2"/>
        </w:rPr>
        <w:t xml:space="preserve">, </w:t>
      </w:r>
      <w:r w:rsidR="003272DA" w:rsidRPr="003272DA">
        <w:rPr>
          <w:spacing w:val="-2"/>
        </w:rPr>
        <w:t>überwiegend</w:t>
      </w:r>
      <w:r w:rsidR="003272DA">
        <w:t xml:space="preserve"> </w:t>
      </w:r>
      <w:r w:rsidR="00192C35">
        <w:t xml:space="preserve">zusammengesetzt </w:t>
      </w:r>
      <w:r w:rsidR="003272DA">
        <w:t xml:space="preserve">aus </w:t>
      </w:r>
      <w:r w:rsidR="003272DA" w:rsidRPr="003272DA">
        <w:rPr>
          <w:i/>
          <w:iCs/>
        </w:rPr>
        <w:t>Kreditlinien, Überziehung von Bankkonten</w:t>
      </w:r>
      <w:r w:rsidR="003272DA">
        <w:t xml:space="preserve"> </w:t>
      </w:r>
      <w:r w:rsidR="003272DA" w:rsidRPr="0050234C">
        <w:rPr>
          <w:i/>
          <w:iCs/>
        </w:rPr>
        <w:t>und Kreditkarten</w:t>
      </w:r>
      <w:r w:rsidR="003272DA">
        <w:t xml:space="preserve"> (82,2%) und </w:t>
      </w:r>
      <w:r w:rsidR="003272DA" w:rsidRPr="003272DA">
        <w:rPr>
          <w:i/>
          <w:iCs/>
        </w:rPr>
        <w:t>Bank</w:t>
      </w:r>
      <w:r w:rsidR="0008096B">
        <w:rPr>
          <w:i/>
          <w:iCs/>
        </w:rPr>
        <w:t>-</w:t>
      </w:r>
      <w:r w:rsidR="003272DA" w:rsidRPr="003272DA">
        <w:rPr>
          <w:i/>
          <w:iCs/>
        </w:rPr>
        <w:t>darlehen</w:t>
      </w:r>
      <w:r w:rsidR="003272DA">
        <w:t xml:space="preserve"> (45,2%).</w:t>
      </w:r>
      <w:r w:rsidR="00E2664B">
        <w:t xml:space="preserve"> Die zusätzliche </w:t>
      </w:r>
      <w:r w:rsidR="00192C35">
        <w:t>Aufteilung</w:t>
      </w:r>
      <w:r w:rsidR="00E2664B">
        <w:t xml:space="preserve"> </w:t>
      </w:r>
      <w:r w:rsidR="000F6244">
        <w:t>der</w:t>
      </w:r>
      <w:r w:rsidR="00E2664B">
        <w:t xml:space="preserve"> beiden </w:t>
      </w:r>
      <w:r w:rsidR="000F6244">
        <w:t>Schuldenarten</w:t>
      </w:r>
      <w:r w:rsidR="00192C35">
        <w:t xml:space="preserve"> in verschiedene Cluster</w:t>
      </w:r>
      <w:r w:rsidR="00E2664B">
        <w:t xml:space="preserve"> steht im Einklang mit den </w:t>
      </w:r>
      <w:r w:rsidR="000F6244">
        <w:t>Finanzierungsmustern</w:t>
      </w:r>
      <w:r w:rsidR="00E2664B">
        <w:t xml:space="preserve"> aus Moritz et al. (2016).</w:t>
      </w:r>
      <w:r w:rsidR="000F6244">
        <w:t xml:space="preserve"> </w:t>
      </w:r>
      <w:r w:rsidR="00142137">
        <w:rPr>
          <w:szCs w:val="24"/>
        </w:rPr>
        <w:t xml:space="preserve">Darüber hinaus </w:t>
      </w:r>
      <w:r w:rsidR="000F6244">
        <w:rPr>
          <w:szCs w:val="24"/>
        </w:rPr>
        <w:t xml:space="preserve">sind </w:t>
      </w:r>
      <w:r w:rsidR="000F6244" w:rsidRPr="003272DA">
        <w:rPr>
          <w:i/>
          <w:iCs/>
        </w:rPr>
        <w:t>Kreditlinien, Überziehung von Bankkonten</w:t>
      </w:r>
      <w:r w:rsidR="000F6244">
        <w:t xml:space="preserve"> </w:t>
      </w:r>
      <w:r w:rsidR="000F6244" w:rsidRPr="0050234C">
        <w:rPr>
          <w:i/>
          <w:iCs/>
        </w:rPr>
        <w:t>und Kreditkarten</w:t>
      </w:r>
      <w:r w:rsidR="000F6244">
        <w:t xml:space="preserve"> (51,7%) und </w:t>
      </w:r>
      <w:r w:rsidR="000F6244" w:rsidRPr="003272DA">
        <w:rPr>
          <w:i/>
          <w:iCs/>
        </w:rPr>
        <w:t>Bankdarlehen</w:t>
      </w:r>
      <w:r w:rsidR="000F6244">
        <w:t xml:space="preserve"> (24,8%) </w:t>
      </w:r>
      <w:r w:rsidR="000F6244">
        <w:rPr>
          <w:szCs w:val="24"/>
        </w:rPr>
        <w:t>im Cluster „Finanzierung durch Lieferanten</w:t>
      </w:r>
      <w:r w:rsidR="0008096B">
        <w:rPr>
          <w:szCs w:val="24"/>
        </w:rPr>
        <w:t>-</w:t>
      </w:r>
      <w:r w:rsidR="000F6244">
        <w:rPr>
          <w:szCs w:val="24"/>
        </w:rPr>
        <w:t>kredite“ in Masiak et al. (2019) von hoher Bedeutung, wohingegen diese beiden Finanzierungsquellen hier im selben Cluster nicht verwendet werden.</w:t>
      </w:r>
      <w:r w:rsidR="00170DB8">
        <w:rPr>
          <w:szCs w:val="24"/>
        </w:rPr>
        <w:t xml:space="preserve"> </w:t>
      </w:r>
      <w:r w:rsidR="0067698F">
        <w:rPr>
          <w:szCs w:val="24"/>
        </w:rPr>
        <w:t>Die</w:t>
      </w:r>
      <w:r w:rsidR="00170DB8">
        <w:rPr>
          <w:szCs w:val="24"/>
        </w:rPr>
        <w:t>se</w:t>
      </w:r>
      <w:r w:rsidR="0067698F">
        <w:rPr>
          <w:szCs w:val="24"/>
        </w:rPr>
        <w:t xml:space="preserve"> Unterschiede könn</w:t>
      </w:r>
      <w:r w:rsidR="00170DB8">
        <w:rPr>
          <w:szCs w:val="24"/>
        </w:rPr>
        <w:t>t</w:t>
      </w:r>
      <w:r w:rsidR="0067698F">
        <w:rPr>
          <w:szCs w:val="24"/>
        </w:rPr>
        <w:t xml:space="preserve">en auf </w:t>
      </w:r>
      <w:r w:rsidR="00170DB8">
        <w:rPr>
          <w:szCs w:val="24"/>
        </w:rPr>
        <w:t>Abweichungen in der</w:t>
      </w:r>
      <w:r w:rsidR="0067698F">
        <w:rPr>
          <w:szCs w:val="24"/>
        </w:rPr>
        <w:t xml:space="preserve"> verwendete</w:t>
      </w:r>
      <w:r w:rsidR="00170DB8">
        <w:rPr>
          <w:szCs w:val="24"/>
        </w:rPr>
        <w:t>n</w:t>
      </w:r>
      <w:r w:rsidR="0067698F">
        <w:rPr>
          <w:szCs w:val="24"/>
        </w:rPr>
        <w:t xml:space="preserve"> </w:t>
      </w:r>
      <w:r w:rsidR="00170DB8">
        <w:rPr>
          <w:szCs w:val="24"/>
        </w:rPr>
        <w:t xml:space="preserve">Methodik beim Distanzmaß sowie bei der Bestimmung der optimalen Clusterzahl zurückzuführen sein. </w:t>
      </w:r>
      <w:r>
        <w:rPr>
          <w:szCs w:val="24"/>
        </w:rPr>
        <w:t xml:space="preserve">Die Zusammensetzung der restlichen Cluster weist hingegen eine </w:t>
      </w:r>
      <w:r w:rsidR="00170DB8">
        <w:rPr>
          <w:szCs w:val="24"/>
        </w:rPr>
        <w:t>große</w:t>
      </w:r>
      <w:r>
        <w:rPr>
          <w:szCs w:val="24"/>
        </w:rPr>
        <w:t xml:space="preserve"> Ähnlichkeit </w:t>
      </w:r>
      <w:r w:rsidRPr="0008096B">
        <w:rPr>
          <w:spacing w:val="-2"/>
          <w:szCs w:val="24"/>
        </w:rPr>
        <w:t>zueinander auf</w:t>
      </w:r>
      <w:r w:rsidR="0067698F" w:rsidRPr="0008096B">
        <w:rPr>
          <w:spacing w:val="-2"/>
          <w:szCs w:val="24"/>
        </w:rPr>
        <w:t xml:space="preserve"> und deutet somit auf eine hohe zeitliche Stabilität der Finanzierungsmus</w:t>
      </w:r>
      <w:r w:rsidR="0008096B" w:rsidRPr="0008096B">
        <w:rPr>
          <w:spacing w:val="-2"/>
          <w:szCs w:val="24"/>
        </w:rPr>
        <w:t>ter.</w:t>
      </w:r>
    </w:p>
    <w:p w14:paraId="459E51D9" w14:textId="3FBB656E" w:rsidR="00653D77" w:rsidRDefault="00653D77" w:rsidP="001A4E15">
      <w:pPr>
        <w:pStyle w:val="berschrift2"/>
        <w:numPr>
          <w:ilvl w:val="1"/>
          <w:numId w:val="4"/>
        </w:numPr>
        <w:spacing w:after="120" w:line="240" w:lineRule="auto"/>
        <w:ind w:left="425" w:hanging="431"/>
      </w:pPr>
      <w:bookmarkStart w:id="47" w:name="_Toc88425838"/>
      <w:bookmarkStart w:id="48" w:name="_Ref88425995"/>
      <w:r>
        <w:t>Hypothesen</w:t>
      </w:r>
      <w:bookmarkStart w:id="49" w:name="_Hlk87662924"/>
      <w:bookmarkEnd w:id="47"/>
      <w:bookmarkEnd w:id="48"/>
    </w:p>
    <w:p w14:paraId="4C4D1588" w14:textId="6FFE20CC" w:rsidR="000602F9" w:rsidRPr="000602F9" w:rsidRDefault="000602F9" w:rsidP="00FF1A3C">
      <w:pPr>
        <w:spacing w:after="120"/>
      </w:pPr>
      <w:r>
        <w:t>Die acht Finanzierungsmuster stellen die Grundlage für die Hypothesen und die damit einhergehende Regressionsanalyse dar. Dabei werden Unterschiede zwischen Kleinstunternehmen und größeren KMUs bei den folgenden Finanzierungsmus</w:t>
      </w:r>
      <w:r w:rsidR="000F082D">
        <w:t>tern</w:t>
      </w:r>
      <w:r>
        <w:t xml:space="preserve"> untersucht: „</w:t>
      </w:r>
      <w:r w:rsidRPr="000602F9">
        <w:t>Flexible Schuldenfinanzierung</w:t>
      </w:r>
      <w:r>
        <w:t>“, „</w:t>
      </w:r>
      <w:r w:rsidRPr="000602F9">
        <w:t>Darlehensfinanzierung</w:t>
      </w:r>
      <w:r>
        <w:t>“, „</w:t>
      </w:r>
      <w:r w:rsidRPr="000602F9">
        <w:t>Finanzierung durch Lieferantenkredite</w:t>
      </w:r>
      <w:r>
        <w:t>“, „</w:t>
      </w:r>
      <w:r w:rsidRPr="000602F9">
        <w:t>Gemischte Finanzierung mit Fokus auf staatlich subventionierte Finanzierung</w:t>
      </w:r>
      <w:r>
        <w:t>“, „</w:t>
      </w:r>
      <w:r w:rsidRPr="000602F9">
        <w:t>Asset-basierte Finanzierung</w:t>
      </w:r>
      <w:r>
        <w:t>“ und „</w:t>
      </w:r>
      <w:r w:rsidRPr="000602F9">
        <w:t>Innenfinanzierung</w:t>
      </w:r>
      <w:r>
        <w:t>“</w:t>
      </w:r>
      <w:r w:rsidR="00A52BED">
        <w:t>. Durch die Unterschiede in den Finanzierungsmuster</w:t>
      </w:r>
      <w:r w:rsidR="00F47FCE">
        <w:t>n</w:t>
      </w:r>
      <w:r w:rsidR="00A52BED">
        <w:t xml:space="preserve"> wird hier auch im Vergleich zu Masiak et al. (2019) die Hypothese bezüglich Schuldenfinanzierung in „</w:t>
      </w:r>
      <w:r w:rsidR="00A52BED" w:rsidRPr="000602F9">
        <w:t>Flexible Schuldenfinanzierung</w:t>
      </w:r>
      <w:r w:rsidR="00A52BED">
        <w:t>“ und „</w:t>
      </w:r>
      <w:r w:rsidR="00A52BED" w:rsidRPr="000602F9">
        <w:t>Darlehensfinanzierung</w:t>
      </w:r>
      <w:r w:rsidR="00A52BED">
        <w:t>“</w:t>
      </w:r>
      <w:r w:rsidR="00F47FCE">
        <w:t xml:space="preserve"> aufgeteilt.</w:t>
      </w:r>
      <w:r w:rsidR="00F47FCE">
        <w:rPr>
          <w:rStyle w:val="Funotenzeichen"/>
        </w:rPr>
        <w:footnoteReference w:id="86"/>
      </w:r>
    </w:p>
    <w:p w14:paraId="0E0AFB61" w14:textId="3947CD6A" w:rsidR="003D7E7A" w:rsidRDefault="00B072C5" w:rsidP="00427C9E">
      <w:pPr>
        <w:spacing w:after="120" w:line="240" w:lineRule="auto"/>
        <w:ind w:left="567" w:hanging="567"/>
      </w:pPr>
      <w:r w:rsidRPr="00B37B1F">
        <w:rPr>
          <w:b/>
          <w:bCs/>
        </w:rPr>
        <w:t>H</w:t>
      </w:r>
      <w:r w:rsidR="00FA52E2" w:rsidRPr="00B37B1F">
        <w:rPr>
          <w:b/>
          <w:bCs/>
        </w:rPr>
        <w:t>1</w:t>
      </w:r>
      <w:r w:rsidR="0038282F" w:rsidRPr="00B37B1F">
        <w:rPr>
          <w:b/>
          <w:bCs/>
        </w:rPr>
        <w:t>:</w:t>
      </w:r>
      <w:r w:rsidR="00B37B1F">
        <w:tab/>
      </w:r>
      <w:r w:rsidR="0038282F">
        <w:t>Kleinstunternehmen weisen seltener das Finanzierungsmuster</w:t>
      </w:r>
      <w:r w:rsidR="00B37B1F">
        <w:t xml:space="preserve"> </w:t>
      </w:r>
      <w:r w:rsidR="0038282F">
        <w:t>„Darlehensfinanzierung“ auf als größere KMUs</w:t>
      </w:r>
    </w:p>
    <w:p w14:paraId="64BBD49C" w14:textId="15B9FB35" w:rsidR="00A565E0" w:rsidRPr="00973EA3" w:rsidRDefault="00C050E9" w:rsidP="00FF1A3C">
      <w:pPr>
        <w:spacing w:after="120"/>
      </w:pPr>
      <w:r w:rsidRPr="00C050E9">
        <w:t>Im</w:t>
      </w:r>
      <w:r w:rsidR="00B37B1F" w:rsidRPr="00C050E9">
        <w:t xml:space="preserve"> </w:t>
      </w:r>
      <w:r w:rsidR="00B37B1F">
        <w:t xml:space="preserve">Finanzierungsmuster „Darlehensfinanzierung“ </w:t>
      </w:r>
      <w:r>
        <w:t xml:space="preserve">verwenden alle Unternehmen die Finanzierungsquelle </w:t>
      </w:r>
      <w:r w:rsidRPr="00C050E9">
        <w:rPr>
          <w:i/>
          <w:iCs/>
        </w:rPr>
        <w:t>Bankdarlehen</w:t>
      </w:r>
      <w:r>
        <w:t>.</w:t>
      </w:r>
      <w:r w:rsidR="0007121A">
        <w:t xml:space="preserve"> </w:t>
      </w:r>
      <w:r w:rsidR="0007284F" w:rsidRPr="0007284F">
        <w:t>Vorherige Veröffentlichungen haben ergeben, dass Kleinstunternehmen</w:t>
      </w:r>
      <w:r w:rsidR="00ED7F41">
        <w:t xml:space="preserve"> oftmals</w:t>
      </w:r>
      <w:r w:rsidR="0007284F" w:rsidRPr="0007284F">
        <w:t xml:space="preserve"> K</w:t>
      </w:r>
      <w:r w:rsidR="0007284F">
        <w:t xml:space="preserve">omplikationen beim Beantragen von Darlehen erfahren </w:t>
      </w:r>
      <w:r w:rsidR="0007284F">
        <w:lastRenderedPageBreak/>
        <w:t xml:space="preserve">und dass diese </w:t>
      </w:r>
      <w:r w:rsidR="00ED7F41">
        <w:t>häufig</w:t>
      </w:r>
      <w:r w:rsidR="0007284F">
        <w:t xml:space="preserve"> abgelehnt werden.</w:t>
      </w:r>
      <w:r w:rsidR="006B0B27">
        <w:rPr>
          <w:rStyle w:val="Funotenzeichen"/>
        </w:rPr>
        <w:footnoteReference w:id="87"/>
      </w:r>
      <w:r w:rsidR="00ED7F41">
        <w:t xml:space="preserve"> </w:t>
      </w:r>
      <w:r w:rsidR="009C4805" w:rsidRPr="009C4805">
        <w:t xml:space="preserve">Durch die höhere Intransparenz </w:t>
      </w:r>
      <w:r w:rsidR="005D3DC4">
        <w:t xml:space="preserve">und somit </w:t>
      </w:r>
      <w:r w:rsidR="00B364EA">
        <w:t xml:space="preserve">auch </w:t>
      </w:r>
      <w:r w:rsidR="009C4805" w:rsidRPr="009C4805">
        <w:t>größere Informationsasymmetrie</w:t>
      </w:r>
      <w:r w:rsidR="005D3DC4">
        <w:t xml:space="preserve"> und höhere Informationskosten</w:t>
      </w:r>
      <w:r w:rsidR="009C4805" w:rsidRPr="009C4805">
        <w:t xml:space="preserve"> bei </w:t>
      </w:r>
      <w:r w:rsidR="000B4A21">
        <w:t xml:space="preserve">kleinerer Unternehmensgröße </w:t>
      </w:r>
      <w:r w:rsidR="009C4805" w:rsidRPr="009C4805">
        <w:t>sind Ba</w:t>
      </w:r>
      <w:r w:rsidR="009C4805">
        <w:t>nken üblicherweise widerwillig</w:t>
      </w:r>
      <w:r w:rsidR="00771324">
        <w:t>er</w:t>
      </w:r>
      <w:r w:rsidR="009C4805">
        <w:t xml:space="preserve">, </w:t>
      </w:r>
      <w:r w:rsidR="00771324">
        <w:t>Darlehen</w:t>
      </w:r>
      <w:r w:rsidR="009C4805">
        <w:t xml:space="preserve"> zu gewähren.</w:t>
      </w:r>
      <w:r w:rsidR="00C44304">
        <w:rPr>
          <w:rStyle w:val="Funotenzeichen"/>
        </w:rPr>
        <w:footnoteReference w:id="88"/>
      </w:r>
      <w:r w:rsidR="005D3DC4">
        <w:t xml:space="preserve"> </w:t>
      </w:r>
      <w:r w:rsidR="005D3DC4" w:rsidRPr="00CA10CE">
        <w:t xml:space="preserve">So </w:t>
      </w:r>
      <w:r w:rsidR="00CA10CE" w:rsidRPr="00CA10CE">
        <w:t xml:space="preserve">ist der Mangel an </w:t>
      </w:r>
      <w:r w:rsidR="00CA10CE">
        <w:t xml:space="preserve">zuverlässigen </w:t>
      </w:r>
      <w:r w:rsidR="00CA10CE" w:rsidRPr="00CA10CE">
        <w:t xml:space="preserve">Informationen mit höheren Überwachungskosten </w:t>
      </w:r>
      <w:r w:rsidR="00BD2AD9">
        <w:t xml:space="preserve">bei Banken </w:t>
      </w:r>
      <w:r w:rsidR="00CA10CE" w:rsidRPr="00CA10CE">
        <w:t>verbunden.</w:t>
      </w:r>
      <w:r w:rsidR="00CA10CE">
        <w:rPr>
          <w:rStyle w:val="Funotenzeichen"/>
        </w:rPr>
        <w:footnoteReference w:id="89"/>
      </w:r>
      <w:r w:rsidR="0031781D">
        <w:t xml:space="preserve"> </w:t>
      </w:r>
      <w:r w:rsidR="00BD2AD9">
        <w:t>Diese Kosten</w:t>
      </w:r>
      <w:r w:rsidR="0031781D">
        <w:t xml:space="preserve"> </w:t>
      </w:r>
      <w:r w:rsidR="00BD2AD9">
        <w:t>können</w:t>
      </w:r>
      <w:r w:rsidR="0031781D">
        <w:t xml:space="preserve"> </w:t>
      </w:r>
      <w:r w:rsidR="00AA0DA8">
        <w:t xml:space="preserve">durch höhere Zinsen </w:t>
      </w:r>
      <w:r w:rsidR="00BD2AD9">
        <w:t>auf die Unternehmen übertragen werden,</w:t>
      </w:r>
      <w:r w:rsidR="00BD2AD9">
        <w:rPr>
          <w:rStyle w:val="Funotenzeichen"/>
        </w:rPr>
        <w:footnoteReference w:id="90"/>
      </w:r>
      <w:r w:rsidR="00BD2AD9">
        <w:t xml:space="preserve"> </w:t>
      </w:r>
      <w:r w:rsidR="00600608">
        <w:t>wobei</w:t>
      </w:r>
      <w:r w:rsidR="006C6D60">
        <w:t xml:space="preserve"> </w:t>
      </w:r>
      <w:r w:rsidR="00600608">
        <w:t xml:space="preserve">es für </w:t>
      </w:r>
      <w:r w:rsidR="006C6D60">
        <w:t xml:space="preserve">kleinere Unternehmen </w:t>
      </w:r>
      <w:r w:rsidR="00600608">
        <w:t xml:space="preserve">durch </w:t>
      </w:r>
      <w:r w:rsidR="00442050">
        <w:t xml:space="preserve">beträchtliche </w:t>
      </w:r>
      <w:r w:rsidR="00600608">
        <w:t>fixe Transaktionskosten</w:t>
      </w:r>
      <w:r w:rsidR="00E069A0" w:rsidRPr="00E069A0">
        <w:t xml:space="preserve"> </w:t>
      </w:r>
      <w:r w:rsidR="00E069A0">
        <w:t>proportional teurer wäre</w:t>
      </w:r>
      <w:r w:rsidR="006C6D60">
        <w:t>.</w:t>
      </w:r>
      <w:r w:rsidR="00442050">
        <w:rPr>
          <w:rStyle w:val="Funotenzeichen"/>
        </w:rPr>
        <w:footnoteReference w:id="91"/>
      </w:r>
      <w:r w:rsidR="006C6D60">
        <w:t xml:space="preserve"> Alternativ können diese</w:t>
      </w:r>
      <w:r w:rsidR="00BD2AD9">
        <w:t xml:space="preserve"> auch durch </w:t>
      </w:r>
      <w:r w:rsidR="009553DC">
        <w:t>Hinterlegungen</w:t>
      </w:r>
      <w:r w:rsidR="00BD2AD9">
        <w:t xml:space="preserve"> substituiert werden</w:t>
      </w:r>
      <w:r w:rsidR="0031781D">
        <w:t>.</w:t>
      </w:r>
      <w:r w:rsidR="0031781D">
        <w:rPr>
          <w:rStyle w:val="Funotenzeichen"/>
        </w:rPr>
        <w:footnoteReference w:id="92"/>
      </w:r>
      <w:r w:rsidR="00823928">
        <w:t xml:space="preserve"> </w:t>
      </w:r>
      <w:r w:rsidR="00823928" w:rsidRPr="00823928">
        <w:t xml:space="preserve">Allerdings </w:t>
      </w:r>
      <w:r w:rsidR="00041A49">
        <w:t>können durch</w:t>
      </w:r>
      <w:r w:rsidR="00823928" w:rsidRPr="00823928">
        <w:t xml:space="preserve"> limitierte</w:t>
      </w:r>
      <w:r w:rsidR="00041A49">
        <w:t>s</w:t>
      </w:r>
      <w:r w:rsidR="00823928" w:rsidRPr="00823928">
        <w:t xml:space="preserve"> </w:t>
      </w:r>
      <w:r w:rsidR="00041A49">
        <w:t>Sachanlagevermögen</w:t>
      </w:r>
      <w:r w:rsidR="00823928">
        <w:t xml:space="preserve"> diese Hinterlegungen nur bedingt zur Verfügung gestellt werden können</w:t>
      </w:r>
      <w:r w:rsidR="00041A49">
        <w:t>, teilweise durch das Privateigentum von Geschäftsführern oder von Freunden und Geschäftspartnern</w:t>
      </w:r>
      <w:r w:rsidR="00823928">
        <w:t>.</w:t>
      </w:r>
      <w:r w:rsidR="00041A49">
        <w:rPr>
          <w:rStyle w:val="Funotenzeichen"/>
        </w:rPr>
        <w:footnoteReference w:id="93"/>
      </w:r>
      <w:r w:rsidR="00823928">
        <w:t xml:space="preserve"> </w:t>
      </w:r>
      <w:r w:rsidR="00973EA3">
        <w:t>Diese Restriktionen suggerieren, dass Kleinstunternehmen seltenerer Darlehensfinanzierung verwenden</w:t>
      </w:r>
      <w:r w:rsidR="00781A45">
        <w:t xml:space="preserve"> als größere KMUs.</w:t>
      </w:r>
    </w:p>
    <w:p w14:paraId="1F9A3F78" w14:textId="421E3FBB" w:rsidR="00BB6DD2" w:rsidRDefault="006159F4" w:rsidP="00427C9E">
      <w:pPr>
        <w:spacing w:after="120" w:line="240" w:lineRule="auto"/>
        <w:ind w:left="567" w:hanging="567"/>
      </w:pPr>
      <w:r w:rsidRPr="00B37B1F">
        <w:rPr>
          <w:b/>
          <w:bCs/>
        </w:rPr>
        <w:t>H</w:t>
      </w:r>
      <w:r w:rsidR="00960ED3">
        <w:rPr>
          <w:b/>
          <w:bCs/>
        </w:rPr>
        <w:t>2</w:t>
      </w:r>
      <w:r w:rsidRPr="00B37B1F">
        <w:rPr>
          <w:b/>
          <w:bCs/>
        </w:rPr>
        <w:t>:</w:t>
      </w:r>
      <w:r>
        <w:tab/>
        <w:t>Kleinstunternehmen w</w:t>
      </w:r>
      <w:r w:rsidR="00BB6DD2" w:rsidRPr="00BB6DD2">
        <w:t xml:space="preserve">eisen häufiger das Finanzierungsmuster „Flexible Schuldenfinanzierung“ auf als größere KMUs </w:t>
      </w:r>
    </w:p>
    <w:p w14:paraId="2651DB85" w14:textId="0CE5C58E" w:rsidR="00DB19EA" w:rsidRPr="000F5649" w:rsidRDefault="0099490F" w:rsidP="00FF1A3C">
      <w:pPr>
        <w:spacing w:after="120"/>
      </w:pPr>
      <w:r w:rsidRPr="0099490F">
        <w:rPr>
          <w:i/>
          <w:iCs/>
          <w:szCs w:val="24"/>
        </w:rPr>
        <w:t>Kreditlinien, Überziehung von Bankkonten und Kreditkarten</w:t>
      </w:r>
      <w:r w:rsidRPr="0099490F">
        <w:rPr>
          <w:szCs w:val="24"/>
        </w:rPr>
        <w:t xml:space="preserve"> </w:t>
      </w:r>
      <w:r>
        <w:rPr>
          <w:szCs w:val="24"/>
        </w:rPr>
        <w:t>stellen</w:t>
      </w:r>
      <w:r w:rsidRPr="0099490F">
        <w:rPr>
          <w:szCs w:val="24"/>
        </w:rPr>
        <w:t xml:space="preserve"> die einzige Finanzierungsquelle</w:t>
      </w:r>
      <w:r>
        <w:rPr>
          <w:szCs w:val="24"/>
        </w:rPr>
        <w:t xml:space="preserve"> dar,</w:t>
      </w:r>
      <w:r w:rsidRPr="0099490F">
        <w:rPr>
          <w:szCs w:val="24"/>
        </w:rPr>
        <w:t xml:space="preserve"> die i</w:t>
      </w:r>
      <w:r>
        <w:rPr>
          <w:szCs w:val="24"/>
        </w:rPr>
        <w:t xml:space="preserve">m </w:t>
      </w:r>
      <w:r w:rsidR="002A495A">
        <w:rPr>
          <w:szCs w:val="24"/>
        </w:rPr>
        <w:t>Cluster</w:t>
      </w:r>
      <w:r>
        <w:rPr>
          <w:szCs w:val="24"/>
        </w:rPr>
        <w:t xml:space="preserve"> </w:t>
      </w:r>
      <w:r w:rsidRPr="00BB6DD2">
        <w:t>„Flexible Schulden</w:t>
      </w:r>
      <w:r w:rsidR="002A495A">
        <w:t>fina</w:t>
      </w:r>
      <w:r w:rsidRPr="00BB6DD2">
        <w:t xml:space="preserve">nzierung“ </w:t>
      </w:r>
      <w:r>
        <w:t>verwendet werden.</w:t>
      </w:r>
      <w:r>
        <w:rPr>
          <w:szCs w:val="24"/>
        </w:rPr>
        <w:t xml:space="preserve"> </w:t>
      </w:r>
      <w:r w:rsidRPr="00AB4926">
        <w:rPr>
          <w:szCs w:val="24"/>
        </w:rPr>
        <w:t xml:space="preserve">Diese </w:t>
      </w:r>
      <w:r w:rsidR="003C12F6">
        <w:rPr>
          <w:szCs w:val="24"/>
        </w:rPr>
        <w:t xml:space="preserve">kurzfristige Finanzierungsquelle </w:t>
      </w:r>
      <w:r w:rsidR="006159F4">
        <w:rPr>
          <w:szCs w:val="24"/>
        </w:rPr>
        <w:t>kann flexibel in Anspruch genommen werden</w:t>
      </w:r>
      <w:r w:rsidR="00F86AD2">
        <w:rPr>
          <w:szCs w:val="24"/>
        </w:rPr>
        <w:t xml:space="preserve">, </w:t>
      </w:r>
      <w:r w:rsidR="006159F4">
        <w:rPr>
          <w:szCs w:val="24"/>
        </w:rPr>
        <w:t xml:space="preserve">erfordert in der Regel </w:t>
      </w:r>
      <w:r w:rsidR="002A495A">
        <w:rPr>
          <w:szCs w:val="24"/>
        </w:rPr>
        <w:t>geringere</w:t>
      </w:r>
      <w:r w:rsidR="006159F4">
        <w:rPr>
          <w:szCs w:val="24"/>
        </w:rPr>
        <w:t xml:space="preserve"> Hinterlegungen</w:t>
      </w:r>
      <w:r w:rsidR="00F86AD2">
        <w:rPr>
          <w:szCs w:val="24"/>
        </w:rPr>
        <w:t xml:space="preserve"> und ist daher attraktiver für kleinere Unternehmen</w:t>
      </w:r>
      <w:r w:rsidR="00AB4926">
        <w:rPr>
          <w:szCs w:val="24"/>
        </w:rPr>
        <w:t>.</w:t>
      </w:r>
      <w:r w:rsidR="00F86AD2">
        <w:rPr>
          <w:rStyle w:val="Funotenzeichen"/>
          <w:szCs w:val="24"/>
        </w:rPr>
        <w:footnoteReference w:id="94"/>
      </w:r>
      <w:r w:rsidR="00AB4926">
        <w:rPr>
          <w:szCs w:val="24"/>
        </w:rPr>
        <w:t xml:space="preserve"> </w:t>
      </w:r>
      <w:r w:rsidR="002C34F9">
        <w:rPr>
          <w:szCs w:val="24"/>
        </w:rPr>
        <w:t>Ferner deuten</w:t>
      </w:r>
      <w:r w:rsidR="00552809">
        <w:rPr>
          <w:szCs w:val="24"/>
        </w:rPr>
        <w:t xml:space="preserve"> </w:t>
      </w:r>
      <w:r w:rsidR="006E1988" w:rsidRPr="006E1988">
        <w:rPr>
          <w:szCs w:val="24"/>
        </w:rPr>
        <w:t xml:space="preserve">Komplikationen bei Darlehensanträgen </w:t>
      </w:r>
      <w:r w:rsidR="006E1988">
        <w:rPr>
          <w:szCs w:val="24"/>
        </w:rPr>
        <w:t xml:space="preserve">darauf hin, dass kleinere Unternehmen </w:t>
      </w:r>
      <w:r w:rsidR="000D487E">
        <w:rPr>
          <w:szCs w:val="24"/>
        </w:rPr>
        <w:t xml:space="preserve">eher </w:t>
      </w:r>
      <w:r w:rsidR="006E1988">
        <w:rPr>
          <w:szCs w:val="24"/>
        </w:rPr>
        <w:t>kurzfristige als langfristige Schulden</w:t>
      </w:r>
      <w:r w:rsidR="000D487E">
        <w:rPr>
          <w:szCs w:val="24"/>
        </w:rPr>
        <w:t xml:space="preserve"> bevorzugen.</w:t>
      </w:r>
      <w:r w:rsidR="000D487E">
        <w:rPr>
          <w:rStyle w:val="Funotenzeichen"/>
          <w:szCs w:val="24"/>
        </w:rPr>
        <w:footnoteReference w:id="95"/>
      </w:r>
      <w:r w:rsidR="000D487E">
        <w:rPr>
          <w:szCs w:val="24"/>
        </w:rPr>
        <w:t xml:space="preserve"> </w:t>
      </w:r>
      <w:r w:rsidR="00F02C77">
        <w:rPr>
          <w:szCs w:val="24"/>
        </w:rPr>
        <w:t>Dies steht auch im Einklang mit der Pecking-Order-Theorie</w:t>
      </w:r>
      <w:r w:rsidR="00131EE0">
        <w:rPr>
          <w:szCs w:val="24"/>
        </w:rPr>
        <w:t xml:space="preserve"> nach Meyers / Majluf (1984)</w:t>
      </w:r>
      <w:r w:rsidR="00F02C77">
        <w:rPr>
          <w:szCs w:val="24"/>
        </w:rPr>
        <w:t>,</w:t>
      </w:r>
      <w:r w:rsidR="00627648">
        <w:rPr>
          <w:szCs w:val="24"/>
        </w:rPr>
        <w:t xml:space="preserve"> </w:t>
      </w:r>
      <w:r w:rsidR="001773DA">
        <w:rPr>
          <w:szCs w:val="24"/>
        </w:rPr>
        <w:t>aus der abgeleitet wird</w:t>
      </w:r>
      <w:r w:rsidR="00627648">
        <w:rPr>
          <w:szCs w:val="24"/>
        </w:rPr>
        <w:t>, dass</w:t>
      </w:r>
      <w:r w:rsidR="008924F4">
        <w:rPr>
          <w:szCs w:val="24"/>
        </w:rPr>
        <w:t xml:space="preserve"> Unternehmen</w:t>
      </w:r>
      <w:r w:rsidR="00857040">
        <w:rPr>
          <w:szCs w:val="24"/>
        </w:rPr>
        <w:t xml:space="preserve"> aufgrund von Informationsasymmetrien</w:t>
      </w:r>
      <w:r w:rsidR="008924F4">
        <w:rPr>
          <w:szCs w:val="24"/>
        </w:rPr>
        <w:t xml:space="preserve"> zunächst interne Mittel ausschöpfen</w:t>
      </w:r>
      <w:r w:rsidR="002A495A">
        <w:rPr>
          <w:szCs w:val="24"/>
        </w:rPr>
        <w:t>, gefolgt von kurzfristige</w:t>
      </w:r>
      <w:r w:rsidR="00857040">
        <w:rPr>
          <w:szCs w:val="24"/>
        </w:rPr>
        <w:t xml:space="preserve">n Schulden und anschließend langfristige Schulen. Erst wenn diese Optionen </w:t>
      </w:r>
      <w:r w:rsidR="008F3D9A">
        <w:rPr>
          <w:szCs w:val="24"/>
        </w:rPr>
        <w:t>ausgeschöpft</w:t>
      </w:r>
      <w:r w:rsidR="00857040">
        <w:rPr>
          <w:szCs w:val="24"/>
        </w:rPr>
        <w:t xml:space="preserve"> sind, wird </w:t>
      </w:r>
      <w:r w:rsidR="008F3D9A">
        <w:rPr>
          <w:szCs w:val="24"/>
        </w:rPr>
        <w:t xml:space="preserve">externes </w:t>
      </w:r>
      <w:r w:rsidR="00857040">
        <w:rPr>
          <w:szCs w:val="24"/>
        </w:rPr>
        <w:t xml:space="preserve">Eigenkapital </w:t>
      </w:r>
      <w:r w:rsidR="008F3D9A">
        <w:rPr>
          <w:szCs w:val="24"/>
        </w:rPr>
        <w:t>generiert</w:t>
      </w:r>
      <w:r w:rsidR="00857040">
        <w:rPr>
          <w:szCs w:val="24"/>
        </w:rPr>
        <w:t xml:space="preserve">, da diese </w:t>
      </w:r>
      <w:r w:rsidR="008F3D9A" w:rsidRPr="0099490F">
        <w:rPr>
          <w:szCs w:val="24"/>
        </w:rPr>
        <w:t>Finanzierungsquelle</w:t>
      </w:r>
      <w:r w:rsidR="008F3D9A">
        <w:rPr>
          <w:szCs w:val="24"/>
        </w:rPr>
        <w:t xml:space="preserve"> </w:t>
      </w:r>
      <w:r w:rsidR="00857040">
        <w:rPr>
          <w:szCs w:val="24"/>
        </w:rPr>
        <w:t xml:space="preserve">die höchsten Informationskosten mit sich bringt. </w:t>
      </w:r>
      <w:r w:rsidR="00D156BC">
        <w:rPr>
          <w:szCs w:val="24"/>
        </w:rPr>
        <w:t>Dies</w:t>
      </w:r>
      <w:r w:rsidR="00627648">
        <w:rPr>
          <w:szCs w:val="24"/>
        </w:rPr>
        <w:t xml:space="preserve"> ist</w:t>
      </w:r>
      <w:r w:rsidR="002510C7">
        <w:rPr>
          <w:szCs w:val="24"/>
        </w:rPr>
        <w:t xml:space="preserve"> besonders relevant für kleinere </w:t>
      </w:r>
      <w:r w:rsidR="002510C7">
        <w:rPr>
          <w:szCs w:val="24"/>
        </w:rPr>
        <w:lastRenderedPageBreak/>
        <w:t>Unternehme</w:t>
      </w:r>
      <w:r w:rsidR="00627648">
        <w:rPr>
          <w:szCs w:val="24"/>
        </w:rPr>
        <w:t xml:space="preserve">n, da die Kosten </w:t>
      </w:r>
      <w:r w:rsidR="00D156BC">
        <w:rPr>
          <w:szCs w:val="24"/>
        </w:rPr>
        <w:t>für</w:t>
      </w:r>
      <w:r w:rsidR="00627648">
        <w:rPr>
          <w:szCs w:val="24"/>
        </w:rPr>
        <w:t xml:space="preserve"> externe</w:t>
      </w:r>
      <w:r w:rsidR="00D156BC">
        <w:rPr>
          <w:szCs w:val="24"/>
        </w:rPr>
        <w:t>s</w:t>
      </w:r>
      <w:r w:rsidR="00627648">
        <w:rPr>
          <w:szCs w:val="24"/>
        </w:rPr>
        <w:t xml:space="preserve"> </w:t>
      </w:r>
      <w:r w:rsidR="00D156BC">
        <w:rPr>
          <w:szCs w:val="24"/>
        </w:rPr>
        <w:t xml:space="preserve">Eigenkapital demnach </w:t>
      </w:r>
      <w:r w:rsidR="00627648">
        <w:rPr>
          <w:szCs w:val="24"/>
        </w:rPr>
        <w:t>höher ausfallen</w:t>
      </w:r>
      <w:r w:rsidR="00F02C77">
        <w:rPr>
          <w:szCs w:val="24"/>
        </w:rPr>
        <w:t>.</w:t>
      </w:r>
      <w:r w:rsidR="00DB6FC9">
        <w:rPr>
          <w:rStyle w:val="Funotenzeichen"/>
          <w:szCs w:val="24"/>
        </w:rPr>
        <w:footnoteReference w:id="96"/>
      </w:r>
      <w:r w:rsidR="00F02C77">
        <w:rPr>
          <w:szCs w:val="24"/>
        </w:rPr>
        <w:t xml:space="preserve"> </w:t>
      </w:r>
      <w:r w:rsidR="000F5649" w:rsidRPr="000F5649">
        <w:rPr>
          <w:szCs w:val="24"/>
        </w:rPr>
        <w:t>Daher</w:t>
      </w:r>
      <w:r w:rsidR="002C34F9" w:rsidRPr="000F5649">
        <w:rPr>
          <w:szCs w:val="24"/>
        </w:rPr>
        <w:t xml:space="preserve"> wird vermutet, dass </w:t>
      </w:r>
      <w:r w:rsidR="000F5649" w:rsidRPr="000F5649">
        <w:rPr>
          <w:szCs w:val="24"/>
        </w:rPr>
        <w:t>Kleinstunternehmen eher auf flexible Schuldenfinanzierung d</w:t>
      </w:r>
      <w:r w:rsidR="000F5649">
        <w:rPr>
          <w:szCs w:val="24"/>
        </w:rPr>
        <w:t>urch</w:t>
      </w:r>
      <w:r w:rsidR="000F5649" w:rsidRPr="000F5649">
        <w:rPr>
          <w:i/>
          <w:iCs/>
          <w:szCs w:val="24"/>
        </w:rPr>
        <w:t xml:space="preserve"> </w:t>
      </w:r>
      <w:r w:rsidR="000F5649" w:rsidRPr="0099490F">
        <w:rPr>
          <w:i/>
          <w:iCs/>
          <w:szCs w:val="24"/>
        </w:rPr>
        <w:t>Kreditlinien, Überziehung von Bankkonten und Kreditkarten</w:t>
      </w:r>
      <w:r w:rsidR="000F5649">
        <w:rPr>
          <w:i/>
          <w:iCs/>
          <w:szCs w:val="24"/>
        </w:rPr>
        <w:t xml:space="preserve"> </w:t>
      </w:r>
      <w:r w:rsidR="000F5649" w:rsidRPr="000F5649">
        <w:rPr>
          <w:szCs w:val="24"/>
        </w:rPr>
        <w:t>setzen als</w:t>
      </w:r>
      <w:r w:rsidR="00EE1DE8">
        <w:rPr>
          <w:szCs w:val="24"/>
        </w:rPr>
        <w:t xml:space="preserve"> größere KMUs.</w:t>
      </w:r>
    </w:p>
    <w:p w14:paraId="171DDBDE" w14:textId="3A06C25E" w:rsidR="00EE1DE8" w:rsidRDefault="00EE1DE8" w:rsidP="00427C9E">
      <w:pPr>
        <w:spacing w:after="120" w:line="240" w:lineRule="auto"/>
        <w:ind w:left="567" w:hanging="567"/>
      </w:pPr>
      <w:r w:rsidRPr="00B37B1F">
        <w:rPr>
          <w:b/>
          <w:bCs/>
        </w:rPr>
        <w:t>H</w:t>
      </w:r>
      <w:r w:rsidR="00667DD8">
        <w:rPr>
          <w:b/>
          <w:bCs/>
        </w:rPr>
        <w:t>3</w:t>
      </w:r>
      <w:r w:rsidRPr="00B37B1F">
        <w:rPr>
          <w:b/>
          <w:bCs/>
        </w:rPr>
        <w:t>:</w:t>
      </w:r>
      <w:r>
        <w:tab/>
        <w:t>Kleinstunternehmen w</w:t>
      </w:r>
      <w:r w:rsidRPr="00BB6DD2">
        <w:t xml:space="preserve">eisen </w:t>
      </w:r>
      <w:r>
        <w:t>seltener</w:t>
      </w:r>
      <w:r w:rsidRPr="00BB6DD2">
        <w:t xml:space="preserve"> das Finanzierungsmuster „F</w:t>
      </w:r>
      <w:r>
        <w:t>inanzierung durch Lieferantenkredite</w:t>
      </w:r>
      <w:r w:rsidRPr="00BB6DD2">
        <w:t xml:space="preserve">“ auf als größere KMUs </w:t>
      </w:r>
    </w:p>
    <w:p w14:paraId="48299454" w14:textId="41234797" w:rsidR="00646562" w:rsidRPr="0008096B" w:rsidRDefault="00667DD8" w:rsidP="00FF1A3C">
      <w:pPr>
        <w:spacing w:after="120"/>
      </w:pPr>
      <w:r w:rsidRPr="00F14A7D">
        <w:t xml:space="preserve">Lieferantenkredite </w:t>
      </w:r>
      <w:r w:rsidR="00F14A7D" w:rsidRPr="00F14A7D">
        <w:t>stellen eine Form der kurzfristigen Schuldenf</w:t>
      </w:r>
      <w:r w:rsidR="00F14A7D">
        <w:t xml:space="preserve">inanzierung dar, </w:t>
      </w:r>
      <w:r w:rsidR="00253D27">
        <w:t xml:space="preserve">welche </w:t>
      </w:r>
      <w:r w:rsidR="00253D27" w:rsidRPr="00F14A7D">
        <w:t>anstelle</w:t>
      </w:r>
      <w:r w:rsidR="00F14A7D">
        <w:t xml:space="preserve"> von Finanzinstituten von Lieferanten gewährt werden.  </w:t>
      </w:r>
      <w:r w:rsidR="00253D27" w:rsidRPr="00253D27">
        <w:t xml:space="preserve">Dabei </w:t>
      </w:r>
      <w:r w:rsidR="00E93B57">
        <w:t xml:space="preserve">bewilligt ein </w:t>
      </w:r>
      <w:r w:rsidR="00253D27">
        <w:t>Liefer</w:t>
      </w:r>
      <w:r w:rsidR="00B652ED">
        <w:t>ant</w:t>
      </w:r>
      <w:r w:rsidR="00253D27">
        <w:t xml:space="preserve"> </w:t>
      </w:r>
      <w:r w:rsidR="00253D27" w:rsidRPr="00253D27">
        <w:t xml:space="preserve">dem </w:t>
      </w:r>
      <w:r w:rsidR="00253D27">
        <w:t>Kunden</w:t>
      </w:r>
      <w:r w:rsidR="00253D27" w:rsidRPr="00253D27">
        <w:t xml:space="preserve"> eine Fristverschiebung der Zahlung</w:t>
      </w:r>
      <w:r w:rsidR="00253D27">
        <w:t xml:space="preserve">, wobei </w:t>
      </w:r>
      <w:r w:rsidR="00B652ED">
        <w:t>bei</w:t>
      </w:r>
      <w:r w:rsidR="00253D27">
        <w:t xml:space="preserve"> vorzeitige</w:t>
      </w:r>
      <w:r w:rsidR="00B652ED">
        <w:t>r</w:t>
      </w:r>
      <w:r w:rsidR="00253D27">
        <w:t xml:space="preserve"> Rück</w:t>
      </w:r>
      <w:r w:rsidR="00B652ED">
        <w:t>-</w:t>
      </w:r>
      <w:r w:rsidR="00253D27">
        <w:t>zahlung ein Skonto gewährt wird.</w:t>
      </w:r>
      <w:r w:rsidR="009C6328">
        <w:t xml:space="preserve"> </w:t>
      </w:r>
      <w:r w:rsidR="009C6328" w:rsidRPr="009C6328">
        <w:t>Die Höhe des Skontos repräsentiert gleichzeitig die implizierte Zinsrate, welche deutlich höher</w:t>
      </w:r>
      <w:r w:rsidR="009C6328">
        <w:t xml:space="preserve"> als bei</w:t>
      </w:r>
      <w:r w:rsidR="006E1AA7">
        <w:t xml:space="preserve"> Schuldenfinanzierung durch</w:t>
      </w:r>
      <w:r w:rsidR="009C6328" w:rsidRPr="009C6328">
        <w:t xml:space="preserve"> Finanz</w:t>
      </w:r>
      <w:r w:rsidR="006E1AA7">
        <w:t>-</w:t>
      </w:r>
      <w:r w:rsidR="009C6328" w:rsidRPr="009C6328">
        <w:t>institute</w:t>
      </w:r>
      <w:r w:rsidR="00D4714A">
        <w:t>n</w:t>
      </w:r>
      <w:r w:rsidR="009C6328" w:rsidRPr="009C6328">
        <w:t xml:space="preserve"> </w:t>
      </w:r>
      <w:r w:rsidR="009C6328">
        <w:t>ausfällt.</w:t>
      </w:r>
      <w:r w:rsidR="009C6328">
        <w:rPr>
          <w:rStyle w:val="Funotenzeichen"/>
        </w:rPr>
        <w:footnoteReference w:id="97"/>
      </w:r>
      <w:r w:rsidR="009C6328">
        <w:t xml:space="preserve"> </w:t>
      </w:r>
      <w:r w:rsidR="009C6328" w:rsidRPr="0030023B">
        <w:t xml:space="preserve">Zudem </w:t>
      </w:r>
      <w:r w:rsidR="0030023B" w:rsidRPr="0030023B">
        <w:t xml:space="preserve">stellen kleinere Unternehmen durch die oben aufgeführten </w:t>
      </w:r>
      <w:r w:rsidR="0030023B" w:rsidRPr="006E1AA7">
        <w:rPr>
          <w:spacing w:val="-2"/>
        </w:rPr>
        <w:t>Proble</w:t>
      </w:r>
      <w:r w:rsidR="006E1AA7" w:rsidRPr="006E1AA7">
        <w:rPr>
          <w:spacing w:val="-2"/>
        </w:rPr>
        <w:t>me</w:t>
      </w:r>
      <w:r w:rsidR="0030023B" w:rsidRPr="006E1AA7">
        <w:rPr>
          <w:spacing w:val="-2"/>
        </w:rPr>
        <w:t xml:space="preserve"> bezüglich Informationsasymmetrie </w:t>
      </w:r>
      <w:r w:rsidR="00611AE0" w:rsidRPr="006E1AA7">
        <w:rPr>
          <w:spacing w:val="-2"/>
        </w:rPr>
        <w:t>ein höheres Risiko für die Lieferanten dar.</w:t>
      </w:r>
      <w:r w:rsidR="00611AE0" w:rsidRPr="006E1AA7">
        <w:rPr>
          <w:rStyle w:val="Funotenzeichen"/>
          <w:spacing w:val="-2"/>
        </w:rPr>
        <w:footnoteReference w:id="98"/>
      </w:r>
      <w:r w:rsidR="009A6B5A">
        <w:t xml:space="preserve"> Aufgrund dessen ist zu vermuten, dass Kleinstunternehmen seltener auf Lieferantenkredite zurückgreifen als größere KMUs.</w:t>
      </w:r>
    </w:p>
    <w:p w14:paraId="7DA2CE9A" w14:textId="19690602" w:rsidR="009A6B5A" w:rsidRDefault="009A6B5A" w:rsidP="00427C9E">
      <w:pPr>
        <w:spacing w:after="120" w:line="240" w:lineRule="auto"/>
        <w:ind w:left="567" w:hanging="567"/>
      </w:pPr>
      <w:r w:rsidRPr="00B37B1F">
        <w:rPr>
          <w:b/>
          <w:bCs/>
        </w:rPr>
        <w:t>H</w:t>
      </w:r>
      <w:r>
        <w:rPr>
          <w:b/>
          <w:bCs/>
        </w:rPr>
        <w:t>4</w:t>
      </w:r>
      <w:r w:rsidRPr="00B37B1F">
        <w:rPr>
          <w:b/>
          <w:bCs/>
        </w:rPr>
        <w:t>:</w:t>
      </w:r>
      <w:r>
        <w:tab/>
        <w:t>Kleinstunternehmen w</w:t>
      </w:r>
      <w:r w:rsidRPr="00BB6DD2">
        <w:t xml:space="preserve">eisen </w:t>
      </w:r>
      <w:r>
        <w:t>seltener</w:t>
      </w:r>
      <w:r w:rsidRPr="00BB6DD2">
        <w:t xml:space="preserve"> das Finanzierungsmuster „</w:t>
      </w:r>
      <w:r w:rsidR="005C2F24">
        <w:t>S</w:t>
      </w:r>
      <w:r w:rsidR="00A271BA" w:rsidRPr="00A271BA">
        <w:t>taatlich subventionierte Finanzierung</w:t>
      </w:r>
      <w:r w:rsidRPr="00BB6DD2">
        <w:t xml:space="preserve">“ auf als größere KMUs </w:t>
      </w:r>
    </w:p>
    <w:p w14:paraId="04188BD4" w14:textId="70C6E714" w:rsidR="00646562" w:rsidRDefault="0008096B" w:rsidP="00FF1A3C">
      <w:pPr>
        <w:spacing w:after="120"/>
      </w:pPr>
      <w:r>
        <w:t>Staatlich subventioniere Zuschüsse sind oftmals mit einem hohen bürokratischen Aufwand verbunden.</w:t>
      </w:r>
      <w:r w:rsidRPr="0008096B">
        <w:t xml:space="preserve"> </w:t>
      </w:r>
      <w:r>
        <w:t xml:space="preserve">Zudem </w:t>
      </w:r>
      <w:r w:rsidR="009E1A0E">
        <w:t>scheint</w:t>
      </w:r>
      <w:r w:rsidR="00D043DA">
        <w:t xml:space="preserve"> bei Kleinstunternehmen</w:t>
      </w:r>
      <w:r>
        <w:t xml:space="preserve"> eine Informationslücke bezüglich der Verfügbarkeit von Zuschüssen </w:t>
      </w:r>
      <w:r w:rsidR="009E1A0E">
        <w:t>zu existieren</w:t>
      </w:r>
      <w:r>
        <w:t>.</w:t>
      </w:r>
      <w:r>
        <w:rPr>
          <w:rStyle w:val="Funotenzeichen"/>
        </w:rPr>
        <w:footnoteReference w:id="99"/>
      </w:r>
      <w:r>
        <w:t xml:space="preserve"> </w:t>
      </w:r>
      <w:r w:rsidR="00D043DA">
        <w:t>Dies deutet an, dass Kleinstunternehmen seltener durch Zuschüsse finanziert sind als größere KMUs.</w:t>
      </w:r>
    </w:p>
    <w:p w14:paraId="3BF3E39C" w14:textId="62B59AFD" w:rsidR="002103C9" w:rsidRDefault="002103C9" w:rsidP="00427C9E">
      <w:pPr>
        <w:spacing w:after="120" w:line="240" w:lineRule="auto"/>
        <w:ind w:left="567" w:hanging="567"/>
      </w:pPr>
      <w:r w:rsidRPr="00B37B1F">
        <w:rPr>
          <w:b/>
          <w:bCs/>
        </w:rPr>
        <w:t>H</w:t>
      </w:r>
      <w:r>
        <w:rPr>
          <w:b/>
          <w:bCs/>
        </w:rPr>
        <w:t>5</w:t>
      </w:r>
      <w:r w:rsidRPr="00B37B1F">
        <w:rPr>
          <w:b/>
          <w:bCs/>
        </w:rPr>
        <w:t>:</w:t>
      </w:r>
      <w:r>
        <w:tab/>
        <w:t>Kleinstunternehmen w</w:t>
      </w:r>
      <w:r w:rsidRPr="00BB6DD2">
        <w:t xml:space="preserve">eisen </w:t>
      </w:r>
      <w:r>
        <w:t>seltener</w:t>
      </w:r>
      <w:r w:rsidRPr="00BB6DD2">
        <w:t xml:space="preserve"> das Finanzierungsmuster „</w:t>
      </w:r>
      <w:r>
        <w:t xml:space="preserve">Asset-basierte </w:t>
      </w:r>
      <w:r w:rsidRPr="00A271BA">
        <w:t>Finanzierung</w:t>
      </w:r>
      <w:r w:rsidRPr="00BB6DD2">
        <w:t xml:space="preserve">“ auf als größere KMUs </w:t>
      </w:r>
    </w:p>
    <w:p w14:paraId="643FAA04" w14:textId="3EFCDE69" w:rsidR="002103C9" w:rsidRDefault="008A4CE4" w:rsidP="00FF1A3C">
      <w:pPr>
        <w:spacing w:after="120"/>
        <w:rPr>
          <w:spacing w:val="-2"/>
          <w:szCs w:val="24"/>
        </w:rPr>
      </w:pPr>
      <w:r w:rsidRPr="008A4CE4">
        <w:rPr>
          <w:i/>
          <w:iCs/>
          <w:spacing w:val="-2"/>
          <w:szCs w:val="24"/>
        </w:rPr>
        <w:t xml:space="preserve">Leasing, Ratenkauf und Factoring </w:t>
      </w:r>
      <w:r w:rsidR="00BF4965">
        <w:rPr>
          <w:spacing w:val="-2"/>
          <w:szCs w:val="24"/>
        </w:rPr>
        <w:t>stellen</w:t>
      </w:r>
      <w:r w:rsidRPr="008A4CE4">
        <w:rPr>
          <w:spacing w:val="-2"/>
          <w:szCs w:val="24"/>
        </w:rPr>
        <w:t xml:space="preserve"> allesamt Formen der Asset-basierten Finanzierung</w:t>
      </w:r>
      <w:r w:rsidR="00BF4965">
        <w:rPr>
          <w:spacing w:val="-2"/>
          <w:szCs w:val="24"/>
        </w:rPr>
        <w:t xml:space="preserve"> dar</w:t>
      </w:r>
      <w:r w:rsidRPr="008A4CE4">
        <w:rPr>
          <w:spacing w:val="-2"/>
          <w:szCs w:val="24"/>
        </w:rPr>
        <w:t>.</w:t>
      </w:r>
      <w:r w:rsidR="00143CC9">
        <w:rPr>
          <w:spacing w:val="-2"/>
          <w:szCs w:val="24"/>
        </w:rPr>
        <w:t xml:space="preserve"> </w:t>
      </w:r>
      <w:r w:rsidR="00CD2D39">
        <w:rPr>
          <w:spacing w:val="-2"/>
          <w:szCs w:val="24"/>
        </w:rPr>
        <w:t>Beim Leasing überlässt der Vermieter dem Mieter ein</w:t>
      </w:r>
      <w:r w:rsidR="00BF4965">
        <w:rPr>
          <w:spacing w:val="-2"/>
          <w:szCs w:val="24"/>
        </w:rPr>
        <w:t xml:space="preserve">en Vermögenswert für eine bestimmte Frist, wobei der Unterschied zum Mieten darin besteht, dass das </w:t>
      </w:r>
      <w:r w:rsidR="009667EB">
        <w:rPr>
          <w:spacing w:val="-2"/>
          <w:szCs w:val="24"/>
        </w:rPr>
        <w:t xml:space="preserve">wirtschaftliche </w:t>
      </w:r>
      <w:r w:rsidR="00BF4965">
        <w:rPr>
          <w:spacing w:val="-2"/>
          <w:szCs w:val="24"/>
        </w:rPr>
        <w:t>Eigentum beim Vermieter bleibt.</w:t>
      </w:r>
      <w:r w:rsidR="009667EB">
        <w:rPr>
          <w:rStyle w:val="Funotenzeichen"/>
          <w:spacing w:val="-2"/>
          <w:szCs w:val="24"/>
        </w:rPr>
        <w:footnoteReference w:id="100"/>
      </w:r>
      <w:r w:rsidR="004E6BAF">
        <w:rPr>
          <w:spacing w:val="-2"/>
          <w:szCs w:val="24"/>
        </w:rPr>
        <w:t xml:space="preserve"> </w:t>
      </w:r>
      <w:r w:rsidR="00BC584C">
        <w:rPr>
          <w:spacing w:val="-2"/>
          <w:szCs w:val="24"/>
        </w:rPr>
        <w:t xml:space="preserve">Zudem ist Leasing mit der Minderung von Agentenkosten verbunden, welche üblicherweise durch Interessenkonflikte zwischen Management und Anteilseignern entstehen, und eher bei </w:t>
      </w:r>
      <w:r w:rsidR="00BC584C">
        <w:rPr>
          <w:spacing w:val="-2"/>
          <w:szCs w:val="24"/>
        </w:rPr>
        <w:lastRenderedPageBreak/>
        <w:t>größeren Unternehmen auftreten. Dies deutet darauf hin, dass größere Unternehmen häufiger Leasing verwenden als Kleinere</w:t>
      </w:r>
      <w:r w:rsidR="000B6A0A">
        <w:rPr>
          <w:spacing w:val="-2"/>
          <w:szCs w:val="24"/>
        </w:rPr>
        <w:t>.</w:t>
      </w:r>
      <w:r w:rsidR="00574C04">
        <w:rPr>
          <w:rStyle w:val="Funotenzeichen"/>
          <w:spacing w:val="-2"/>
          <w:szCs w:val="24"/>
        </w:rPr>
        <w:footnoteReference w:id="101"/>
      </w:r>
    </w:p>
    <w:p w14:paraId="543C6889" w14:textId="5F86A741" w:rsidR="000B6A0A" w:rsidRDefault="0097654D" w:rsidP="00FF1A3C">
      <w:pPr>
        <w:spacing w:after="120"/>
        <w:rPr>
          <w:szCs w:val="24"/>
        </w:rPr>
      </w:pPr>
      <w:r>
        <w:rPr>
          <w:szCs w:val="24"/>
        </w:rPr>
        <w:t xml:space="preserve">Beim Factoring </w:t>
      </w:r>
      <w:r w:rsidR="00E44A17">
        <w:rPr>
          <w:szCs w:val="24"/>
        </w:rPr>
        <w:t>verkaufen Unternehmen</w:t>
      </w:r>
      <w:r>
        <w:rPr>
          <w:szCs w:val="24"/>
        </w:rPr>
        <w:t xml:space="preserve"> Forderungstitel an Factoringinstitute, </w:t>
      </w:r>
      <w:r w:rsidR="007308E5">
        <w:rPr>
          <w:szCs w:val="24"/>
        </w:rPr>
        <w:t xml:space="preserve">wobei die Höhe der Forderung mit einem Abschlag zeitnah an das verkaufende Unternehmen gezahlt wird. </w:t>
      </w:r>
      <w:r w:rsidR="00E44A17">
        <w:rPr>
          <w:szCs w:val="24"/>
        </w:rPr>
        <w:t>Durch diesen Abschlag ist Factoring üblicherweise mit höheren Kosten verbunden im Vergleich zu Bankkrediten oder -darlehen.</w:t>
      </w:r>
      <w:r w:rsidR="00E44A17">
        <w:rPr>
          <w:rStyle w:val="Funotenzeichen"/>
          <w:szCs w:val="24"/>
        </w:rPr>
        <w:footnoteReference w:id="102"/>
      </w:r>
      <w:r w:rsidR="003E7CDD">
        <w:rPr>
          <w:szCs w:val="24"/>
        </w:rPr>
        <w:t xml:space="preserve"> Zudem scheinen bei Kleinstunternehmen Schwierigkeiten beim Zugang zu Factoring aufzutreten.</w:t>
      </w:r>
      <w:r w:rsidR="003E7CDD">
        <w:rPr>
          <w:rStyle w:val="Funotenzeichen"/>
          <w:szCs w:val="24"/>
        </w:rPr>
        <w:footnoteReference w:id="103"/>
      </w:r>
      <w:r w:rsidR="003E7CDD">
        <w:rPr>
          <w:szCs w:val="24"/>
        </w:rPr>
        <w:t xml:space="preserve"> So ist zu vermuten, dass Kleinstunternehmen seltener Factoring verwenden als größere KMUs.</w:t>
      </w:r>
    </w:p>
    <w:p w14:paraId="20777017" w14:textId="593D1CBD" w:rsidR="00F7413F" w:rsidRDefault="00F7413F" w:rsidP="00427C9E">
      <w:pPr>
        <w:spacing w:after="120" w:line="240" w:lineRule="auto"/>
        <w:ind w:left="567" w:hanging="567"/>
      </w:pPr>
      <w:r w:rsidRPr="00B37B1F">
        <w:rPr>
          <w:b/>
          <w:bCs/>
        </w:rPr>
        <w:t>H</w:t>
      </w:r>
      <w:r>
        <w:rPr>
          <w:b/>
          <w:bCs/>
        </w:rPr>
        <w:t>6</w:t>
      </w:r>
      <w:r w:rsidRPr="00B37B1F">
        <w:rPr>
          <w:b/>
          <w:bCs/>
        </w:rPr>
        <w:t>:</w:t>
      </w:r>
      <w:r>
        <w:tab/>
        <w:t>Kleinstunternehmen w</w:t>
      </w:r>
      <w:r w:rsidRPr="00BB6DD2">
        <w:t xml:space="preserve">eisen </w:t>
      </w:r>
      <w:r>
        <w:t>häufiger</w:t>
      </w:r>
      <w:r w:rsidRPr="00BB6DD2">
        <w:t xml:space="preserve"> das Finanzierungsmuster </w:t>
      </w:r>
      <w:r>
        <w:t>„Innenf</w:t>
      </w:r>
      <w:r w:rsidRPr="00A271BA">
        <w:t>inanzierung</w:t>
      </w:r>
      <w:r w:rsidRPr="00BB6DD2">
        <w:t xml:space="preserve">“ auf als größere KMUs </w:t>
      </w:r>
    </w:p>
    <w:p w14:paraId="2113D6E2" w14:textId="761E4D89" w:rsidR="00F7413F" w:rsidRPr="003B2800" w:rsidRDefault="00F7413F" w:rsidP="00F7413F">
      <w:pPr>
        <w:spacing w:after="120"/>
      </w:pPr>
      <w:r w:rsidRPr="003B2800">
        <w:rPr>
          <w:szCs w:val="24"/>
        </w:rPr>
        <w:t xml:space="preserve">Das Finanzierungsmuster „Innenfinanzierung“ beinhaltet alle Unternehmen, welche weder externe Finanzierungsquellen nutzen, noch auf </w:t>
      </w:r>
      <w:r w:rsidRPr="003B2800">
        <w:rPr>
          <w:i/>
          <w:iCs/>
          <w:szCs w:val="24"/>
        </w:rPr>
        <w:t xml:space="preserve">Gewinnthesaurierung und Vermögensumschichtung </w:t>
      </w:r>
      <w:r w:rsidRPr="003B2800">
        <w:rPr>
          <w:szCs w:val="24"/>
        </w:rPr>
        <w:t xml:space="preserve">zurückgreifen. Diese Unternehmen verwenden somit beispielsweise Finanzierung aus Rückstellungen, Abschreibungen, Kapitalfreisetzung oder stillen Reserven. </w:t>
      </w:r>
      <w:r w:rsidR="008B17A0" w:rsidRPr="003B2800">
        <w:rPr>
          <w:szCs w:val="24"/>
        </w:rPr>
        <w:t xml:space="preserve">Im Einklang mit vorheriger Literatur sowie mit den oben aufgeführten </w:t>
      </w:r>
      <w:r w:rsidR="00CE084A" w:rsidRPr="003B2800">
        <w:rPr>
          <w:szCs w:val="24"/>
        </w:rPr>
        <w:t>Schwierigkeiten</w:t>
      </w:r>
      <w:r w:rsidR="008B17A0" w:rsidRPr="003B2800">
        <w:rPr>
          <w:szCs w:val="24"/>
        </w:rPr>
        <w:t xml:space="preserve"> </w:t>
      </w:r>
      <w:r w:rsidR="00CE084A" w:rsidRPr="003B2800">
        <w:rPr>
          <w:szCs w:val="24"/>
        </w:rPr>
        <w:t>bei</w:t>
      </w:r>
      <w:r w:rsidR="008B17A0" w:rsidRPr="003B2800">
        <w:rPr>
          <w:szCs w:val="24"/>
        </w:rPr>
        <w:t xml:space="preserve"> externen Finanzierungsquellen ist zu vermuten, dass </w:t>
      </w:r>
      <w:r w:rsidR="001A4D05" w:rsidRPr="003B2800">
        <w:rPr>
          <w:szCs w:val="24"/>
        </w:rPr>
        <w:t xml:space="preserve">sich </w:t>
      </w:r>
      <w:r w:rsidR="008B17A0" w:rsidRPr="003B2800">
        <w:rPr>
          <w:szCs w:val="24"/>
        </w:rPr>
        <w:t>Kleinstunternehmen</w:t>
      </w:r>
      <w:r w:rsidR="003402DD" w:rsidRPr="003B2800">
        <w:rPr>
          <w:szCs w:val="24"/>
        </w:rPr>
        <w:t xml:space="preserve"> eher</w:t>
      </w:r>
      <w:r w:rsidR="008B17A0" w:rsidRPr="003B2800">
        <w:rPr>
          <w:szCs w:val="24"/>
        </w:rPr>
        <w:t xml:space="preserve"> </w:t>
      </w:r>
      <w:r w:rsidR="003402DD" w:rsidRPr="003B2800">
        <w:rPr>
          <w:szCs w:val="24"/>
        </w:rPr>
        <w:t xml:space="preserve">ausschließlich </w:t>
      </w:r>
      <w:r w:rsidR="0022449B" w:rsidRPr="003B2800">
        <w:rPr>
          <w:szCs w:val="24"/>
        </w:rPr>
        <w:t>durch</w:t>
      </w:r>
      <w:r w:rsidR="001A4D05" w:rsidRPr="003B2800">
        <w:rPr>
          <w:szCs w:val="24"/>
        </w:rPr>
        <w:t xml:space="preserve"> interne Mittel</w:t>
      </w:r>
      <w:r w:rsidR="0022449B" w:rsidRPr="003B2800">
        <w:rPr>
          <w:szCs w:val="24"/>
        </w:rPr>
        <w:t xml:space="preserve"> </w:t>
      </w:r>
      <w:r w:rsidR="001A4D05" w:rsidRPr="003B2800">
        <w:rPr>
          <w:szCs w:val="24"/>
        </w:rPr>
        <w:t>finanzieren</w:t>
      </w:r>
      <w:r w:rsidR="008B17A0" w:rsidRPr="003B2800">
        <w:rPr>
          <w:szCs w:val="24"/>
        </w:rPr>
        <w:t xml:space="preserve"> als größere KMUs. </w:t>
      </w:r>
    </w:p>
    <w:p w14:paraId="7BC1A5EE" w14:textId="1789E3C7" w:rsidR="00AD16F9" w:rsidRDefault="00AD16F9" w:rsidP="001A4E15">
      <w:pPr>
        <w:pStyle w:val="berschrift1"/>
        <w:numPr>
          <w:ilvl w:val="0"/>
          <w:numId w:val="2"/>
        </w:numPr>
      </w:pPr>
      <w:bookmarkStart w:id="50" w:name="_Toc88425839"/>
      <w:bookmarkStart w:id="51" w:name="_Ref88428676"/>
      <w:bookmarkStart w:id="52" w:name="_Ref88429221"/>
      <w:bookmarkEnd w:id="49"/>
      <w:r>
        <w:t>Regressionsergebnisse</w:t>
      </w:r>
      <w:bookmarkEnd w:id="50"/>
      <w:bookmarkEnd w:id="51"/>
      <w:bookmarkEnd w:id="52"/>
    </w:p>
    <w:p w14:paraId="0A9E3400" w14:textId="4BDC29CB" w:rsidR="000F36CE" w:rsidRDefault="000F36CE" w:rsidP="001A4E15">
      <w:pPr>
        <w:pStyle w:val="berschrift2"/>
        <w:numPr>
          <w:ilvl w:val="0"/>
          <w:numId w:val="6"/>
        </w:numPr>
        <w:spacing w:after="120" w:line="240" w:lineRule="auto"/>
        <w:ind w:left="425" w:hanging="425"/>
      </w:pPr>
      <w:bookmarkStart w:id="53" w:name="_Toc88425840"/>
      <w:r>
        <w:t>Hauptergebnisse</w:t>
      </w:r>
      <w:bookmarkEnd w:id="53"/>
    </w:p>
    <w:p w14:paraId="4C8A470A" w14:textId="476042AD" w:rsidR="002100AB" w:rsidRDefault="00D70ED1" w:rsidP="00234455">
      <w:pPr>
        <w:spacing w:after="120"/>
      </w:pPr>
      <w:r>
        <w:t xml:space="preserve">Die Ergebnisse des multivariaten Probit Modells sind in Tabelle </w:t>
      </w:r>
      <w:r w:rsidR="00006603">
        <w:t>6</w:t>
      </w:r>
      <w:r>
        <w:t xml:space="preserve"> aufgeführt. Dabei werden die Regressionskoeffizienten sowie die Standardfehler in Klammern angegeben. </w:t>
      </w:r>
      <w:r w:rsidR="00F16B55">
        <w:t xml:space="preserve">Die dazugehörigen </w:t>
      </w:r>
      <w:r w:rsidR="009119BA">
        <w:t>Korrelation</w:t>
      </w:r>
      <w:r w:rsidR="00F16B55">
        <w:t>skoeffizienten</w:t>
      </w:r>
      <w:r w:rsidR="009119BA" w:rsidRPr="009119BA">
        <w:rPr>
          <w:i/>
          <w:iCs/>
        </w:rPr>
        <w:t xml:space="preserve"> </w:t>
      </w:r>
      <w:r w:rsidR="009119BA" w:rsidRPr="009119BA">
        <w:rPr>
          <w:rFonts w:cs="Times New Roman"/>
          <w:i/>
          <w:iCs/>
        </w:rPr>
        <w:t>ρ</w:t>
      </w:r>
      <w:r w:rsidR="009119BA">
        <w:t xml:space="preserve"> der</w:t>
      </w:r>
      <w:r w:rsidR="00F16B55">
        <w:t xml:space="preserve"> Residuen der</w:t>
      </w:r>
      <w:r w:rsidR="009119BA">
        <w:t xml:space="preserve"> abhängigen Variablen</w:t>
      </w:r>
      <w:r w:rsidR="00F16B55">
        <w:t xml:space="preserve"> befinden sich in Anhang </w:t>
      </w:r>
      <w:r w:rsidR="001426B1">
        <w:t>B</w:t>
      </w:r>
      <w:r w:rsidR="00F16B55">
        <w:t>.3.</w:t>
      </w:r>
      <w:r w:rsidR="006676AC">
        <w:t xml:space="preserve"> Zusätzlich werden die</w:t>
      </w:r>
      <w:r w:rsidR="001F35E4">
        <w:t xml:space="preserve"> E</w:t>
      </w:r>
      <w:r w:rsidR="006676AC">
        <w:t xml:space="preserve">rgebnisse des </w:t>
      </w:r>
      <m:oMath>
        <m:r>
          <w:rPr>
            <w:rFonts w:ascii="Cambria Math" w:hAnsi="Cambria Math"/>
          </w:rPr>
          <m:t>t</m:t>
        </m:r>
      </m:oMath>
      <w:r w:rsidR="006676AC">
        <w:t>-Tests</w:t>
      </w:r>
      <w:r w:rsidR="001F35E4">
        <w:t xml:space="preserve"> zur Untersuchung der </w:t>
      </w:r>
      <w:r w:rsidR="00FF32B3">
        <w:t>statistischen Gleichheit</w:t>
      </w:r>
      <w:r w:rsidR="001F35E4">
        <w:t xml:space="preserve"> zwischen</w:t>
      </w:r>
      <w:r w:rsidR="00FF32B3">
        <w:t xml:space="preserve"> den Koeffizienten der Kleinstunternehmen und denen der kleinen Unternehmen</w:t>
      </w:r>
      <w:r w:rsidR="001F35E4">
        <w:t xml:space="preserve"> </w:t>
      </w:r>
      <w:r w:rsidR="00FF32B3">
        <w:t>dargestellt</w:t>
      </w:r>
      <w:r w:rsidR="001F35E4">
        <w:t>.</w:t>
      </w:r>
      <w:r w:rsidR="007F6DED">
        <w:rPr>
          <w:rStyle w:val="Funotenzeichen"/>
        </w:rPr>
        <w:footnoteReference w:id="104"/>
      </w:r>
    </w:p>
    <w:p w14:paraId="04B88649" w14:textId="15D6BA3B" w:rsidR="002100AB" w:rsidRDefault="00FF32B3" w:rsidP="00234455">
      <w:pPr>
        <w:spacing w:after="120"/>
      </w:pPr>
      <w:r>
        <w:t xml:space="preserve">Die Regressionsergebnisse bestätigen alle sechs aufgestellten Hypothesen. So </w:t>
      </w:r>
      <w:r w:rsidR="003F7E36">
        <w:t>weisen</w:t>
      </w:r>
      <w:r>
        <w:t xml:space="preserve"> Kleinstunternehmen </w:t>
      </w:r>
      <w:r w:rsidR="003F7E36">
        <w:t>mit geringer Wahrscheinlichkeit das Finanzierungsmuster „Darleh</w:t>
      </w:r>
      <w:r w:rsidR="00A93922">
        <w:t>ens</w:t>
      </w:r>
      <w:r w:rsidR="003F7E36">
        <w:t>finanzierung“ auf als kleine (</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&lt;0,01</m:t>
        </m:r>
      </m:oMath>
      <w:r w:rsidR="003F7E36">
        <w:t>) und mittlere Unternehmen</w:t>
      </w:r>
      <w:r w:rsidR="00710136">
        <w:t xml:space="preserve"> </w:t>
      </w:r>
      <w:r w:rsidR="003F7E36">
        <w:t>(</w:t>
      </w:r>
      <m:oMath>
        <m:r>
          <w:rPr>
            <w:rFonts w:ascii="Cambria Math" w:hAnsi="Cambria Math"/>
          </w:rPr>
          <m:t>β=</m:t>
        </m:r>
        <m:r>
          <w:rPr>
            <w:rFonts w:ascii="Cambria Math" w:hAnsi="Cambria Math"/>
          </w:rPr>
          <w:lastRenderedPageBreak/>
          <m:t>-0,385</m:t>
        </m:r>
      </m:oMath>
      <w:r w:rsidR="003F7E36">
        <w:t xml:space="preserve">). Dies unterstützt Hypothese H1. Darüber hinaus </w:t>
      </w:r>
      <w:r w:rsidR="004A4F17">
        <w:t>befinden sich</w:t>
      </w:r>
      <w:r w:rsidR="003F7E36">
        <w:t xml:space="preserve"> Kleinstunternehmen eher im </w:t>
      </w:r>
      <w:r w:rsidR="002D4F42">
        <w:t>Finanzierungsmuster</w:t>
      </w:r>
      <w:r w:rsidR="003F7E36">
        <w:t xml:space="preserve"> „Flexible Schuldenfinanzierung“</w:t>
      </w:r>
      <w:r w:rsidR="0047261F">
        <w:t xml:space="preserve"> als größere KMUs (</w:t>
      </w:r>
      <m:oMath>
        <m:r>
          <w:rPr>
            <w:rFonts w:ascii="Cambria Math" w:hAnsi="Cambria Math"/>
          </w:rPr>
          <m:t>β=0,291;</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&lt;0,01</m:t>
        </m:r>
      </m:oMath>
      <w:r w:rsidR="0047261F">
        <w:t>), was Hypothese H2 stützt.</w:t>
      </w:r>
      <w:r w:rsidR="002D4F42">
        <w:t xml:space="preserve"> </w:t>
      </w:r>
      <w:r w:rsidR="002D5110">
        <w:t>Ferner gehören Kleinstunternehmen seltener dem Finanzierungsmuster „Finanzierung durch Lieferantenkredite“ an als größere KMUs (</w:t>
      </w:r>
      <m:oMath>
        <m:r>
          <w:rPr>
            <w:rFonts w:ascii="Cambria Math" w:hAnsi="Cambria Math"/>
          </w:rPr>
          <m:t>β=-0,228;</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&lt;0,05</m:t>
        </m:r>
      </m:oMath>
      <w:r w:rsidR="002D5110">
        <w:t>), wodurch Hypothese H3 unterstützt wird. Außerdem unterstützen sowohl die Regression (</w:t>
      </w:r>
      <m:oMath>
        <m:r>
          <w:rPr>
            <w:rFonts w:ascii="Cambria Math" w:hAnsi="Cambria Math"/>
          </w:rPr>
          <m:t>β=-0,420</m:t>
        </m:r>
      </m:oMath>
      <w:r w:rsidR="002D5110">
        <w:t xml:space="preserve">), als auch der </w:t>
      </w:r>
      <m:oMath>
        <m:r>
          <w:rPr>
            <w:rFonts w:ascii="Cambria Math" w:hAnsi="Cambria Math"/>
          </w:rPr>
          <m:t>t</m:t>
        </m:r>
      </m:oMath>
      <w:r w:rsidR="002D5110">
        <w:t>-Test (</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&lt;0,01</m:t>
        </m:r>
      </m:oMath>
      <w:r w:rsidR="002D5110">
        <w:t>) die Hypothese H</w:t>
      </w:r>
      <w:r w:rsidR="00A86B82">
        <w:t xml:space="preserve">4. </w:t>
      </w:r>
      <w:r w:rsidR="007E0EED">
        <w:t>Dadurch, dass Kleinstunternehmen mit höherer Wahrscheinlichkeit dem Finanzierungsmuster „Asset-basierte Finanzierung“ zugehören</w:t>
      </w:r>
      <w:r w:rsidR="00341A36">
        <w:t xml:space="preserve"> als kleine (</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&lt;0,01</m:t>
        </m:r>
      </m:oMath>
      <w:r w:rsidR="00341A36">
        <w:t>) und mittlere Unternehmen (</w:t>
      </w:r>
      <m:oMath>
        <m:r>
          <w:rPr>
            <w:rFonts w:ascii="Cambria Math" w:hAnsi="Cambria Math"/>
          </w:rPr>
          <m:t>β=-0,240</m:t>
        </m:r>
      </m:oMath>
      <w:r w:rsidR="00341A36">
        <w:t>)</w:t>
      </w:r>
      <w:r w:rsidR="007E0EED">
        <w:t>, stützen d</w:t>
      </w:r>
      <w:r w:rsidR="00A86B82">
        <w:t>ie</w:t>
      </w:r>
      <w:r w:rsidR="004034AF">
        <w:t>se</w:t>
      </w:r>
      <w:r w:rsidR="00A86B82">
        <w:t xml:space="preserve"> Ergebnisse </w:t>
      </w:r>
      <w:r w:rsidR="007E0EED">
        <w:t xml:space="preserve">Hypothese H5. </w:t>
      </w:r>
      <w:r w:rsidR="007C28B1">
        <w:t>Zuletzt</w:t>
      </w:r>
      <w:r w:rsidR="000C66E4">
        <w:t xml:space="preserve"> wird auch Hypothese H6 dadurch gestützt, dass Kleinstunternehmen häufiger dem Finanzierungsmuster „Innenfinanzierung“ zugehören als größere KMUs (</w:t>
      </w:r>
      <m:oMath>
        <m:r>
          <w:rPr>
            <w:rFonts w:ascii="Cambria Math" w:hAnsi="Cambria Math"/>
          </w:rPr>
          <m:t>β=0,699;</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&lt;0,01</m:t>
        </m:r>
      </m:oMath>
      <w:r w:rsidR="000C66E4">
        <w:t>).</w:t>
      </w:r>
      <w:r w:rsidR="00A86B82">
        <w:t xml:space="preserve"> Alle Koeffizienten der Kleinstunternehmen sind dabei statistisch signifikant</w:t>
      </w:r>
      <w:r w:rsidR="007F6DED">
        <w:t xml:space="preserve"> (</w:t>
      </w:r>
      <m:oMath>
        <m:sSub>
          <m:sSubPr>
            <m:ctrlPr>
              <w:rPr>
                <w:rFonts w:ascii="Cambria Math" w:hAnsi="Cambria Math"/>
                <w:i/>
              </w:rPr>
            </m:ctrlPr>
          </m:sSubPr>
          <m:e>
            <m:r>
              <w:rPr>
                <w:rFonts w:ascii="Cambria Math" w:hAnsi="Cambria Math"/>
              </w:rPr>
              <m:t>p</m:t>
            </m:r>
          </m:e>
          <m:sub>
            <m:r>
              <w:rPr>
                <w:rFonts w:ascii="Cambria Math" w:hAnsi="Cambria Math"/>
              </w:rPr>
              <m:t>β</m:t>
            </m:r>
          </m:sub>
        </m:sSub>
        <m:r>
          <w:rPr>
            <w:rFonts w:ascii="Cambria Math" w:hAnsi="Cambria Math"/>
          </w:rPr>
          <m:t>&lt;0,01</m:t>
        </m:r>
      </m:oMath>
      <w:r w:rsidR="007F6DED">
        <w:t xml:space="preserve">). </w:t>
      </w:r>
    </w:p>
    <w:p w14:paraId="312158C7" w14:textId="7381BB38" w:rsidR="00DD6405" w:rsidRDefault="00DD6405" w:rsidP="00DD6405">
      <w:pPr>
        <w:pStyle w:val="Beschriftung"/>
        <w:keepNext/>
        <w:spacing w:after="0"/>
        <w:ind w:left="1418" w:hanging="1418"/>
        <w:rPr>
          <w:i w:val="0"/>
          <w:iCs w:val="0"/>
          <w:color w:val="auto"/>
          <w:sz w:val="24"/>
          <w:szCs w:val="22"/>
        </w:rPr>
      </w:pPr>
      <w:bookmarkStart w:id="54" w:name="_Toc88423393"/>
      <w:r w:rsidRPr="00DD6405">
        <w:rPr>
          <w:b/>
          <w:bCs/>
          <w:i w:val="0"/>
          <w:iCs w:val="0"/>
          <w:color w:val="auto"/>
          <w:sz w:val="24"/>
          <w:szCs w:val="22"/>
        </w:rPr>
        <w:t xml:space="preserve">Tabelle </w:t>
      </w:r>
      <w:r w:rsidRPr="00DD6405">
        <w:rPr>
          <w:b/>
          <w:bCs/>
          <w:i w:val="0"/>
          <w:iCs w:val="0"/>
          <w:color w:val="auto"/>
          <w:sz w:val="24"/>
          <w:szCs w:val="22"/>
        </w:rPr>
        <w:fldChar w:fldCharType="begin"/>
      </w:r>
      <w:r w:rsidRPr="00DD6405">
        <w:rPr>
          <w:b/>
          <w:bCs/>
          <w:i w:val="0"/>
          <w:iCs w:val="0"/>
          <w:color w:val="auto"/>
          <w:sz w:val="24"/>
          <w:szCs w:val="22"/>
        </w:rPr>
        <w:instrText xml:space="preserve"> SEQ Tabelle \* ARABIC </w:instrText>
      </w:r>
      <w:r w:rsidRPr="00DD6405">
        <w:rPr>
          <w:b/>
          <w:bCs/>
          <w:i w:val="0"/>
          <w:iCs w:val="0"/>
          <w:color w:val="auto"/>
          <w:sz w:val="24"/>
          <w:szCs w:val="22"/>
        </w:rPr>
        <w:fldChar w:fldCharType="separate"/>
      </w:r>
      <w:r w:rsidR="00285390">
        <w:rPr>
          <w:b/>
          <w:bCs/>
          <w:i w:val="0"/>
          <w:iCs w:val="0"/>
          <w:noProof/>
          <w:color w:val="auto"/>
          <w:sz w:val="24"/>
          <w:szCs w:val="22"/>
        </w:rPr>
        <w:t>6</w:t>
      </w:r>
      <w:r w:rsidRPr="00DD6405">
        <w:rPr>
          <w:b/>
          <w:bCs/>
          <w:i w:val="0"/>
          <w:iCs w:val="0"/>
          <w:color w:val="auto"/>
          <w:sz w:val="24"/>
          <w:szCs w:val="22"/>
        </w:rPr>
        <w:fldChar w:fldCharType="end"/>
      </w:r>
      <w:r w:rsidRPr="00DD6405">
        <w:rPr>
          <w:b/>
          <w:bCs/>
          <w:i w:val="0"/>
          <w:iCs w:val="0"/>
          <w:color w:val="auto"/>
          <w:sz w:val="24"/>
          <w:szCs w:val="22"/>
        </w:rPr>
        <w:t>:</w:t>
      </w:r>
      <w:r w:rsidRPr="00DD6405">
        <w:rPr>
          <w:i w:val="0"/>
          <w:iCs w:val="0"/>
          <w:color w:val="auto"/>
          <w:sz w:val="24"/>
          <w:szCs w:val="22"/>
        </w:rPr>
        <w:t xml:space="preserve"> </w:t>
      </w:r>
      <w:r>
        <w:rPr>
          <w:i w:val="0"/>
          <w:iCs w:val="0"/>
          <w:color w:val="auto"/>
          <w:sz w:val="24"/>
          <w:szCs w:val="22"/>
        </w:rPr>
        <w:tab/>
        <w:t>E</w:t>
      </w:r>
      <w:r w:rsidRPr="00212E05">
        <w:rPr>
          <w:i w:val="0"/>
          <w:iCs w:val="0"/>
          <w:color w:val="auto"/>
          <w:sz w:val="24"/>
          <w:szCs w:val="22"/>
        </w:rPr>
        <w:t>rgebnisse de</w:t>
      </w:r>
      <w:r>
        <w:rPr>
          <w:i w:val="0"/>
          <w:iCs w:val="0"/>
          <w:color w:val="auto"/>
          <w:sz w:val="24"/>
          <w:szCs w:val="22"/>
        </w:rPr>
        <w:t>s</w:t>
      </w:r>
      <w:r w:rsidRPr="00212E05">
        <w:rPr>
          <w:i w:val="0"/>
          <w:iCs w:val="0"/>
          <w:color w:val="auto"/>
          <w:sz w:val="24"/>
          <w:szCs w:val="22"/>
        </w:rPr>
        <w:t xml:space="preserve"> </w:t>
      </w:r>
      <w:r>
        <w:rPr>
          <w:i w:val="0"/>
          <w:iCs w:val="0"/>
          <w:color w:val="auto"/>
          <w:sz w:val="24"/>
          <w:szCs w:val="22"/>
        </w:rPr>
        <w:t>multivariaten Probit-Models</w:t>
      </w:r>
      <w:bookmarkEnd w:id="54"/>
    </w:p>
    <w:p w14:paraId="27DCE53B" w14:textId="473F6D23" w:rsidR="00DD6405" w:rsidRDefault="00DD6405" w:rsidP="00DD6405">
      <w:pPr>
        <w:spacing w:after="0"/>
      </w:pPr>
      <w:r w:rsidRPr="001A0BAE">
        <w:tab/>
      </w:r>
      <w:r w:rsidRPr="001A0BAE">
        <w:tab/>
        <w:t>eigene Darstellung</w:t>
      </w:r>
      <w:r>
        <w:t xml:space="preserve"> nach Masiak et al. (2019), S. 311 f.</w:t>
      </w:r>
    </w:p>
    <w:tbl>
      <w:tblPr>
        <w:tblW w:w="5000" w:type="pct"/>
        <w:jc w:val="center"/>
        <w:tblLayout w:type="fixed"/>
        <w:tblLook w:val="04A0" w:firstRow="1" w:lastRow="0" w:firstColumn="1" w:lastColumn="0" w:noHBand="0" w:noVBand="1"/>
      </w:tblPr>
      <w:tblGrid>
        <w:gridCol w:w="2094"/>
        <w:gridCol w:w="1104"/>
        <w:gridCol w:w="1104"/>
        <w:gridCol w:w="1106"/>
        <w:gridCol w:w="1104"/>
        <w:gridCol w:w="1104"/>
        <w:gridCol w:w="1104"/>
      </w:tblGrid>
      <w:tr w:rsidR="002A2F25" w:rsidRPr="00CF3B2D" w14:paraId="53C752F6" w14:textId="77777777" w:rsidTr="00396964">
        <w:trPr>
          <w:trHeight w:val="20"/>
          <w:jc w:val="center"/>
        </w:trPr>
        <w:tc>
          <w:tcPr>
            <w:tcW w:w="1201" w:type="pct"/>
            <w:tcBorders>
              <w:top w:val="single" w:sz="8" w:space="0" w:color="auto"/>
              <w:left w:val="nil"/>
              <w:bottom w:val="single" w:sz="6" w:space="0" w:color="auto"/>
              <w:right w:val="nil"/>
            </w:tcBorders>
            <w:shd w:val="clear" w:color="000000" w:fill="FFFFFF"/>
            <w:noWrap/>
            <w:vAlign w:val="bottom"/>
            <w:hideMark/>
          </w:tcPr>
          <w:p w14:paraId="35261F95" w14:textId="77777777" w:rsidR="00F906E9" w:rsidRPr="002D11BF" w:rsidRDefault="00F906E9" w:rsidP="00FD7E42">
            <w:pPr>
              <w:snapToGrid w:val="0"/>
              <w:spacing w:after="0" w:line="240" w:lineRule="auto"/>
              <w:jc w:val="left"/>
              <w:rPr>
                <w:b/>
                <w:bCs/>
                <w:color w:val="000000"/>
                <w:sz w:val="16"/>
                <w:szCs w:val="16"/>
              </w:rPr>
            </w:pPr>
            <w:bookmarkStart w:id="55" w:name="_Hlk88361035"/>
            <w:r w:rsidRPr="002D11BF">
              <w:rPr>
                <w:b/>
                <w:bCs/>
                <w:color w:val="000000"/>
                <w:sz w:val="16"/>
                <w:szCs w:val="16"/>
              </w:rPr>
              <w:t>Variable</w:t>
            </w:r>
          </w:p>
        </w:tc>
        <w:tc>
          <w:tcPr>
            <w:tcW w:w="633" w:type="pct"/>
            <w:tcBorders>
              <w:top w:val="single" w:sz="8" w:space="0" w:color="auto"/>
              <w:left w:val="nil"/>
              <w:bottom w:val="single" w:sz="6" w:space="0" w:color="auto"/>
              <w:right w:val="nil"/>
            </w:tcBorders>
            <w:shd w:val="clear" w:color="000000" w:fill="FFFFFF"/>
            <w:noWrap/>
            <w:vAlign w:val="bottom"/>
            <w:hideMark/>
          </w:tcPr>
          <w:p w14:paraId="34C4604E" w14:textId="1AA101F3" w:rsidR="00CC75FF" w:rsidRDefault="00CC75FF" w:rsidP="00FD7E42">
            <w:pPr>
              <w:snapToGrid w:val="0"/>
              <w:spacing w:after="0" w:line="240" w:lineRule="auto"/>
              <w:jc w:val="left"/>
              <w:rPr>
                <w:b/>
                <w:bCs/>
                <w:color w:val="000000"/>
                <w:sz w:val="16"/>
                <w:szCs w:val="16"/>
              </w:rPr>
            </w:pPr>
            <w:r>
              <w:rPr>
                <w:b/>
                <w:bCs/>
                <w:color w:val="000000"/>
                <w:sz w:val="16"/>
                <w:szCs w:val="16"/>
              </w:rPr>
              <w:t>Darlehen</w:t>
            </w:r>
          </w:p>
          <w:p w14:paraId="1296692E" w14:textId="0DDE2786" w:rsidR="00F906E9" w:rsidRPr="002D11BF" w:rsidRDefault="0008394E" w:rsidP="00FD7E42">
            <w:pPr>
              <w:snapToGrid w:val="0"/>
              <w:spacing w:after="0" w:line="240" w:lineRule="auto"/>
              <w:jc w:val="left"/>
              <w:rPr>
                <w:b/>
                <w:bCs/>
                <w:color w:val="000000"/>
                <w:sz w:val="16"/>
                <w:szCs w:val="16"/>
              </w:rPr>
            </w:pPr>
            <w:r>
              <w:rPr>
                <w:b/>
                <w:bCs/>
                <w:color w:val="000000"/>
                <w:sz w:val="16"/>
                <w:szCs w:val="16"/>
              </w:rPr>
              <w:t>H1</w:t>
            </w:r>
          </w:p>
        </w:tc>
        <w:tc>
          <w:tcPr>
            <w:tcW w:w="633" w:type="pct"/>
            <w:tcBorders>
              <w:top w:val="single" w:sz="8" w:space="0" w:color="auto"/>
              <w:left w:val="nil"/>
              <w:bottom w:val="single" w:sz="6" w:space="0" w:color="auto"/>
              <w:right w:val="nil"/>
            </w:tcBorders>
            <w:shd w:val="clear" w:color="000000" w:fill="FFFFFF"/>
            <w:vAlign w:val="bottom"/>
          </w:tcPr>
          <w:p w14:paraId="05C4E828" w14:textId="3525969A" w:rsidR="00CC75FF" w:rsidRDefault="00CC75FF" w:rsidP="00FD7E42">
            <w:pPr>
              <w:snapToGrid w:val="0"/>
              <w:spacing w:after="0" w:line="240" w:lineRule="auto"/>
              <w:jc w:val="left"/>
              <w:rPr>
                <w:b/>
                <w:bCs/>
                <w:color w:val="000000"/>
                <w:sz w:val="16"/>
                <w:szCs w:val="16"/>
              </w:rPr>
            </w:pPr>
            <w:r>
              <w:rPr>
                <w:b/>
                <w:bCs/>
                <w:color w:val="000000"/>
                <w:sz w:val="16"/>
                <w:szCs w:val="16"/>
              </w:rPr>
              <w:t>Flexible Schulden</w:t>
            </w:r>
          </w:p>
          <w:p w14:paraId="6BD5FE38" w14:textId="0685DAB0" w:rsidR="00F906E9" w:rsidRPr="002D11BF" w:rsidRDefault="0008394E" w:rsidP="00FD7E42">
            <w:pPr>
              <w:snapToGrid w:val="0"/>
              <w:spacing w:after="0" w:line="240" w:lineRule="auto"/>
              <w:jc w:val="left"/>
              <w:rPr>
                <w:b/>
                <w:bCs/>
                <w:color w:val="000000"/>
                <w:sz w:val="16"/>
                <w:szCs w:val="16"/>
              </w:rPr>
            </w:pPr>
            <w:r>
              <w:rPr>
                <w:b/>
                <w:bCs/>
                <w:color w:val="000000"/>
                <w:sz w:val="16"/>
                <w:szCs w:val="16"/>
              </w:rPr>
              <w:t>H2</w:t>
            </w:r>
          </w:p>
        </w:tc>
        <w:tc>
          <w:tcPr>
            <w:tcW w:w="634" w:type="pct"/>
            <w:tcBorders>
              <w:top w:val="single" w:sz="8" w:space="0" w:color="auto"/>
              <w:left w:val="nil"/>
              <w:bottom w:val="single" w:sz="6" w:space="0" w:color="auto"/>
              <w:right w:val="nil"/>
            </w:tcBorders>
            <w:shd w:val="clear" w:color="000000" w:fill="FFFFFF"/>
            <w:vAlign w:val="bottom"/>
          </w:tcPr>
          <w:p w14:paraId="580CC51F" w14:textId="77777777" w:rsidR="00485743" w:rsidRDefault="00485743" w:rsidP="00485743">
            <w:pPr>
              <w:snapToGrid w:val="0"/>
              <w:spacing w:after="0" w:line="240" w:lineRule="auto"/>
              <w:jc w:val="left"/>
              <w:rPr>
                <w:b/>
                <w:bCs/>
                <w:color w:val="000000"/>
                <w:sz w:val="16"/>
                <w:szCs w:val="16"/>
              </w:rPr>
            </w:pPr>
            <w:r>
              <w:rPr>
                <w:b/>
                <w:bCs/>
                <w:color w:val="000000"/>
                <w:sz w:val="16"/>
                <w:szCs w:val="16"/>
              </w:rPr>
              <w:t>Lieferanten-kredite</w:t>
            </w:r>
          </w:p>
          <w:p w14:paraId="1FB09B3E" w14:textId="319FC402" w:rsidR="00F906E9" w:rsidRPr="002D11BF" w:rsidRDefault="0008394E" w:rsidP="00FD7E42">
            <w:pPr>
              <w:snapToGrid w:val="0"/>
              <w:spacing w:after="0" w:line="240" w:lineRule="auto"/>
              <w:jc w:val="left"/>
              <w:rPr>
                <w:b/>
                <w:bCs/>
                <w:color w:val="000000"/>
                <w:sz w:val="16"/>
                <w:szCs w:val="16"/>
              </w:rPr>
            </w:pPr>
            <w:r>
              <w:rPr>
                <w:b/>
                <w:bCs/>
                <w:color w:val="000000"/>
                <w:sz w:val="16"/>
                <w:szCs w:val="16"/>
              </w:rPr>
              <w:t>H3</w:t>
            </w:r>
          </w:p>
        </w:tc>
        <w:tc>
          <w:tcPr>
            <w:tcW w:w="633" w:type="pct"/>
            <w:tcBorders>
              <w:top w:val="single" w:sz="8" w:space="0" w:color="auto"/>
              <w:left w:val="nil"/>
              <w:bottom w:val="single" w:sz="6" w:space="0" w:color="auto"/>
              <w:right w:val="nil"/>
            </w:tcBorders>
            <w:shd w:val="clear" w:color="000000" w:fill="FFFFFF"/>
            <w:vAlign w:val="bottom"/>
          </w:tcPr>
          <w:p w14:paraId="012D14F6" w14:textId="20C79862" w:rsidR="00CC75FF" w:rsidRDefault="00485743" w:rsidP="00FD7E42">
            <w:pPr>
              <w:snapToGrid w:val="0"/>
              <w:spacing w:after="0" w:line="240" w:lineRule="auto"/>
              <w:jc w:val="left"/>
              <w:rPr>
                <w:b/>
                <w:bCs/>
                <w:color w:val="000000"/>
                <w:sz w:val="16"/>
                <w:szCs w:val="16"/>
              </w:rPr>
            </w:pPr>
            <w:r>
              <w:rPr>
                <w:b/>
                <w:bCs/>
                <w:color w:val="000000"/>
                <w:sz w:val="16"/>
                <w:szCs w:val="16"/>
              </w:rPr>
              <w:t>Zuschüsse</w:t>
            </w:r>
          </w:p>
          <w:p w14:paraId="511DE370" w14:textId="0E12C570" w:rsidR="00F906E9" w:rsidRPr="002D11BF" w:rsidRDefault="0008394E" w:rsidP="00FD7E42">
            <w:pPr>
              <w:snapToGrid w:val="0"/>
              <w:spacing w:after="0" w:line="240" w:lineRule="auto"/>
              <w:jc w:val="left"/>
              <w:rPr>
                <w:b/>
                <w:bCs/>
                <w:color w:val="000000"/>
                <w:sz w:val="16"/>
                <w:szCs w:val="16"/>
              </w:rPr>
            </w:pPr>
            <w:r>
              <w:rPr>
                <w:b/>
                <w:bCs/>
                <w:color w:val="000000"/>
                <w:sz w:val="16"/>
                <w:szCs w:val="16"/>
              </w:rPr>
              <w:t>H4</w:t>
            </w:r>
          </w:p>
        </w:tc>
        <w:tc>
          <w:tcPr>
            <w:tcW w:w="633" w:type="pct"/>
            <w:tcBorders>
              <w:top w:val="single" w:sz="8" w:space="0" w:color="auto"/>
              <w:left w:val="nil"/>
              <w:bottom w:val="single" w:sz="6" w:space="0" w:color="auto"/>
              <w:right w:val="nil"/>
            </w:tcBorders>
            <w:shd w:val="clear" w:color="000000" w:fill="FFFFFF"/>
            <w:vAlign w:val="bottom"/>
          </w:tcPr>
          <w:p w14:paraId="207D7F97" w14:textId="1B8436C3" w:rsidR="00CC75FF" w:rsidRDefault="00CC75FF" w:rsidP="00FD7E42">
            <w:pPr>
              <w:snapToGrid w:val="0"/>
              <w:spacing w:after="0" w:line="240" w:lineRule="auto"/>
              <w:jc w:val="left"/>
              <w:rPr>
                <w:b/>
                <w:bCs/>
                <w:color w:val="000000"/>
                <w:sz w:val="16"/>
                <w:szCs w:val="16"/>
              </w:rPr>
            </w:pPr>
            <w:r>
              <w:rPr>
                <w:b/>
                <w:bCs/>
                <w:color w:val="000000"/>
                <w:sz w:val="16"/>
                <w:szCs w:val="16"/>
              </w:rPr>
              <w:t>Asset-   basiert</w:t>
            </w:r>
          </w:p>
          <w:p w14:paraId="02B05472" w14:textId="1A0DDA54" w:rsidR="00F906E9" w:rsidRPr="002D11BF" w:rsidRDefault="0008394E" w:rsidP="00FD7E42">
            <w:pPr>
              <w:snapToGrid w:val="0"/>
              <w:spacing w:after="0" w:line="240" w:lineRule="auto"/>
              <w:jc w:val="left"/>
              <w:rPr>
                <w:b/>
                <w:bCs/>
                <w:color w:val="000000"/>
                <w:sz w:val="16"/>
                <w:szCs w:val="16"/>
              </w:rPr>
            </w:pPr>
            <w:r>
              <w:rPr>
                <w:b/>
                <w:bCs/>
                <w:color w:val="000000"/>
                <w:sz w:val="16"/>
                <w:szCs w:val="16"/>
              </w:rPr>
              <w:t>H5</w:t>
            </w:r>
          </w:p>
        </w:tc>
        <w:tc>
          <w:tcPr>
            <w:tcW w:w="633" w:type="pct"/>
            <w:tcBorders>
              <w:top w:val="single" w:sz="8" w:space="0" w:color="auto"/>
              <w:left w:val="nil"/>
              <w:bottom w:val="single" w:sz="6" w:space="0" w:color="auto"/>
              <w:right w:val="nil"/>
            </w:tcBorders>
            <w:shd w:val="clear" w:color="000000" w:fill="FFFFFF"/>
            <w:vAlign w:val="bottom"/>
          </w:tcPr>
          <w:p w14:paraId="5A8A4083" w14:textId="7DD9A53B" w:rsidR="00CC75FF" w:rsidRDefault="00CC75FF" w:rsidP="00FD7E42">
            <w:pPr>
              <w:snapToGrid w:val="0"/>
              <w:spacing w:after="0" w:line="240" w:lineRule="auto"/>
              <w:jc w:val="left"/>
              <w:rPr>
                <w:b/>
                <w:bCs/>
                <w:color w:val="000000"/>
                <w:sz w:val="16"/>
                <w:szCs w:val="16"/>
              </w:rPr>
            </w:pPr>
            <w:r>
              <w:rPr>
                <w:b/>
                <w:bCs/>
                <w:color w:val="000000"/>
                <w:sz w:val="16"/>
                <w:szCs w:val="16"/>
              </w:rPr>
              <w:t>Innen-finanzierung</w:t>
            </w:r>
          </w:p>
          <w:p w14:paraId="2F4DB938" w14:textId="09948ABE" w:rsidR="00F906E9" w:rsidRPr="002D11BF" w:rsidRDefault="0008394E" w:rsidP="00FD7E42">
            <w:pPr>
              <w:snapToGrid w:val="0"/>
              <w:spacing w:after="0" w:line="240" w:lineRule="auto"/>
              <w:jc w:val="left"/>
              <w:rPr>
                <w:b/>
                <w:bCs/>
                <w:color w:val="000000"/>
                <w:sz w:val="16"/>
                <w:szCs w:val="16"/>
              </w:rPr>
            </w:pPr>
            <w:r>
              <w:rPr>
                <w:b/>
                <w:bCs/>
                <w:color w:val="000000"/>
                <w:sz w:val="16"/>
                <w:szCs w:val="16"/>
              </w:rPr>
              <w:t>H6</w:t>
            </w:r>
          </w:p>
        </w:tc>
      </w:tr>
      <w:bookmarkEnd w:id="55"/>
      <w:tr w:rsidR="002A2F25" w:rsidRPr="00FC4EB7" w14:paraId="23935C09" w14:textId="77777777" w:rsidTr="00396964">
        <w:trPr>
          <w:trHeight w:val="20"/>
          <w:jc w:val="center"/>
        </w:trPr>
        <w:tc>
          <w:tcPr>
            <w:tcW w:w="1201" w:type="pct"/>
            <w:tcBorders>
              <w:top w:val="nil"/>
              <w:left w:val="nil"/>
              <w:right w:val="nil"/>
            </w:tcBorders>
            <w:shd w:val="clear" w:color="000000" w:fill="FFFFFF"/>
          </w:tcPr>
          <w:p w14:paraId="13747732" w14:textId="7117665C" w:rsidR="007923D9" w:rsidRPr="00FC4EB7" w:rsidRDefault="00516AB0" w:rsidP="00944E42">
            <w:pPr>
              <w:snapToGrid w:val="0"/>
              <w:spacing w:before="40" w:after="0" w:line="240" w:lineRule="auto"/>
              <w:jc w:val="left"/>
              <w:rPr>
                <w:color w:val="000000"/>
                <w:sz w:val="16"/>
                <w:szCs w:val="16"/>
              </w:rPr>
            </w:pPr>
            <w:r>
              <w:rPr>
                <w:i/>
                <w:iCs/>
                <w:color w:val="000000"/>
                <w:sz w:val="16"/>
                <w:szCs w:val="16"/>
              </w:rPr>
              <w:t>Unabhängige Variablen</w:t>
            </w:r>
          </w:p>
        </w:tc>
        <w:tc>
          <w:tcPr>
            <w:tcW w:w="633" w:type="pct"/>
            <w:tcBorders>
              <w:top w:val="nil"/>
              <w:left w:val="nil"/>
              <w:right w:val="nil"/>
            </w:tcBorders>
            <w:shd w:val="clear" w:color="000000" w:fill="FFFFFF"/>
          </w:tcPr>
          <w:p w14:paraId="38B7BF05" w14:textId="7EF83775" w:rsidR="007923D9" w:rsidRPr="00FC4EB7" w:rsidRDefault="007923D9" w:rsidP="00996DC5">
            <w:pPr>
              <w:snapToGrid w:val="0"/>
              <w:spacing w:before="40" w:after="40" w:line="240" w:lineRule="auto"/>
              <w:jc w:val="left"/>
              <w:rPr>
                <w:color w:val="000000"/>
                <w:sz w:val="16"/>
                <w:szCs w:val="16"/>
              </w:rPr>
            </w:pPr>
          </w:p>
        </w:tc>
        <w:tc>
          <w:tcPr>
            <w:tcW w:w="633" w:type="pct"/>
            <w:tcBorders>
              <w:top w:val="nil"/>
              <w:left w:val="nil"/>
              <w:right w:val="nil"/>
            </w:tcBorders>
            <w:shd w:val="clear" w:color="000000" w:fill="FFFFFF"/>
          </w:tcPr>
          <w:p w14:paraId="481B90AD" w14:textId="77777777" w:rsidR="007923D9" w:rsidRPr="00FC4EB7" w:rsidRDefault="007923D9" w:rsidP="00996DC5">
            <w:pPr>
              <w:snapToGrid w:val="0"/>
              <w:spacing w:before="40" w:after="40" w:line="240" w:lineRule="auto"/>
              <w:jc w:val="left"/>
              <w:rPr>
                <w:color w:val="000000"/>
                <w:sz w:val="16"/>
                <w:szCs w:val="16"/>
              </w:rPr>
            </w:pPr>
          </w:p>
        </w:tc>
        <w:tc>
          <w:tcPr>
            <w:tcW w:w="634" w:type="pct"/>
            <w:tcBorders>
              <w:top w:val="nil"/>
              <w:left w:val="nil"/>
              <w:right w:val="nil"/>
            </w:tcBorders>
            <w:shd w:val="clear" w:color="000000" w:fill="FFFFFF"/>
          </w:tcPr>
          <w:p w14:paraId="230F9A0C" w14:textId="77777777" w:rsidR="007923D9" w:rsidRPr="00FC4EB7" w:rsidRDefault="007923D9" w:rsidP="00996DC5">
            <w:pPr>
              <w:snapToGrid w:val="0"/>
              <w:spacing w:before="40" w:after="40" w:line="240" w:lineRule="auto"/>
              <w:jc w:val="left"/>
              <w:rPr>
                <w:color w:val="000000"/>
                <w:sz w:val="16"/>
                <w:szCs w:val="16"/>
              </w:rPr>
            </w:pPr>
          </w:p>
        </w:tc>
        <w:tc>
          <w:tcPr>
            <w:tcW w:w="633" w:type="pct"/>
            <w:tcBorders>
              <w:top w:val="nil"/>
              <w:left w:val="nil"/>
              <w:right w:val="nil"/>
            </w:tcBorders>
            <w:shd w:val="clear" w:color="000000" w:fill="FFFFFF"/>
          </w:tcPr>
          <w:p w14:paraId="77A0717D" w14:textId="77777777" w:rsidR="007923D9" w:rsidRPr="00FC4EB7" w:rsidRDefault="007923D9" w:rsidP="00996DC5">
            <w:pPr>
              <w:snapToGrid w:val="0"/>
              <w:spacing w:before="40" w:after="40" w:line="240" w:lineRule="auto"/>
              <w:jc w:val="left"/>
              <w:rPr>
                <w:color w:val="000000"/>
                <w:sz w:val="16"/>
                <w:szCs w:val="16"/>
              </w:rPr>
            </w:pPr>
          </w:p>
        </w:tc>
        <w:tc>
          <w:tcPr>
            <w:tcW w:w="633" w:type="pct"/>
            <w:tcBorders>
              <w:top w:val="nil"/>
              <w:left w:val="nil"/>
              <w:right w:val="nil"/>
            </w:tcBorders>
            <w:shd w:val="clear" w:color="000000" w:fill="FFFFFF"/>
          </w:tcPr>
          <w:p w14:paraId="59C5CA4E" w14:textId="77777777" w:rsidR="007923D9" w:rsidRPr="00FC4EB7" w:rsidRDefault="007923D9" w:rsidP="00996DC5">
            <w:pPr>
              <w:snapToGrid w:val="0"/>
              <w:spacing w:before="40" w:after="40" w:line="240" w:lineRule="auto"/>
              <w:jc w:val="left"/>
              <w:rPr>
                <w:color w:val="000000"/>
                <w:sz w:val="16"/>
                <w:szCs w:val="16"/>
              </w:rPr>
            </w:pPr>
          </w:p>
        </w:tc>
        <w:tc>
          <w:tcPr>
            <w:tcW w:w="633" w:type="pct"/>
            <w:tcBorders>
              <w:top w:val="nil"/>
              <w:left w:val="nil"/>
              <w:right w:val="nil"/>
            </w:tcBorders>
            <w:shd w:val="clear" w:color="000000" w:fill="FFFFFF"/>
          </w:tcPr>
          <w:p w14:paraId="7C27F29D" w14:textId="41A45E63" w:rsidR="007923D9" w:rsidRPr="00FC4EB7" w:rsidRDefault="007923D9" w:rsidP="00996DC5">
            <w:pPr>
              <w:snapToGrid w:val="0"/>
              <w:spacing w:before="40" w:after="40" w:line="240" w:lineRule="auto"/>
              <w:jc w:val="left"/>
              <w:rPr>
                <w:color w:val="000000"/>
                <w:sz w:val="16"/>
                <w:szCs w:val="16"/>
              </w:rPr>
            </w:pPr>
          </w:p>
        </w:tc>
      </w:tr>
      <w:tr w:rsidR="002A2F25" w:rsidRPr="00FC4EB7" w14:paraId="28953713" w14:textId="77777777" w:rsidTr="00396964">
        <w:trPr>
          <w:trHeight w:val="20"/>
          <w:jc w:val="center"/>
        </w:trPr>
        <w:tc>
          <w:tcPr>
            <w:tcW w:w="1201" w:type="pct"/>
            <w:tcBorders>
              <w:top w:val="nil"/>
              <w:left w:val="nil"/>
            </w:tcBorders>
            <w:shd w:val="clear" w:color="000000" w:fill="FFFFFF"/>
          </w:tcPr>
          <w:p w14:paraId="673E876E" w14:textId="77777777" w:rsidR="00F906E9" w:rsidRPr="00F906E9" w:rsidRDefault="00F906E9" w:rsidP="000164BC">
            <w:pPr>
              <w:snapToGrid w:val="0"/>
              <w:spacing w:before="40" w:after="0" w:line="240" w:lineRule="auto"/>
              <w:jc w:val="left"/>
              <w:rPr>
                <w:b/>
                <w:bCs/>
                <w:color w:val="000000"/>
                <w:sz w:val="16"/>
                <w:szCs w:val="16"/>
              </w:rPr>
            </w:pPr>
            <w:r w:rsidRPr="00F906E9">
              <w:rPr>
                <w:b/>
                <w:bCs/>
                <w:color w:val="000000"/>
                <w:sz w:val="16"/>
                <w:szCs w:val="16"/>
              </w:rPr>
              <w:t>Unternehmensgröße</w:t>
            </w:r>
          </w:p>
        </w:tc>
        <w:tc>
          <w:tcPr>
            <w:tcW w:w="633" w:type="pct"/>
            <w:tcBorders>
              <w:top w:val="nil"/>
              <w:right w:val="nil"/>
            </w:tcBorders>
            <w:shd w:val="clear" w:color="000000" w:fill="FFFFFF"/>
            <w:noWrap/>
          </w:tcPr>
          <w:p w14:paraId="64DE6FB5" w14:textId="0280BBC9" w:rsidR="00F906E9" w:rsidRPr="00FC4EB7" w:rsidRDefault="00F906E9" w:rsidP="000164BC">
            <w:pPr>
              <w:snapToGrid w:val="0"/>
              <w:spacing w:before="40" w:after="0" w:line="240" w:lineRule="auto"/>
              <w:jc w:val="left"/>
              <w:rPr>
                <w:color w:val="000000"/>
                <w:sz w:val="16"/>
                <w:szCs w:val="16"/>
              </w:rPr>
            </w:pPr>
          </w:p>
        </w:tc>
        <w:tc>
          <w:tcPr>
            <w:tcW w:w="633" w:type="pct"/>
            <w:tcBorders>
              <w:top w:val="nil"/>
              <w:right w:val="nil"/>
            </w:tcBorders>
            <w:shd w:val="clear" w:color="000000" w:fill="FFFFFF"/>
          </w:tcPr>
          <w:p w14:paraId="1FF156FC" w14:textId="77777777" w:rsidR="00F906E9" w:rsidRPr="00FC4EB7" w:rsidRDefault="00F906E9" w:rsidP="000164BC">
            <w:pPr>
              <w:snapToGrid w:val="0"/>
              <w:spacing w:before="40" w:after="0" w:line="240" w:lineRule="auto"/>
              <w:jc w:val="left"/>
              <w:rPr>
                <w:color w:val="000000"/>
                <w:sz w:val="16"/>
                <w:szCs w:val="16"/>
              </w:rPr>
            </w:pPr>
          </w:p>
        </w:tc>
        <w:tc>
          <w:tcPr>
            <w:tcW w:w="634" w:type="pct"/>
            <w:tcBorders>
              <w:top w:val="nil"/>
              <w:right w:val="nil"/>
            </w:tcBorders>
            <w:shd w:val="clear" w:color="000000" w:fill="FFFFFF"/>
          </w:tcPr>
          <w:p w14:paraId="0BAC88D8" w14:textId="77777777" w:rsidR="00F906E9" w:rsidRPr="00FC4EB7" w:rsidRDefault="00F906E9" w:rsidP="000164BC">
            <w:pPr>
              <w:snapToGrid w:val="0"/>
              <w:spacing w:before="40" w:after="0" w:line="240" w:lineRule="auto"/>
              <w:jc w:val="left"/>
              <w:rPr>
                <w:color w:val="000000"/>
                <w:sz w:val="16"/>
                <w:szCs w:val="16"/>
              </w:rPr>
            </w:pPr>
          </w:p>
        </w:tc>
        <w:tc>
          <w:tcPr>
            <w:tcW w:w="633" w:type="pct"/>
            <w:tcBorders>
              <w:top w:val="nil"/>
              <w:right w:val="nil"/>
            </w:tcBorders>
            <w:shd w:val="clear" w:color="000000" w:fill="FFFFFF"/>
          </w:tcPr>
          <w:p w14:paraId="5B5D1180" w14:textId="77777777" w:rsidR="00F906E9" w:rsidRPr="00FC4EB7" w:rsidRDefault="00F906E9" w:rsidP="000164BC">
            <w:pPr>
              <w:snapToGrid w:val="0"/>
              <w:spacing w:before="40" w:after="0" w:line="240" w:lineRule="auto"/>
              <w:jc w:val="left"/>
              <w:rPr>
                <w:color w:val="000000"/>
                <w:sz w:val="16"/>
                <w:szCs w:val="16"/>
              </w:rPr>
            </w:pPr>
          </w:p>
        </w:tc>
        <w:tc>
          <w:tcPr>
            <w:tcW w:w="633" w:type="pct"/>
            <w:tcBorders>
              <w:top w:val="nil"/>
              <w:right w:val="nil"/>
            </w:tcBorders>
            <w:shd w:val="clear" w:color="000000" w:fill="FFFFFF"/>
          </w:tcPr>
          <w:p w14:paraId="4FED0BC3" w14:textId="77777777" w:rsidR="00F906E9" w:rsidRPr="00FC4EB7" w:rsidRDefault="00F906E9" w:rsidP="000164BC">
            <w:pPr>
              <w:snapToGrid w:val="0"/>
              <w:spacing w:before="40" w:after="0" w:line="240" w:lineRule="auto"/>
              <w:jc w:val="left"/>
              <w:rPr>
                <w:color w:val="000000"/>
                <w:sz w:val="16"/>
                <w:szCs w:val="16"/>
              </w:rPr>
            </w:pPr>
          </w:p>
        </w:tc>
        <w:tc>
          <w:tcPr>
            <w:tcW w:w="633" w:type="pct"/>
            <w:tcBorders>
              <w:top w:val="nil"/>
              <w:left w:val="nil"/>
              <w:right w:val="nil"/>
            </w:tcBorders>
            <w:shd w:val="clear" w:color="000000" w:fill="FFFFFF"/>
          </w:tcPr>
          <w:p w14:paraId="44707069" w14:textId="13EEEC54" w:rsidR="00F906E9" w:rsidRPr="00FC4EB7" w:rsidRDefault="00F906E9" w:rsidP="000164BC">
            <w:pPr>
              <w:snapToGrid w:val="0"/>
              <w:spacing w:before="40" w:after="0" w:line="240" w:lineRule="auto"/>
              <w:jc w:val="left"/>
              <w:rPr>
                <w:color w:val="000000"/>
                <w:sz w:val="16"/>
                <w:szCs w:val="16"/>
              </w:rPr>
            </w:pPr>
          </w:p>
        </w:tc>
      </w:tr>
      <w:tr w:rsidR="00694C51" w:rsidRPr="00FC4EB7" w14:paraId="1C54B8E2" w14:textId="77777777" w:rsidTr="00396964">
        <w:trPr>
          <w:trHeight w:val="20"/>
          <w:jc w:val="center"/>
        </w:trPr>
        <w:tc>
          <w:tcPr>
            <w:tcW w:w="1201" w:type="pct"/>
            <w:tcBorders>
              <w:top w:val="nil"/>
              <w:left w:val="nil"/>
            </w:tcBorders>
            <w:shd w:val="clear" w:color="000000" w:fill="FFFFFF"/>
          </w:tcPr>
          <w:p w14:paraId="3FD1F8AF" w14:textId="7BA5CA18" w:rsidR="00694C51" w:rsidRPr="00FC4EB7" w:rsidRDefault="005572F3" w:rsidP="001A4E15">
            <w:pPr>
              <w:pStyle w:val="Listenabsatz"/>
              <w:numPr>
                <w:ilvl w:val="0"/>
                <w:numId w:val="10"/>
              </w:numPr>
              <w:snapToGrid w:val="0"/>
              <w:spacing w:before="40" w:after="40" w:line="240" w:lineRule="auto"/>
              <w:ind w:left="142" w:hanging="142"/>
              <w:jc w:val="left"/>
              <w:rPr>
                <w:color w:val="000000"/>
                <w:sz w:val="16"/>
                <w:szCs w:val="16"/>
              </w:rPr>
            </w:pPr>
            <w:r w:rsidRPr="00FC4EB7">
              <w:rPr>
                <w:color w:val="000000"/>
                <w:sz w:val="16"/>
                <w:szCs w:val="16"/>
              </w:rPr>
              <w:t>Kleinstunternehmen</w:t>
            </w:r>
          </w:p>
        </w:tc>
        <w:tc>
          <w:tcPr>
            <w:tcW w:w="633" w:type="pct"/>
            <w:tcBorders>
              <w:top w:val="nil"/>
              <w:right w:val="nil"/>
            </w:tcBorders>
            <w:shd w:val="clear" w:color="000000" w:fill="FFFFFF"/>
            <w:noWrap/>
          </w:tcPr>
          <w:p w14:paraId="753E2B8F" w14:textId="7EA12563"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385***</w:t>
            </w:r>
            <w:r w:rsidRPr="00694C51">
              <w:rPr>
                <w:rFonts w:cs="Times New Roman"/>
                <w:sz w:val="16"/>
                <w:szCs w:val="16"/>
              </w:rPr>
              <w:br/>
              <w:t>(0</w:t>
            </w:r>
            <w:r w:rsidR="00E63387">
              <w:rPr>
                <w:rFonts w:cs="Times New Roman"/>
                <w:sz w:val="16"/>
                <w:szCs w:val="16"/>
              </w:rPr>
              <w:t>,</w:t>
            </w:r>
            <w:r w:rsidRPr="00694C51">
              <w:rPr>
                <w:rFonts w:cs="Times New Roman"/>
                <w:sz w:val="16"/>
                <w:szCs w:val="16"/>
              </w:rPr>
              <w:t>045)</w:t>
            </w:r>
          </w:p>
        </w:tc>
        <w:tc>
          <w:tcPr>
            <w:tcW w:w="633" w:type="pct"/>
            <w:tcBorders>
              <w:top w:val="nil"/>
              <w:right w:val="nil"/>
            </w:tcBorders>
            <w:shd w:val="clear" w:color="000000" w:fill="FFFFFF"/>
          </w:tcPr>
          <w:p w14:paraId="65AB517A" w14:textId="2BA905C2"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291***</w:t>
            </w:r>
            <w:r w:rsidRPr="00694C51">
              <w:rPr>
                <w:rFonts w:cs="Times New Roman"/>
                <w:sz w:val="16"/>
                <w:szCs w:val="16"/>
              </w:rPr>
              <w:br/>
              <w:t>(0</w:t>
            </w:r>
            <w:r w:rsidR="00E63387">
              <w:rPr>
                <w:rFonts w:cs="Times New Roman"/>
                <w:sz w:val="16"/>
                <w:szCs w:val="16"/>
              </w:rPr>
              <w:t>,</w:t>
            </w:r>
            <w:r w:rsidRPr="00694C51">
              <w:rPr>
                <w:rFonts w:cs="Times New Roman"/>
                <w:sz w:val="16"/>
                <w:szCs w:val="16"/>
              </w:rPr>
              <w:t>045)</w:t>
            </w:r>
          </w:p>
        </w:tc>
        <w:tc>
          <w:tcPr>
            <w:tcW w:w="634" w:type="pct"/>
            <w:tcBorders>
              <w:top w:val="nil"/>
              <w:right w:val="nil"/>
            </w:tcBorders>
            <w:shd w:val="clear" w:color="000000" w:fill="FFFFFF"/>
          </w:tcPr>
          <w:p w14:paraId="2EA182D4" w14:textId="35212BB2"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228***</w:t>
            </w:r>
            <w:r w:rsidRPr="00694C51">
              <w:rPr>
                <w:rFonts w:cs="Times New Roman"/>
                <w:sz w:val="16"/>
                <w:szCs w:val="16"/>
              </w:rPr>
              <w:br/>
              <w:t>(0</w:t>
            </w:r>
            <w:r w:rsidR="00E63387">
              <w:rPr>
                <w:rFonts w:cs="Times New Roman"/>
                <w:sz w:val="16"/>
                <w:szCs w:val="16"/>
              </w:rPr>
              <w:t>,</w:t>
            </w:r>
            <w:r w:rsidRPr="00694C51">
              <w:rPr>
                <w:rFonts w:cs="Times New Roman"/>
                <w:sz w:val="16"/>
                <w:szCs w:val="16"/>
              </w:rPr>
              <w:t>046)</w:t>
            </w:r>
          </w:p>
        </w:tc>
        <w:tc>
          <w:tcPr>
            <w:tcW w:w="633" w:type="pct"/>
            <w:tcBorders>
              <w:top w:val="nil"/>
              <w:right w:val="nil"/>
            </w:tcBorders>
            <w:shd w:val="clear" w:color="000000" w:fill="FFFFFF"/>
          </w:tcPr>
          <w:p w14:paraId="5AF8D4D5" w14:textId="7480C25C"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420***</w:t>
            </w:r>
            <w:r w:rsidRPr="00694C51">
              <w:rPr>
                <w:rFonts w:cs="Times New Roman"/>
                <w:sz w:val="16"/>
                <w:szCs w:val="16"/>
              </w:rPr>
              <w:br/>
              <w:t>(0</w:t>
            </w:r>
            <w:r w:rsidR="00E63387">
              <w:rPr>
                <w:rFonts w:cs="Times New Roman"/>
                <w:sz w:val="16"/>
                <w:szCs w:val="16"/>
              </w:rPr>
              <w:t>,</w:t>
            </w:r>
            <w:r w:rsidRPr="00694C51">
              <w:rPr>
                <w:rFonts w:cs="Times New Roman"/>
                <w:sz w:val="16"/>
                <w:szCs w:val="16"/>
              </w:rPr>
              <w:t>050)</w:t>
            </w:r>
          </w:p>
        </w:tc>
        <w:tc>
          <w:tcPr>
            <w:tcW w:w="633" w:type="pct"/>
            <w:tcBorders>
              <w:top w:val="nil"/>
              <w:right w:val="nil"/>
            </w:tcBorders>
            <w:shd w:val="clear" w:color="000000" w:fill="FFFFFF"/>
          </w:tcPr>
          <w:p w14:paraId="2E0AA0E3" w14:textId="289548A6"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240***</w:t>
            </w:r>
            <w:r w:rsidRPr="00694C51">
              <w:rPr>
                <w:rFonts w:cs="Times New Roman"/>
                <w:sz w:val="16"/>
                <w:szCs w:val="16"/>
              </w:rPr>
              <w:br/>
              <w:t>(0</w:t>
            </w:r>
            <w:r w:rsidR="00E63387">
              <w:rPr>
                <w:rFonts w:cs="Times New Roman"/>
                <w:sz w:val="16"/>
                <w:szCs w:val="16"/>
              </w:rPr>
              <w:t>,</w:t>
            </w:r>
            <w:r w:rsidRPr="00694C51">
              <w:rPr>
                <w:rFonts w:cs="Times New Roman"/>
                <w:sz w:val="16"/>
                <w:szCs w:val="16"/>
              </w:rPr>
              <w:t>042)</w:t>
            </w:r>
          </w:p>
        </w:tc>
        <w:tc>
          <w:tcPr>
            <w:tcW w:w="633" w:type="pct"/>
            <w:tcBorders>
              <w:top w:val="nil"/>
              <w:left w:val="nil"/>
              <w:right w:val="nil"/>
            </w:tcBorders>
            <w:shd w:val="clear" w:color="000000" w:fill="FFFFFF"/>
          </w:tcPr>
          <w:p w14:paraId="6D1A12EB" w14:textId="3E3EAE3B"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699***</w:t>
            </w:r>
            <w:r w:rsidRPr="00694C51">
              <w:rPr>
                <w:rFonts w:cs="Times New Roman"/>
                <w:sz w:val="16"/>
                <w:szCs w:val="16"/>
              </w:rPr>
              <w:br/>
              <w:t>(0</w:t>
            </w:r>
            <w:r w:rsidR="00E63387">
              <w:rPr>
                <w:rFonts w:cs="Times New Roman"/>
                <w:sz w:val="16"/>
                <w:szCs w:val="16"/>
              </w:rPr>
              <w:t>,</w:t>
            </w:r>
            <w:r w:rsidRPr="00694C51">
              <w:rPr>
                <w:rFonts w:cs="Times New Roman"/>
                <w:sz w:val="16"/>
                <w:szCs w:val="16"/>
              </w:rPr>
              <w:t>033)</w:t>
            </w:r>
          </w:p>
        </w:tc>
      </w:tr>
      <w:tr w:rsidR="00694C51" w:rsidRPr="00FC4EB7" w14:paraId="07D92ABF" w14:textId="77777777" w:rsidTr="00396964">
        <w:trPr>
          <w:trHeight w:val="20"/>
          <w:jc w:val="center"/>
        </w:trPr>
        <w:tc>
          <w:tcPr>
            <w:tcW w:w="1201" w:type="pct"/>
            <w:tcBorders>
              <w:top w:val="nil"/>
              <w:left w:val="nil"/>
            </w:tcBorders>
            <w:shd w:val="clear" w:color="000000" w:fill="FFFFFF"/>
          </w:tcPr>
          <w:p w14:paraId="7F6E9FF3" w14:textId="69CC2236" w:rsidR="00694C51" w:rsidRPr="00FC4EB7" w:rsidRDefault="00694C51" w:rsidP="001A4E15">
            <w:pPr>
              <w:pStyle w:val="Listenabsatz"/>
              <w:numPr>
                <w:ilvl w:val="0"/>
                <w:numId w:val="10"/>
              </w:numPr>
              <w:snapToGrid w:val="0"/>
              <w:spacing w:before="40" w:after="0" w:line="240" w:lineRule="auto"/>
              <w:ind w:left="142" w:hanging="142"/>
              <w:jc w:val="left"/>
              <w:rPr>
                <w:color w:val="000000"/>
                <w:sz w:val="16"/>
                <w:szCs w:val="16"/>
              </w:rPr>
            </w:pPr>
            <w:r w:rsidRPr="00FC4EB7">
              <w:rPr>
                <w:color w:val="000000"/>
                <w:sz w:val="16"/>
                <w:szCs w:val="16"/>
              </w:rPr>
              <w:t>Kleine Unternehmen</w:t>
            </w:r>
          </w:p>
        </w:tc>
        <w:tc>
          <w:tcPr>
            <w:tcW w:w="633" w:type="pct"/>
            <w:tcBorders>
              <w:top w:val="nil"/>
              <w:right w:val="nil"/>
            </w:tcBorders>
            <w:shd w:val="clear" w:color="000000" w:fill="FFFFFF"/>
            <w:noWrap/>
          </w:tcPr>
          <w:p w14:paraId="51FB3B7E" w14:textId="6A59C769"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122***</w:t>
            </w:r>
            <w:r w:rsidRPr="00694C51">
              <w:rPr>
                <w:rFonts w:cs="Times New Roman"/>
                <w:sz w:val="16"/>
                <w:szCs w:val="16"/>
              </w:rPr>
              <w:br/>
              <w:t>(0</w:t>
            </w:r>
            <w:r w:rsidR="00E63387">
              <w:rPr>
                <w:rFonts w:cs="Times New Roman"/>
                <w:sz w:val="16"/>
                <w:szCs w:val="16"/>
              </w:rPr>
              <w:t>,</w:t>
            </w:r>
            <w:r w:rsidRPr="00694C51">
              <w:rPr>
                <w:rFonts w:cs="Times New Roman"/>
                <w:sz w:val="16"/>
                <w:szCs w:val="16"/>
              </w:rPr>
              <w:t>041)</w:t>
            </w:r>
          </w:p>
        </w:tc>
        <w:tc>
          <w:tcPr>
            <w:tcW w:w="633" w:type="pct"/>
            <w:tcBorders>
              <w:top w:val="nil"/>
              <w:right w:val="nil"/>
            </w:tcBorders>
            <w:shd w:val="clear" w:color="000000" w:fill="FFFFFF"/>
          </w:tcPr>
          <w:p w14:paraId="56B75046" w14:textId="7F68A799"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113**</w:t>
            </w:r>
            <w:r w:rsidRPr="00694C51">
              <w:rPr>
                <w:rFonts w:cs="Times New Roman"/>
                <w:sz w:val="16"/>
                <w:szCs w:val="16"/>
              </w:rPr>
              <w:br/>
              <w:t>(0</w:t>
            </w:r>
            <w:r w:rsidR="00E63387">
              <w:rPr>
                <w:rFonts w:cs="Times New Roman"/>
                <w:sz w:val="16"/>
                <w:szCs w:val="16"/>
              </w:rPr>
              <w:t>,</w:t>
            </w:r>
            <w:r w:rsidRPr="00694C51">
              <w:rPr>
                <w:rFonts w:cs="Times New Roman"/>
                <w:sz w:val="16"/>
                <w:szCs w:val="16"/>
              </w:rPr>
              <w:t>044)</w:t>
            </w:r>
          </w:p>
        </w:tc>
        <w:tc>
          <w:tcPr>
            <w:tcW w:w="634" w:type="pct"/>
            <w:tcBorders>
              <w:top w:val="nil"/>
              <w:right w:val="nil"/>
            </w:tcBorders>
            <w:shd w:val="clear" w:color="000000" w:fill="FFFFFF"/>
          </w:tcPr>
          <w:p w14:paraId="6F05393B" w14:textId="0AAE4242"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114***</w:t>
            </w:r>
            <w:r w:rsidRPr="00694C51">
              <w:rPr>
                <w:rFonts w:cs="Times New Roman"/>
                <w:sz w:val="16"/>
                <w:szCs w:val="16"/>
              </w:rPr>
              <w:br/>
              <w:t>(0</w:t>
            </w:r>
            <w:r w:rsidR="00E63387">
              <w:rPr>
                <w:rFonts w:cs="Times New Roman"/>
                <w:sz w:val="16"/>
                <w:szCs w:val="16"/>
              </w:rPr>
              <w:t>,</w:t>
            </w:r>
            <w:r w:rsidRPr="00694C51">
              <w:rPr>
                <w:rFonts w:cs="Times New Roman"/>
                <w:sz w:val="16"/>
                <w:szCs w:val="16"/>
              </w:rPr>
              <w:t>044)</w:t>
            </w:r>
          </w:p>
        </w:tc>
        <w:tc>
          <w:tcPr>
            <w:tcW w:w="633" w:type="pct"/>
            <w:tcBorders>
              <w:top w:val="nil"/>
              <w:right w:val="nil"/>
            </w:tcBorders>
            <w:shd w:val="clear" w:color="000000" w:fill="FFFFFF"/>
          </w:tcPr>
          <w:p w14:paraId="6EC3CC24" w14:textId="502D720E"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203***</w:t>
            </w:r>
            <w:r w:rsidRPr="00694C51">
              <w:rPr>
                <w:rFonts w:cs="Times New Roman"/>
                <w:sz w:val="16"/>
                <w:szCs w:val="16"/>
              </w:rPr>
              <w:br/>
              <w:t>(0</w:t>
            </w:r>
            <w:r w:rsidR="00E63387">
              <w:rPr>
                <w:rFonts w:cs="Times New Roman"/>
                <w:sz w:val="16"/>
                <w:szCs w:val="16"/>
              </w:rPr>
              <w:t>,</w:t>
            </w:r>
            <w:r w:rsidRPr="00694C51">
              <w:rPr>
                <w:rFonts w:cs="Times New Roman"/>
                <w:sz w:val="16"/>
                <w:szCs w:val="16"/>
              </w:rPr>
              <w:t>044)</w:t>
            </w:r>
          </w:p>
        </w:tc>
        <w:tc>
          <w:tcPr>
            <w:tcW w:w="633" w:type="pct"/>
            <w:tcBorders>
              <w:top w:val="nil"/>
              <w:right w:val="nil"/>
            </w:tcBorders>
            <w:shd w:val="clear" w:color="000000" w:fill="FFFFFF"/>
          </w:tcPr>
          <w:p w14:paraId="4B602C7A" w14:textId="5E95F3F8"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003</w:t>
            </w:r>
            <w:r w:rsidRPr="00694C51">
              <w:rPr>
                <w:rFonts w:cs="Times New Roman"/>
                <w:sz w:val="16"/>
                <w:szCs w:val="16"/>
              </w:rPr>
              <w:br/>
              <w:t>(0</w:t>
            </w:r>
            <w:r w:rsidR="00E63387">
              <w:rPr>
                <w:rFonts w:cs="Times New Roman"/>
                <w:sz w:val="16"/>
                <w:szCs w:val="16"/>
              </w:rPr>
              <w:t>,</w:t>
            </w:r>
            <w:r w:rsidRPr="00694C51">
              <w:rPr>
                <w:rFonts w:cs="Times New Roman"/>
                <w:sz w:val="16"/>
                <w:szCs w:val="16"/>
              </w:rPr>
              <w:t>038)</w:t>
            </w:r>
          </w:p>
        </w:tc>
        <w:tc>
          <w:tcPr>
            <w:tcW w:w="633" w:type="pct"/>
            <w:tcBorders>
              <w:top w:val="nil"/>
              <w:left w:val="nil"/>
              <w:right w:val="nil"/>
            </w:tcBorders>
            <w:shd w:val="clear" w:color="000000" w:fill="FFFFFF"/>
          </w:tcPr>
          <w:p w14:paraId="2E262153" w14:textId="123275AA"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348***</w:t>
            </w:r>
            <w:r w:rsidRPr="00694C51">
              <w:rPr>
                <w:rFonts w:cs="Times New Roman"/>
                <w:sz w:val="16"/>
                <w:szCs w:val="16"/>
              </w:rPr>
              <w:br/>
              <w:t>(0</w:t>
            </w:r>
            <w:r w:rsidR="00E63387">
              <w:rPr>
                <w:rFonts w:cs="Times New Roman"/>
                <w:sz w:val="16"/>
                <w:szCs w:val="16"/>
              </w:rPr>
              <w:t>,</w:t>
            </w:r>
            <w:r w:rsidRPr="00694C51">
              <w:rPr>
                <w:rFonts w:cs="Times New Roman"/>
                <w:sz w:val="16"/>
                <w:szCs w:val="16"/>
              </w:rPr>
              <w:t>032)</w:t>
            </w:r>
          </w:p>
        </w:tc>
      </w:tr>
      <w:tr w:rsidR="00694C51" w:rsidRPr="00FC4EB7" w14:paraId="602A4C07" w14:textId="77777777" w:rsidTr="00396964">
        <w:trPr>
          <w:trHeight w:val="20"/>
          <w:jc w:val="center"/>
        </w:trPr>
        <w:tc>
          <w:tcPr>
            <w:tcW w:w="1201" w:type="pct"/>
            <w:tcBorders>
              <w:left w:val="nil"/>
              <w:bottom w:val="dotted" w:sz="4" w:space="0" w:color="auto"/>
            </w:tcBorders>
            <w:shd w:val="clear" w:color="000000" w:fill="FFFFFF"/>
          </w:tcPr>
          <w:p w14:paraId="3149A0B4" w14:textId="0133F36C" w:rsidR="00694C51" w:rsidRPr="00FC4EB7" w:rsidRDefault="00694C51" w:rsidP="001A4E15">
            <w:pPr>
              <w:pStyle w:val="Listenabsatz"/>
              <w:numPr>
                <w:ilvl w:val="0"/>
                <w:numId w:val="10"/>
              </w:numPr>
              <w:snapToGrid w:val="0"/>
              <w:spacing w:after="40" w:line="240" w:lineRule="auto"/>
              <w:ind w:left="142" w:hanging="142"/>
              <w:jc w:val="left"/>
              <w:rPr>
                <w:color w:val="000000"/>
                <w:sz w:val="16"/>
                <w:szCs w:val="16"/>
              </w:rPr>
            </w:pPr>
            <w:r w:rsidRPr="00FC4EB7">
              <w:rPr>
                <w:color w:val="000000"/>
                <w:sz w:val="16"/>
                <w:szCs w:val="16"/>
              </w:rPr>
              <w:t>Mittlere Unternehmen</w:t>
            </w:r>
            <w:r w:rsidR="00082EB7">
              <w:rPr>
                <w:color w:val="000000"/>
                <w:sz w:val="16"/>
                <w:szCs w:val="16"/>
              </w:rPr>
              <w:t xml:space="preserve"> (Referenzgruppe)</w:t>
            </w:r>
          </w:p>
        </w:tc>
        <w:tc>
          <w:tcPr>
            <w:tcW w:w="633" w:type="pct"/>
            <w:tcBorders>
              <w:bottom w:val="dotted" w:sz="4" w:space="0" w:color="auto"/>
              <w:right w:val="nil"/>
            </w:tcBorders>
            <w:shd w:val="clear" w:color="000000" w:fill="FFFFFF"/>
            <w:noWrap/>
          </w:tcPr>
          <w:p w14:paraId="70A6DF85" w14:textId="3102D5F6" w:rsidR="00694C51" w:rsidRPr="00694C51" w:rsidRDefault="00694C51" w:rsidP="00996DC5">
            <w:pPr>
              <w:snapToGrid w:val="0"/>
              <w:spacing w:before="40" w:after="40" w:line="240" w:lineRule="auto"/>
              <w:jc w:val="left"/>
              <w:rPr>
                <w:rFonts w:cs="Times New Roman"/>
                <w:color w:val="000000"/>
                <w:sz w:val="16"/>
                <w:szCs w:val="16"/>
              </w:rPr>
            </w:pPr>
          </w:p>
        </w:tc>
        <w:tc>
          <w:tcPr>
            <w:tcW w:w="633" w:type="pct"/>
            <w:tcBorders>
              <w:bottom w:val="dotted" w:sz="4" w:space="0" w:color="auto"/>
              <w:right w:val="nil"/>
            </w:tcBorders>
            <w:shd w:val="clear" w:color="000000" w:fill="FFFFFF"/>
          </w:tcPr>
          <w:p w14:paraId="07C9B91A" w14:textId="77777777" w:rsidR="00694C51" w:rsidRPr="00694C51" w:rsidRDefault="00694C51" w:rsidP="00996DC5">
            <w:pPr>
              <w:snapToGrid w:val="0"/>
              <w:spacing w:before="40" w:after="40" w:line="240" w:lineRule="auto"/>
              <w:jc w:val="left"/>
              <w:rPr>
                <w:rFonts w:cs="Times New Roman"/>
                <w:color w:val="000000"/>
                <w:spacing w:val="-2"/>
                <w:sz w:val="16"/>
                <w:szCs w:val="16"/>
              </w:rPr>
            </w:pPr>
          </w:p>
        </w:tc>
        <w:tc>
          <w:tcPr>
            <w:tcW w:w="634" w:type="pct"/>
            <w:tcBorders>
              <w:bottom w:val="dotted" w:sz="4" w:space="0" w:color="auto"/>
              <w:right w:val="nil"/>
            </w:tcBorders>
            <w:shd w:val="clear" w:color="000000" w:fill="FFFFFF"/>
          </w:tcPr>
          <w:p w14:paraId="3CA8E0E9" w14:textId="77777777" w:rsidR="00694C51" w:rsidRPr="00694C51" w:rsidRDefault="00694C51" w:rsidP="00996DC5">
            <w:pPr>
              <w:snapToGrid w:val="0"/>
              <w:spacing w:before="40" w:after="40" w:line="240" w:lineRule="auto"/>
              <w:jc w:val="left"/>
              <w:rPr>
                <w:rFonts w:cs="Times New Roman"/>
                <w:color w:val="000000"/>
                <w:spacing w:val="-2"/>
                <w:sz w:val="16"/>
                <w:szCs w:val="16"/>
              </w:rPr>
            </w:pPr>
          </w:p>
        </w:tc>
        <w:tc>
          <w:tcPr>
            <w:tcW w:w="633" w:type="pct"/>
            <w:tcBorders>
              <w:bottom w:val="dotted" w:sz="4" w:space="0" w:color="auto"/>
              <w:right w:val="nil"/>
            </w:tcBorders>
            <w:shd w:val="clear" w:color="000000" w:fill="FFFFFF"/>
          </w:tcPr>
          <w:p w14:paraId="6301F103" w14:textId="77777777" w:rsidR="00694C51" w:rsidRPr="00694C51" w:rsidRDefault="00694C51" w:rsidP="00996DC5">
            <w:pPr>
              <w:snapToGrid w:val="0"/>
              <w:spacing w:before="40" w:after="40" w:line="240" w:lineRule="auto"/>
              <w:jc w:val="left"/>
              <w:rPr>
                <w:rFonts w:cs="Times New Roman"/>
                <w:color w:val="000000"/>
                <w:spacing w:val="-2"/>
                <w:sz w:val="16"/>
                <w:szCs w:val="16"/>
              </w:rPr>
            </w:pPr>
          </w:p>
        </w:tc>
        <w:tc>
          <w:tcPr>
            <w:tcW w:w="633" w:type="pct"/>
            <w:tcBorders>
              <w:bottom w:val="dotted" w:sz="4" w:space="0" w:color="auto"/>
              <w:right w:val="nil"/>
            </w:tcBorders>
            <w:shd w:val="clear" w:color="000000" w:fill="FFFFFF"/>
          </w:tcPr>
          <w:p w14:paraId="190AC9F2" w14:textId="77777777" w:rsidR="00694C51" w:rsidRPr="00694C51" w:rsidRDefault="00694C51" w:rsidP="00996DC5">
            <w:pPr>
              <w:snapToGrid w:val="0"/>
              <w:spacing w:before="40" w:after="40" w:line="240" w:lineRule="auto"/>
              <w:jc w:val="left"/>
              <w:rPr>
                <w:rFonts w:cs="Times New Roman"/>
                <w:color w:val="000000"/>
                <w:spacing w:val="-2"/>
                <w:sz w:val="16"/>
                <w:szCs w:val="16"/>
              </w:rPr>
            </w:pPr>
          </w:p>
        </w:tc>
        <w:tc>
          <w:tcPr>
            <w:tcW w:w="633" w:type="pct"/>
            <w:tcBorders>
              <w:left w:val="nil"/>
              <w:bottom w:val="dotted" w:sz="4" w:space="0" w:color="auto"/>
              <w:right w:val="nil"/>
            </w:tcBorders>
            <w:shd w:val="clear" w:color="000000" w:fill="FFFFFF"/>
          </w:tcPr>
          <w:p w14:paraId="4CD9F21E" w14:textId="439728F3" w:rsidR="00694C51" w:rsidRPr="00694C51" w:rsidRDefault="00694C51" w:rsidP="00996DC5">
            <w:pPr>
              <w:snapToGrid w:val="0"/>
              <w:spacing w:before="40" w:after="40" w:line="240" w:lineRule="auto"/>
              <w:jc w:val="left"/>
              <w:rPr>
                <w:rFonts w:cs="Times New Roman"/>
                <w:color w:val="000000"/>
                <w:spacing w:val="-2"/>
                <w:sz w:val="16"/>
                <w:szCs w:val="16"/>
              </w:rPr>
            </w:pPr>
          </w:p>
        </w:tc>
      </w:tr>
      <w:tr w:rsidR="00694C51" w:rsidRPr="00FC4EB7" w14:paraId="103E8810" w14:textId="77777777" w:rsidTr="00396964">
        <w:trPr>
          <w:trHeight w:val="20"/>
          <w:jc w:val="center"/>
        </w:trPr>
        <w:tc>
          <w:tcPr>
            <w:tcW w:w="1201" w:type="pct"/>
            <w:tcBorders>
              <w:left w:val="nil"/>
              <w:bottom w:val="dotted" w:sz="4" w:space="0" w:color="auto"/>
            </w:tcBorders>
            <w:shd w:val="clear" w:color="000000" w:fill="FFFFFF"/>
          </w:tcPr>
          <w:p w14:paraId="548EAD34" w14:textId="1C4004CB" w:rsidR="00694C51" w:rsidRPr="00F906E9" w:rsidRDefault="00694C51" w:rsidP="00996DC5">
            <w:pPr>
              <w:snapToGrid w:val="0"/>
              <w:spacing w:before="40" w:after="40" w:line="240" w:lineRule="auto"/>
              <w:jc w:val="left"/>
              <w:rPr>
                <w:i/>
                <w:iCs/>
                <w:color w:val="000000"/>
                <w:sz w:val="16"/>
                <w:szCs w:val="16"/>
              </w:rPr>
            </w:pPr>
            <w:r w:rsidRPr="00F906E9">
              <w:rPr>
                <w:i/>
                <w:iCs/>
                <w:color w:val="000000"/>
                <w:sz w:val="16"/>
                <w:szCs w:val="16"/>
              </w:rPr>
              <w:t>Ergebnisse des t-Tests</w:t>
            </w:r>
          </w:p>
        </w:tc>
        <w:tc>
          <w:tcPr>
            <w:tcW w:w="633" w:type="pct"/>
            <w:tcBorders>
              <w:bottom w:val="dotted" w:sz="4" w:space="0" w:color="auto"/>
              <w:right w:val="nil"/>
            </w:tcBorders>
            <w:shd w:val="clear" w:color="000000" w:fill="FFFFFF"/>
            <w:noWrap/>
          </w:tcPr>
          <w:p w14:paraId="00977EDC" w14:textId="778FC63E"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p &lt; 0</w:t>
            </w:r>
            <w:r w:rsidR="00E63387">
              <w:rPr>
                <w:rFonts w:cs="Times New Roman"/>
                <w:sz w:val="16"/>
                <w:szCs w:val="16"/>
              </w:rPr>
              <w:t>,</w:t>
            </w:r>
            <w:r w:rsidRPr="00694C51">
              <w:rPr>
                <w:rFonts w:cs="Times New Roman"/>
                <w:sz w:val="16"/>
                <w:szCs w:val="16"/>
              </w:rPr>
              <w:t>01</w:t>
            </w:r>
          </w:p>
        </w:tc>
        <w:tc>
          <w:tcPr>
            <w:tcW w:w="633" w:type="pct"/>
            <w:tcBorders>
              <w:bottom w:val="dotted" w:sz="4" w:space="0" w:color="auto"/>
              <w:right w:val="nil"/>
            </w:tcBorders>
            <w:shd w:val="clear" w:color="000000" w:fill="FFFFFF"/>
          </w:tcPr>
          <w:p w14:paraId="77EFB1B7" w14:textId="7E31A1A0" w:rsidR="00694C51" w:rsidRPr="00694C51" w:rsidRDefault="00694C51" w:rsidP="00996DC5">
            <w:pPr>
              <w:snapToGrid w:val="0"/>
              <w:spacing w:before="40" w:after="40" w:line="240" w:lineRule="auto"/>
              <w:jc w:val="left"/>
              <w:rPr>
                <w:rFonts w:cs="Times New Roman"/>
                <w:spacing w:val="-2"/>
                <w:sz w:val="16"/>
                <w:szCs w:val="16"/>
              </w:rPr>
            </w:pPr>
            <w:r w:rsidRPr="00694C51">
              <w:rPr>
                <w:rFonts w:cs="Times New Roman"/>
                <w:sz w:val="16"/>
                <w:szCs w:val="16"/>
              </w:rPr>
              <w:t>p &lt; 0</w:t>
            </w:r>
            <w:r w:rsidR="00E63387">
              <w:rPr>
                <w:rFonts w:cs="Times New Roman"/>
                <w:sz w:val="16"/>
                <w:szCs w:val="16"/>
              </w:rPr>
              <w:t>,</w:t>
            </w:r>
            <w:r w:rsidRPr="00694C51">
              <w:rPr>
                <w:rFonts w:cs="Times New Roman"/>
                <w:sz w:val="16"/>
                <w:szCs w:val="16"/>
              </w:rPr>
              <w:t>01</w:t>
            </w:r>
          </w:p>
        </w:tc>
        <w:tc>
          <w:tcPr>
            <w:tcW w:w="634" w:type="pct"/>
            <w:tcBorders>
              <w:bottom w:val="dotted" w:sz="4" w:space="0" w:color="auto"/>
              <w:right w:val="nil"/>
            </w:tcBorders>
            <w:shd w:val="clear" w:color="000000" w:fill="FFFFFF"/>
          </w:tcPr>
          <w:p w14:paraId="012D535A" w14:textId="4E922B27" w:rsidR="00694C51" w:rsidRPr="00694C51" w:rsidRDefault="00694C51" w:rsidP="00996DC5">
            <w:pPr>
              <w:snapToGrid w:val="0"/>
              <w:spacing w:before="40" w:after="40" w:line="240" w:lineRule="auto"/>
              <w:jc w:val="left"/>
              <w:rPr>
                <w:rFonts w:cs="Times New Roman"/>
                <w:spacing w:val="-2"/>
                <w:sz w:val="16"/>
                <w:szCs w:val="16"/>
              </w:rPr>
            </w:pPr>
            <w:r w:rsidRPr="00694C51">
              <w:rPr>
                <w:rFonts w:cs="Times New Roman"/>
                <w:sz w:val="16"/>
                <w:szCs w:val="16"/>
              </w:rPr>
              <w:t>p &lt; 0</w:t>
            </w:r>
            <w:r w:rsidR="00E63387">
              <w:rPr>
                <w:rFonts w:cs="Times New Roman"/>
                <w:sz w:val="16"/>
                <w:szCs w:val="16"/>
              </w:rPr>
              <w:t>,</w:t>
            </w:r>
            <w:r w:rsidRPr="00694C51">
              <w:rPr>
                <w:rFonts w:cs="Times New Roman"/>
                <w:sz w:val="16"/>
                <w:szCs w:val="16"/>
              </w:rPr>
              <w:t>05</w:t>
            </w:r>
          </w:p>
        </w:tc>
        <w:tc>
          <w:tcPr>
            <w:tcW w:w="633" w:type="pct"/>
            <w:tcBorders>
              <w:bottom w:val="dotted" w:sz="4" w:space="0" w:color="auto"/>
              <w:right w:val="nil"/>
            </w:tcBorders>
            <w:shd w:val="clear" w:color="000000" w:fill="FFFFFF"/>
          </w:tcPr>
          <w:p w14:paraId="63306C16" w14:textId="684A99F0" w:rsidR="00694C51" w:rsidRPr="00694C51" w:rsidRDefault="00694C51" w:rsidP="00996DC5">
            <w:pPr>
              <w:snapToGrid w:val="0"/>
              <w:spacing w:before="40" w:after="40" w:line="240" w:lineRule="auto"/>
              <w:jc w:val="left"/>
              <w:rPr>
                <w:rFonts w:cs="Times New Roman"/>
                <w:spacing w:val="-2"/>
                <w:sz w:val="16"/>
                <w:szCs w:val="16"/>
              </w:rPr>
            </w:pPr>
            <w:r w:rsidRPr="00694C51">
              <w:rPr>
                <w:rFonts w:cs="Times New Roman"/>
                <w:sz w:val="16"/>
                <w:szCs w:val="16"/>
              </w:rPr>
              <w:t>p &lt; 0</w:t>
            </w:r>
            <w:r w:rsidR="00E63387">
              <w:rPr>
                <w:rFonts w:cs="Times New Roman"/>
                <w:sz w:val="16"/>
                <w:szCs w:val="16"/>
              </w:rPr>
              <w:t>,</w:t>
            </w:r>
            <w:r w:rsidRPr="00694C51">
              <w:rPr>
                <w:rFonts w:cs="Times New Roman"/>
                <w:sz w:val="16"/>
                <w:szCs w:val="16"/>
              </w:rPr>
              <w:t>01</w:t>
            </w:r>
          </w:p>
        </w:tc>
        <w:tc>
          <w:tcPr>
            <w:tcW w:w="633" w:type="pct"/>
            <w:tcBorders>
              <w:bottom w:val="dotted" w:sz="4" w:space="0" w:color="auto"/>
              <w:right w:val="nil"/>
            </w:tcBorders>
            <w:shd w:val="clear" w:color="000000" w:fill="FFFFFF"/>
          </w:tcPr>
          <w:p w14:paraId="5A68F799" w14:textId="5A22AC03" w:rsidR="00694C51" w:rsidRPr="00694C51" w:rsidRDefault="00694C51" w:rsidP="00996DC5">
            <w:pPr>
              <w:snapToGrid w:val="0"/>
              <w:spacing w:before="40" w:after="40" w:line="240" w:lineRule="auto"/>
              <w:jc w:val="left"/>
              <w:rPr>
                <w:rFonts w:cs="Times New Roman"/>
                <w:spacing w:val="-2"/>
                <w:sz w:val="16"/>
                <w:szCs w:val="16"/>
              </w:rPr>
            </w:pPr>
            <w:r w:rsidRPr="00694C51">
              <w:rPr>
                <w:rFonts w:cs="Times New Roman"/>
                <w:sz w:val="16"/>
                <w:szCs w:val="16"/>
              </w:rPr>
              <w:t>p &lt; 0</w:t>
            </w:r>
            <w:r w:rsidR="00E63387">
              <w:rPr>
                <w:rFonts w:cs="Times New Roman"/>
                <w:sz w:val="16"/>
                <w:szCs w:val="16"/>
              </w:rPr>
              <w:t>,</w:t>
            </w:r>
            <w:r w:rsidRPr="00694C51">
              <w:rPr>
                <w:rFonts w:cs="Times New Roman"/>
                <w:sz w:val="16"/>
                <w:szCs w:val="16"/>
              </w:rPr>
              <w:t>01</w:t>
            </w:r>
          </w:p>
        </w:tc>
        <w:tc>
          <w:tcPr>
            <w:tcW w:w="633" w:type="pct"/>
            <w:tcBorders>
              <w:left w:val="nil"/>
              <w:bottom w:val="dotted" w:sz="4" w:space="0" w:color="auto"/>
              <w:right w:val="nil"/>
            </w:tcBorders>
            <w:shd w:val="clear" w:color="000000" w:fill="FFFFFF"/>
          </w:tcPr>
          <w:p w14:paraId="4EEA5EAA" w14:textId="1BE3B43A" w:rsidR="00694C51" w:rsidRPr="00694C51" w:rsidRDefault="00694C51" w:rsidP="00996DC5">
            <w:pPr>
              <w:snapToGrid w:val="0"/>
              <w:spacing w:before="40" w:after="40" w:line="240" w:lineRule="auto"/>
              <w:jc w:val="left"/>
              <w:rPr>
                <w:rFonts w:cs="Times New Roman"/>
                <w:spacing w:val="-2"/>
                <w:sz w:val="16"/>
                <w:szCs w:val="16"/>
              </w:rPr>
            </w:pPr>
            <w:r w:rsidRPr="00694C51">
              <w:rPr>
                <w:rFonts w:cs="Times New Roman"/>
                <w:sz w:val="16"/>
                <w:szCs w:val="16"/>
              </w:rPr>
              <w:t>p &lt; 0</w:t>
            </w:r>
            <w:r w:rsidR="00E63387">
              <w:rPr>
                <w:rFonts w:cs="Times New Roman"/>
                <w:sz w:val="16"/>
                <w:szCs w:val="16"/>
              </w:rPr>
              <w:t>,</w:t>
            </w:r>
            <w:r w:rsidRPr="00694C51">
              <w:rPr>
                <w:rFonts w:cs="Times New Roman"/>
                <w:sz w:val="16"/>
                <w:szCs w:val="16"/>
              </w:rPr>
              <w:t>01</w:t>
            </w:r>
          </w:p>
        </w:tc>
      </w:tr>
      <w:tr w:rsidR="00694C51" w:rsidRPr="00FC4EB7" w14:paraId="47B727C1" w14:textId="77777777" w:rsidTr="00396964">
        <w:trPr>
          <w:trHeight w:val="20"/>
          <w:jc w:val="center"/>
        </w:trPr>
        <w:tc>
          <w:tcPr>
            <w:tcW w:w="1201" w:type="pct"/>
            <w:tcBorders>
              <w:top w:val="nil"/>
              <w:left w:val="nil"/>
              <w:right w:val="nil"/>
            </w:tcBorders>
            <w:shd w:val="clear" w:color="000000" w:fill="FFFFFF"/>
          </w:tcPr>
          <w:p w14:paraId="51B38E4B" w14:textId="77777777" w:rsidR="00694C51" w:rsidRPr="00FC4EB7" w:rsidRDefault="00694C51" w:rsidP="00944E42">
            <w:pPr>
              <w:snapToGrid w:val="0"/>
              <w:spacing w:before="40" w:after="0" w:line="240" w:lineRule="auto"/>
              <w:jc w:val="left"/>
              <w:rPr>
                <w:i/>
                <w:iCs/>
                <w:color w:val="000000"/>
                <w:sz w:val="16"/>
                <w:szCs w:val="16"/>
              </w:rPr>
            </w:pPr>
            <w:r w:rsidRPr="00FC4EB7">
              <w:rPr>
                <w:i/>
                <w:iCs/>
                <w:color w:val="000000"/>
                <w:sz w:val="16"/>
                <w:szCs w:val="16"/>
              </w:rPr>
              <w:t>Kontrollvariablen</w:t>
            </w:r>
          </w:p>
        </w:tc>
        <w:tc>
          <w:tcPr>
            <w:tcW w:w="633" w:type="pct"/>
            <w:tcBorders>
              <w:top w:val="nil"/>
              <w:left w:val="nil"/>
              <w:right w:val="nil"/>
            </w:tcBorders>
            <w:shd w:val="clear" w:color="000000" w:fill="FFFFFF"/>
            <w:noWrap/>
          </w:tcPr>
          <w:p w14:paraId="7066C6B5" w14:textId="77777777" w:rsidR="00694C51" w:rsidRPr="00694C51" w:rsidRDefault="00694C51" w:rsidP="00996DC5">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272512B0" w14:textId="77777777" w:rsidR="00694C51" w:rsidRPr="00694C51" w:rsidRDefault="00694C51" w:rsidP="00996DC5">
            <w:pPr>
              <w:snapToGrid w:val="0"/>
              <w:spacing w:before="40" w:after="40" w:line="240" w:lineRule="auto"/>
              <w:jc w:val="left"/>
              <w:rPr>
                <w:rFonts w:cs="Times New Roman"/>
                <w:color w:val="000000"/>
                <w:sz w:val="16"/>
                <w:szCs w:val="16"/>
              </w:rPr>
            </w:pPr>
          </w:p>
        </w:tc>
        <w:tc>
          <w:tcPr>
            <w:tcW w:w="634" w:type="pct"/>
            <w:tcBorders>
              <w:top w:val="nil"/>
              <w:left w:val="nil"/>
              <w:right w:val="nil"/>
            </w:tcBorders>
            <w:shd w:val="clear" w:color="000000" w:fill="FFFFFF"/>
          </w:tcPr>
          <w:p w14:paraId="25CDAD95" w14:textId="77777777" w:rsidR="00694C51" w:rsidRPr="00694C51" w:rsidRDefault="00694C51" w:rsidP="00996DC5">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0EE0A529" w14:textId="77777777" w:rsidR="00694C51" w:rsidRPr="00694C51" w:rsidRDefault="00694C51" w:rsidP="00996DC5">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0CCC9F7E" w14:textId="77777777" w:rsidR="00694C51" w:rsidRPr="00694C51" w:rsidRDefault="00694C51" w:rsidP="00996DC5">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31E20A70" w14:textId="07EF924F" w:rsidR="00694C51" w:rsidRPr="00694C51" w:rsidRDefault="00694C51" w:rsidP="00996DC5">
            <w:pPr>
              <w:snapToGrid w:val="0"/>
              <w:spacing w:before="40" w:after="40" w:line="240" w:lineRule="auto"/>
              <w:jc w:val="left"/>
              <w:rPr>
                <w:rFonts w:cs="Times New Roman"/>
                <w:color w:val="000000"/>
                <w:sz w:val="16"/>
                <w:szCs w:val="16"/>
              </w:rPr>
            </w:pPr>
          </w:p>
        </w:tc>
      </w:tr>
      <w:tr w:rsidR="00694C51" w:rsidRPr="00FC4EB7" w14:paraId="74A28437" w14:textId="77777777" w:rsidTr="00396964">
        <w:trPr>
          <w:trHeight w:val="20"/>
          <w:jc w:val="center"/>
        </w:trPr>
        <w:tc>
          <w:tcPr>
            <w:tcW w:w="1201" w:type="pct"/>
            <w:tcBorders>
              <w:top w:val="nil"/>
              <w:left w:val="nil"/>
            </w:tcBorders>
            <w:shd w:val="clear" w:color="000000" w:fill="FFFFFF"/>
          </w:tcPr>
          <w:p w14:paraId="587CF260" w14:textId="77777777" w:rsidR="00694C51" w:rsidRPr="00F906E9" w:rsidRDefault="00694C51" w:rsidP="000164BC">
            <w:pPr>
              <w:snapToGrid w:val="0"/>
              <w:spacing w:before="40" w:after="0" w:line="240" w:lineRule="auto"/>
              <w:jc w:val="left"/>
              <w:rPr>
                <w:b/>
                <w:bCs/>
                <w:color w:val="000000"/>
                <w:sz w:val="16"/>
                <w:szCs w:val="16"/>
              </w:rPr>
            </w:pPr>
            <w:r w:rsidRPr="00F906E9">
              <w:rPr>
                <w:b/>
                <w:bCs/>
                <w:color w:val="000000"/>
                <w:sz w:val="16"/>
                <w:szCs w:val="16"/>
              </w:rPr>
              <w:t>Unternehmensalter</w:t>
            </w:r>
          </w:p>
        </w:tc>
        <w:tc>
          <w:tcPr>
            <w:tcW w:w="633" w:type="pct"/>
            <w:tcBorders>
              <w:top w:val="nil"/>
              <w:right w:val="nil"/>
            </w:tcBorders>
            <w:shd w:val="clear" w:color="000000" w:fill="FFFFFF"/>
            <w:noWrap/>
          </w:tcPr>
          <w:p w14:paraId="4C6B2FDB" w14:textId="7C056B61" w:rsidR="00694C51" w:rsidRPr="000164BC" w:rsidRDefault="00694C51" w:rsidP="00996DC5">
            <w:pPr>
              <w:snapToGrid w:val="0"/>
              <w:spacing w:before="40" w:after="40" w:line="240" w:lineRule="auto"/>
              <w:jc w:val="left"/>
              <w:rPr>
                <w:b/>
                <w:bCs/>
                <w:color w:val="000000"/>
                <w:sz w:val="16"/>
                <w:szCs w:val="16"/>
              </w:rPr>
            </w:pPr>
          </w:p>
        </w:tc>
        <w:tc>
          <w:tcPr>
            <w:tcW w:w="633" w:type="pct"/>
            <w:tcBorders>
              <w:top w:val="nil"/>
              <w:right w:val="nil"/>
            </w:tcBorders>
            <w:shd w:val="clear" w:color="000000" w:fill="FFFFFF"/>
          </w:tcPr>
          <w:p w14:paraId="4FF5811E" w14:textId="77777777" w:rsidR="00694C51" w:rsidRPr="000164BC" w:rsidRDefault="00694C51" w:rsidP="00996DC5">
            <w:pPr>
              <w:snapToGrid w:val="0"/>
              <w:spacing w:before="40" w:after="40" w:line="240" w:lineRule="auto"/>
              <w:jc w:val="left"/>
              <w:rPr>
                <w:b/>
                <w:bCs/>
                <w:color w:val="000000"/>
                <w:sz w:val="16"/>
                <w:szCs w:val="16"/>
              </w:rPr>
            </w:pPr>
          </w:p>
        </w:tc>
        <w:tc>
          <w:tcPr>
            <w:tcW w:w="634" w:type="pct"/>
            <w:tcBorders>
              <w:top w:val="nil"/>
              <w:right w:val="nil"/>
            </w:tcBorders>
            <w:shd w:val="clear" w:color="000000" w:fill="FFFFFF"/>
          </w:tcPr>
          <w:p w14:paraId="48227DAE" w14:textId="77777777" w:rsidR="00694C51" w:rsidRPr="000164BC" w:rsidRDefault="00694C51" w:rsidP="00996DC5">
            <w:pPr>
              <w:snapToGrid w:val="0"/>
              <w:spacing w:before="40" w:after="40" w:line="240" w:lineRule="auto"/>
              <w:jc w:val="left"/>
              <w:rPr>
                <w:b/>
                <w:bCs/>
                <w:color w:val="000000"/>
                <w:sz w:val="16"/>
                <w:szCs w:val="16"/>
              </w:rPr>
            </w:pPr>
          </w:p>
        </w:tc>
        <w:tc>
          <w:tcPr>
            <w:tcW w:w="633" w:type="pct"/>
            <w:tcBorders>
              <w:top w:val="nil"/>
              <w:right w:val="nil"/>
            </w:tcBorders>
            <w:shd w:val="clear" w:color="000000" w:fill="FFFFFF"/>
          </w:tcPr>
          <w:p w14:paraId="6083AFB1" w14:textId="77777777" w:rsidR="00694C51" w:rsidRPr="000164BC" w:rsidRDefault="00694C51" w:rsidP="00996DC5">
            <w:pPr>
              <w:snapToGrid w:val="0"/>
              <w:spacing w:before="40" w:after="40" w:line="240" w:lineRule="auto"/>
              <w:jc w:val="left"/>
              <w:rPr>
                <w:b/>
                <w:bCs/>
                <w:color w:val="000000"/>
                <w:sz w:val="16"/>
                <w:szCs w:val="16"/>
              </w:rPr>
            </w:pPr>
          </w:p>
        </w:tc>
        <w:tc>
          <w:tcPr>
            <w:tcW w:w="633" w:type="pct"/>
            <w:tcBorders>
              <w:top w:val="nil"/>
              <w:right w:val="nil"/>
            </w:tcBorders>
            <w:shd w:val="clear" w:color="000000" w:fill="FFFFFF"/>
          </w:tcPr>
          <w:p w14:paraId="65F592B2" w14:textId="77777777" w:rsidR="00694C51" w:rsidRPr="000164BC" w:rsidRDefault="00694C51" w:rsidP="00996DC5">
            <w:pPr>
              <w:snapToGrid w:val="0"/>
              <w:spacing w:before="40" w:after="40" w:line="240" w:lineRule="auto"/>
              <w:jc w:val="left"/>
              <w:rPr>
                <w:b/>
                <w:bCs/>
                <w:color w:val="000000"/>
                <w:sz w:val="16"/>
                <w:szCs w:val="16"/>
              </w:rPr>
            </w:pPr>
          </w:p>
        </w:tc>
        <w:tc>
          <w:tcPr>
            <w:tcW w:w="633" w:type="pct"/>
            <w:tcBorders>
              <w:top w:val="nil"/>
              <w:left w:val="nil"/>
              <w:right w:val="nil"/>
            </w:tcBorders>
            <w:shd w:val="clear" w:color="000000" w:fill="FFFFFF"/>
          </w:tcPr>
          <w:p w14:paraId="4717BC60" w14:textId="210F607E" w:rsidR="00694C51" w:rsidRPr="000164BC" w:rsidRDefault="00694C51" w:rsidP="00996DC5">
            <w:pPr>
              <w:snapToGrid w:val="0"/>
              <w:spacing w:before="40" w:after="40" w:line="240" w:lineRule="auto"/>
              <w:jc w:val="left"/>
              <w:rPr>
                <w:b/>
                <w:bCs/>
                <w:color w:val="000000"/>
                <w:sz w:val="16"/>
                <w:szCs w:val="16"/>
              </w:rPr>
            </w:pPr>
          </w:p>
        </w:tc>
      </w:tr>
      <w:tr w:rsidR="00694C51" w:rsidRPr="00FC4EB7" w14:paraId="40F7570E" w14:textId="77777777" w:rsidTr="00396964">
        <w:trPr>
          <w:trHeight w:val="20"/>
          <w:jc w:val="center"/>
        </w:trPr>
        <w:tc>
          <w:tcPr>
            <w:tcW w:w="1201" w:type="pct"/>
            <w:tcBorders>
              <w:top w:val="nil"/>
              <w:left w:val="nil"/>
            </w:tcBorders>
            <w:shd w:val="clear" w:color="000000" w:fill="FFFFFF"/>
          </w:tcPr>
          <w:p w14:paraId="38659B8E" w14:textId="63E1B05E" w:rsidR="00694C51" w:rsidRPr="00F01B0A" w:rsidRDefault="00694C51" w:rsidP="001A4E15">
            <w:pPr>
              <w:pStyle w:val="Listenabsatz"/>
              <w:numPr>
                <w:ilvl w:val="0"/>
                <w:numId w:val="10"/>
              </w:numPr>
              <w:snapToGrid w:val="0"/>
              <w:spacing w:before="40" w:after="40" w:line="240" w:lineRule="auto"/>
              <w:ind w:left="142" w:hanging="142"/>
              <w:jc w:val="left"/>
              <w:rPr>
                <w:color w:val="000000"/>
                <w:sz w:val="16"/>
                <w:szCs w:val="16"/>
              </w:rPr>
            </w:pPr>
            <w:r w:rsidRPr="00F01B0A">
              <w:rPr>
                <w:color w:val="000000"/>
                <w:sz w:val="16"/>
                <w:szCs w:val="16"/>
              </w:rPr>
              <w:t>&lt;2 Jahre</w:t>
            </w:r>
          </w:p>
        </w:tc>
        <w:tc>
          <w:tcPr>
            <w:tcW w:w="633" w:type="pct"/>
            <w:tcBorders>
              <w:top w:val="nil"/>
              <w:right w:val="nil"/>
            </w:tcBorders>
            <w:shd w:val="clear" w:color="000000" w:fill="FFFFFF"/>
            <w:noWrap/>
          </w:tcPr>
          <w:p w14:paraId="2D0D7BAA" w14:textId="0680371D"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064</w:t>
            </w:r>
            <w:r w:rsidRPr="00694C51">
              <w:rPr>
                <w:rFonts w:cs="Times New Roman"/>
                <w:sz w:val="16"/>
                <w:szCs w:val="16"/>
              </w:rPr>
              <w:br/>
              <w:t>(0</w:t>
            </w:r>
            <w:r w:rsidR="00E63387">
              <w:rPr>
                <w:rFonts w:cs="Times New Roman"/>
                <w:sz w:val="16"/>
                <w:szCs w:val="16"/>
              </w:rPr>
              <w:t>,</w:t>
            </w:r>
            <w:r w:rsidRPr="00694C51">
              <w:rPr>
                <w:rFonts w:cs="Times New Roman"/>
                <w:sz w:val="16"/>
                <w:szCs w:val="16"/>
              </w:rPr>
              <w:t>150)</w:t>
            </w:r>
          </w:p>
        </w:tc>
        <w:tc>
          <w:tcPr>
            <w:tcW w:w="633" w:type="pct"/>
            <w:tcBorders>
              <w:top w:val="nil"/>
              <w:right w:val="nil"/>
            </w:tcBorders>
            <w:shd w:val="clear" w:color="000000" w:fill="FFFFFF"/>
          </w:tcPr>
          <w:p w14:paraId="48AB1AAC" w14:textId="55CF6386"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562***</w:t>
            </w:r>
            <w:r w:rsidRPr="00694C51">
              <w:rPr>
                <w:rFonts w:cs="Times New Roman"/>
                <w:sz w:val="16"/>
                <w:szCs w:val="16"/>
              </w:rPr>
              <w:br/>
              <w:t>(0</w:t>
            </w:r>
            <w:r w:rsidR="00E63387">
              <w:rPr>
                <w:rFonts w:cs="Times New Roman"/>
                <w:sz w:val="16"/>
                <w:szCs w:val="16"/>
              </w:rPr>
              <w:t>,</w:t>
            </w:r>
            <w:r w:rsidRPr="00694C51">
              <w:rPr>
                <w:rFonts w:cs="Times New Roman"/>
                <w:sz w:val="16"/>
                <w:szCs w:val="16"/>
              </w:rPr>
              <w:t>208)</w:t>
            </w:r>
          </w:p>
        </w:tc>
        <w:tc>
          <w:tcPr>
            <w:tcW w:w="634" w:type="pct"/>
            <w:tcBorders>
              <w:top w:val="nil"/>
              <w:right w:val="nil"/>
            </w:tcBorders>
            <w:shd w:val="clear" w:color="000000" w:fill="FFFFFF"/>
          </w:tcPr>
          <w:p w14:paraId="1ECBDF38" w14:textId="6BBD888F"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241</w:t>
            </w:r>
            <w:r w:rsidRPr="00694C51">
              <w:rPr>
                <w:rFonts w:cs="Times New Roman"/>
                <w:sz w:val="16"/>
                <w:szCs w:val="16"/>
              </w:rPr>
              <w:br/>
              <w:t>(0</w:t>
            </w:r>
            <w:r w:rsidR="00E63387">
              <w:rPr>
                <w:rFonts w:cs="Times New Roman"/>
                <w:sz w:val="16"/>
                <w:szCs w:val="16"/>
              </w:rPr>
              <w:t>,</w:t>
            </w:r>
            <w:r w:rsidRPr="00694C51">
              <w:rPr>
                <w:rFonts w:cs="Times New Roman"/>
                <w:sz w:val="16"/>
                <w:szCs w:val="16"/>
              </w:rPr>
              <w:t>190)</w:t>
            </w:r>
          </w:p>
        </w:tc>
        <w:tc>
          <w:tcPr>
            <w:tcW w:w="633" w:type="pct"/>
            <w:tcBorders>
              <w:top w:val="nil"/>
              <w:right w:val="nil"/>
            </w:tcBorders>
            <w:shd w:val="clear" w:color="000000" w:fill="FFFFFF"/>
          </w:tcPr>
          <w:p w14:paraId="61B8D7EE" w14:textId="69784284"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049</w:t>
            </w:r>
            <w:r w:rsidRPr="00694C51">
              <w:rPr>
                <w:rFonts w:cs="Times New Roman"/>
                <w:sz w:val="16"/>
                <w:szCs w:val="16"/>
              </w:rPr>
              <w:br/>
              <w:t>(0</w:t>
            </w:r>
            <w:r w:rsidR="00E63387">
              <w:rPr>
                <w:rFonts w:cs="Times New Roman"/>
                <w:sz w:val="16"/>
                <w:szCs w:val="16"/>
              </w:rPr>
              <w:t>,</w:t>
            </w:r>
            <w:r w:rsidRPr="00694C51">
              <w:rPr>
                <w:rFonts w:cs="Times New Roman"/>
                <w:sz w:val="16"/>
                <w:szCs w:val="16"/>
              </w:rPr>
              <w:t>170)</w:t>
            </w:r>
          </w:p>
        </w:tc>
        <w:tc>
          <w:tcPr>
            <w:tcW w:w="633" w:type="pct"/>
            <w:tcBorders>
              <w:top w:val="nil"/>
              <w:right w:val="nil"/>
            </w:tcBorders>
            <w:shd w:val="clear" w:color="000000" w:fill="FFFFFF"/>
          </w:tcPr>
          <w:p w14:paraId="1FF66B28" w14:textId="63581B73"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036</w:t>
            </w:r>
            <w:r w:rsidRPr="00694C51">
              <w:rPr>
                <w:rFonts w:cs="Times New Roman"/>
                <w:sz w:val="16"/>
                <w:szCs w:val="16"/>
              </w:rPr>
              <w:br/>
              <w:t>(0</w:t>
            </w:r>
            <w:r w:rsidR="00E63387">
              <w:rPr>
                <w:rFonts w:cs="Times New Roman"/>
                <w:sz w:val="16"/>
                <w:szCs w:val="16"/>
              </w:rPr>
              <w:t>,</w:t>
            </w:r>
            <w:r w:rsidRPr="00694C51">
              <w:rPr>
                <w:rFonts w:cs="Times New Roman"/>
                <w:sz w:val="16"/>
                <w:szCs w:val="16"/>
              </w:rPr>
              <w:t>147)</w:t>
            </w:r>
          </w:p>
        </w:tc>
        <w:tc>
          <w:tcPr>
            <w:tcW w:w="633" w:type="pct"/>
            <w:tcBorders>
              <w:top w:val="nil"/>
              <w:left w:val="nil"/>
              <w:right w:val="nil"/>
            </w:tcBorders>
            <w:shd w:val="clear" w:color="000000" w:fill="FFFFFF"/>
          </w:tcPr>
          <w:p w14:paraId="794E03DE" w14:textId="403E55C4"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023</w:t>
            </w:r>
            <w:r w:rsidRPr="00694C51">
              <w:rPr>
                <w:rFonts w:cs="Times New Roman"/>
                <w:sz w:val="16"/>
                <w:szCs w:val="16"/>
              </w:rPr>
              <w:br/>
              <w:t>(0</w:t>
            </w:r>
            <w:r w:rsidR="00E63387">
              <w:rPr>
                <w:rFonts w:cs="Times New Roman"/>
                <w:sz w:val="16"/>
                <w:szCs w:val="16"/>
              </w:rPr>
              <w:t>,</w:t>
            </w:r>
            <w:r w:rsidRPr="00694C51">
              <w:rPr>
                <w:rFonts w:cs="Times New Roman"/>
                <w:sz w:val="16"/>
                <w:szCs w:val="16"/>
              </w:rPr>
              <w:t>108)</w:t>
            </w:r>
          </w:p>
        </w:tc>
      </w:tr>
      <w:tr w:rsidR="00694C51" w:rsidRPr="00FC4EB7" w14:paraId="2741E6BE" w14:textId="77777777" w:rsidTr="00396964">
        <w:trPr>
          <w:trHeight w:val="20"/>
          <w:jc w:val="center"/>
        </w:trPr>
        <w:tc>
          <w:tcPr>
            <w:tcW w:w="1201" w:type="pct"/>
            <w:tcBorders>
              <w:top w:val="nil"/>
              <w:left w:val="nil"/>
            </w:tcBorders>
            <w:shd w:val="clear" w:color="000000" w:fill="FFFFFF"/>
          </w:tcPr>
          <w:p w14:paraId="19B72DEA" w14:textId="6437E0F6" w:rsidR="00694C51" w:rsidRPr="00F01B0A" w:rsidRDefault="00694C51" w:rsidP="001A4E15">
            <w:pPr>
              <w:pStyle w:val="Listenabsatz"/>
              <w:numPr>
                <w:ilvl w:val="0"/>
                <w:numId w:val="10"/>
              </w:numPr>
              <w:snapToGrid w:val="0"/>
              <w:spacing w:before="40" w:after="40" w:line="240" w:lineRule="auto"/>
              <w:ind w:left="142" w:hanging="142"/>
              <w:jc w:val="left"/>
              <w:rPr>
                <w:color w:val="000000"/>
                <w:sz w:val="16"/>
                <w:szCs w:val="16"/>
              </w:rPr>
            </w:pPr>
            <w:r w:rsidRPr="00F01B0A">
              <w:rPr>
                <w:color w:val="000000"/>
                <w:sz w:val="16"/>
                <w:szCs w:val="16"/>
              </w:rPr>
              <w:t>2–4 Jahre</w:t>
            </w:r>
          </w:p>
        </w:tc>
        <w:tc>
          <w:tcPr>
            <w:tcW w:w="633" w:type="pct"/>
            <w:tcBorders>
              <w:top w:val="nil"/>
              <w:right w:val="nil"/>
            </w:tcBorders>
            <w:shd w:val="clear" w:color="000000" w:fill="FFFFFF"/>
            <w:noWrap/>
          </w:tcPr>
          <w:p w14:paraId="23692E45" w14:textId="66DC8C10"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145</w:t>
            </w:r>
            <w:r w:rsidRPr="00694C51">
              <w:rPr>
                <w:rFonts w:cs="Times New Roman"/>
                <w:sz w:val="16"/>
                <w:szCs w:val="16"/>
              </w:rPr>
              <w:br/>
              <w:t>(0</w:t>
            </w:r>
            <w:r w:rsidR="00E63387">
              <w:rPr>
                <w:rFonts w:cs="Times New Roman"/>
                <w:sz w:val="16"/>
                <w:szCs w:val="16"/>
              </w:rPr>
              <w:t>,</w:t>
            </w:r>
            <w:r w:rsidRPr="00694C51">
              <w:rPr>
                <w:rFonts w:cs="Times New Roman"/>
                <w:sz w:val="16"/>
                <w:szCs w:val="16"/>
              </w:rPr>
              <w:t>104)</w:t>
            </w:r>
          </w:p>
        </w:tc>
        <w:tc>
          <w:tcPr>
            <w:tcW w:w="633" w:type="pct"/>
            <w:tcBorders>
              <w:top w:val="nil"/>
              <w:right w:val="nil"/>
            </w:tcBorders>
            <w:shd w:val="clear" w:color="000000" w:fill="FFFFFF"/>
          </w:tcPr>
          <w:p w14:paraId="78C43ED5" w14:textId="33A5EC13"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106</w:t>
            </w:r>
            <w:r w:rsidRPr="00694C51">
              <w:rPr>
                <w:rFonts w:cs="Times New Roman"/>
                <w:sz w:val="16"/>
                <w:szCs w:val="16"/>
              </w:rPr>
              <w:br/>
              <w:t>(0</w:t>
            </w:r>
            <w:r w:rsidR="00E63387">
              <w:rPr>
                <w:rFonts w:cs="Times New Roman"/>
                <w:sz w:val="16"/>
                <w:szCs w:val="16"/>
              </w:rPr>
              <w:t>,</w:t>
            </w:r>
            <w:r w:rsidRPr="00694C51">
              <w:rPr>
                <w:rFonts w:cs="Times New Roman"/>
                <w:sz w:val="16"/>
                <w:szCs w:val="16"/>
              </w:rPr>
              <w:t>095)</w:t>
            </w:r>
          </w:p>
        </w:tc>
        <w:tc>
          <w:tcPr>
            <w:tcW w:w="634" w:type="pct"/>
            <w:tcBorders>
              <w:top w:val="nil"/>
              <w:right w:val="nil"/>
            </w:tcBorders>
            <w:shd w:val="clear" w:color="000000" w:fill="FFFFFF"/>
          </w:tcPr>
          <w:p w14:paraId="2A6708C0" w14:textId="7F94F0D9"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000</w:t>
            </w:r>
            <w:r w:rsidRPr="00694C51">
              <w:rPr>
                <w:rFonts w:cs="Times New Roman"/>
                <w:sz w:val="16"/>
                <w:szCs w:val="16"/>
              </w:rPr>
              <w:br/>
              <w:t>(0</w:t>
            </w:r>
            <w:r w:rsidR="00E63387">
              <w:rPr>
                <w:rFonts w:cs="Times New Roman"/>
                <w:sz w:val="16"/>
                <w:szCs w:val="16"/>
              </w:rPr>
              <w:t>,</w:t>
            </w:r>
            <w:r w:rsidRPr="00694C51">
              <w:rPr>
                <w:rFonts w:cs="Times New Roman"/>
                <w:sz w:val="16"/>
                <w:szCs w:val="16"/>
              </w:rPr>
              <w:t>098)</w:t>
            </w:r>
          </w:p>
        </w:tc>
        <w:tc>
          <w:tcPr>
            <w:tcW w:w="633" w:type="pct"/>
            <w:tcBorders>
              <w:top w:val="nil"/>
              <w:right w:val="nil"/>
            </w:tcBorders>
            <w:shd w:val="clear" w:color="000000" w:fill="FFFFFF"/>
          </w:tcPr>
          <w:p w14:paraId="4A0F346D" w14:textId="38C97293"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177</w:t>
            </w:r>
            <w:r w:rsidRPr="00694C51">
              <w:rPr>
                <w:rFonts w:cs="Times New Roman"/>
                <w:sz w:val="16"/>
                <w:szCs w:val="16"/>
              </w:rPr>
              <w:br/>
              <w:t>(0</w:t>
            </w:r>
            <w:r w:rsidR="00E63387">
              <w:rPr>
                <w:rFonts w:cs="Times New Roman"/>
                <w:sz w:val="16"/>
                <w:szCs w:val="16"/>
              </w:rPr>
              <w:t>,</w:t>
            </w:r>
            <w:r w:rsidRPr="00694C51">
              <w:rPr>
                <w:rFonts w:cs="Times New Roman"/>
                <w:sz w:val="16"/>
                <w:szCs w:val="16"/>
              </w:rPr>
              <w:t>118)</w:t>
            </w:r>
          </w:p>
        </w:tc>
        <w:tc>
          <w:tcPr>
            <w:tcW w:w="633" w:type="pct"/>
            <w:tcBorders>
              <w:top w:val="nil"/>
              <w:right w:val="nil"/>
            </w:tcBorders>
            <w:shd w:val="clear" w:color="000000" w:fill="FFFFFF"/>
          </w:tcPr>
          <w:p w14:paraId="14D067F7" w14:textId="379351FD"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057</w:t>
            </w:r>
            <w:r w:rsidRPr="00694C51">
              <w:rPr>
                <w:rFonts w:cs="Times New Roman"/>
                <w:sz w:val="16"/>
                <w:szCs w:val="16"/>
              </w:rPr>
              <w:br/>
              <w:t>(0</w:t>
            </w:r>
            <w:r w:rsidR="00E63387">
              <w:rPr>
                <w:rFonts w:cs="Times New Roman"/>
                <w:sz w:val="16"/>
                <w:szCs w:val="16"/>
              </w:rPr>
              <w:t>,</w:t>
            </w:r>
            <w:r w:rsidRPr="00694C51">
              <w:rPr>
                <w:rFonts w:cs="Times New Roman"/>
                <w:sz w:val="16"/>
                <w:szCs w:val="16"/>
              </w:rPr>
              <w:t>087)</w:t>
            </w:r>
          </w:p>
        </w:tc>
        <w:tc>
          <w:tcPr>
            <w:tcW w:w="633" w:type="pct"/>
            <w:tcBorders>
              <w:top w:val="nil"/>
              <w:left w:val="nil"/>
              <w:right w:val="nil"/>
            </w:tcBorders>
            <w:shd w:val="clear" w:color="000000" w:fill="FFFFFF"/>
          </w:tcPr>
          <w:p w14:paraId="1520D2C1" w14:textId="0A3E5636"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046</w:t>
            </w:r>
            <w:r w:rsidRPr="00694C51">
              <w:rPr>
                <w:rFonts w:cs="Times New Roman"/>
                <w:sz w:val="16"/>
                <w:szCs w:val="16"/>
              </w:rPr>
              <w:br/>
              <w:t>(0</w:t>
            </w:r>
            <w:r w:rsidR="00E63387">
              <w:rPr>
                <w:rFonts w:cs="Times New Roman"/>
                <w:sz w:val="16"/>
                <w:szCs w:val="16"/>
              </w:rPr>
              <w:t>,</w:t>
            </w:r>
            <w:r w:rsidRPr="00694C51">
              <w:rPr>
                <w:rFonts w:cs="Times New Roman"/>
                <w:sz w:val="16"/>
                <w:szCs w:val="16"/>
              </w:rPr>
              <w:t>067)</w:t>
            </w:r>
          </w:p>
        </w:tc>
      </w:tr>
      <w:tr w:rsidR="00694C51" w:rsidRPr="00FC4EB7" w14:paraId="5C9FCBF4" w14:textId="77777777" w:rsidTr="00396964">
        <w:trPr>
          <w:trHeight w:val="20"/>
          <w:jc w:val="center"/>
        </w:trPr>
        <w:tc>
          <w:tcPr>
            <w:tcW w:w="1201" w:type="pct"/>
            <w:tcBorders>
              <w:top w:val="nil"/>
              <w:left w:val="nil"/>
            </w:tcBorders>
            <w:shd w:val="clear" w:color="000000" w:fill="FFFFFF"/>
          </w:tcPr>
          <w:p w14:paraId="263DDC72" w14:textId="4EBE1CE6" w:rsidR="00694C51" w:rsidRPr="00F01B0A" w:rsidRDefault="00694C51" w:rsidP="001A4E15">
            <w:pPr>
              <w:pStyle w:val="Listenabsatz"/>
              <w:numPr>
                <w:ilvl w:val="0"/>
                <w:numId w:val="10"/>
              </w:numPr>
              <w:snapToGrid w:val="0"/>
              <w:spacing w:before="40" w:after="0" w:line="240" w:lineRule="auto"/>
              <w:ind w:left="142" w:hanging="142"/>
              <w:jc w:val="left"/>
              <w:rPr>
                <w:color w:val="000000"/>
                <w:sz w:val="16"/>
                <w:szCs w:val="16"/>
              </w:rPr>
            </w:pPr>
            <w:r w:rsidRPr="00F01B0A">
              <w:rPr>
                <w:color w:val="000000"/>
                <w:sz w:val="16"/>
                <w:szCs w:val="16"/>
              </w:rPr>
              <w:t>5–9 Jahre</w:t>
            </w:r>
          </w:p>
        </w:tc>
        <w:tc>
          <w:tcPr>
            <w:tcW w:w="633" w:type="pct"/>
            <w:tcBorders>
              <w:top w:val="nil"/>
              <w:right w:val="nil"/>
            </w:tcBorders>
            <w:shd w:val="clear" w:color="000000" w:fill="FFFFFF"/>
            <w:noWrap/>
          </w:tcPr>
          <w:p w14:paraId="2E3EB797" w14:textId="6CE8AAB0"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144**</w:t>
            </w:r>
            <w:r w:rsidRPr="00694C51">
              <w:rPr>
                <w:rFonts w:cs="Times New Roman"/>
                <w:sz w:val="16"/>
                <w:szCs w:val="16"/>
              </w:rPr>
              <w:br/>
              <w:t>(0</w:t>
            </w:r>
            <w:r w:rsidR="00E63387">
              <w:rPr>
                <w:rFonts w:cs="Times New Roman"/>
                <w:sz w:val="16"/>
                <w:szCs w:val="16"/>
              </w:rPr>
              <w:t>,</w:t>
            </w:r>
            <w:r w:rsidRPr="00694C51">
              <w:rPr>
                <w:rFonts w:cs="Times New Roman"/>
                <w:sz w:val="16"/>
                <w:szCs w:val="16"/>
              </w:rPr>
              <w:t>063)</w:t>
            </w:r>
          </w:p>
        </w:tc>
        <w:tc>
          <w:tcPr>
            <w:tcW w:w="633" w:type="pct"/>
            <w:tcBorders>
              <w:top w:val="nil"/>
              <w:right w:val="nil"/>
            </w:tcBorders>
            <w:shd w:val="clear" w:color="000000" w:fill="FFFFFF"/>
          </w:tcPr>
          <w:p w14:paraId="19EC6191" w14:textId="17D925CD"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039</w:t>
            </w:r>
            <w:r w:rsidRPr="00694C51">
              <w:rPr>
                <w:rFonts w:cs="Times New Roman"/>
                <w:sz w:val="16"/>
                <w:szCs w:val="16"/>
              </w:rPr>
              <w:br/>
              <w:t>(0</w:t>
            </w:r>
            <w:r w:rsidR="00E63387">
              <w:rPr>
                <w:rFonts w:cs="Times New Roman"/>
                <w:sz w:val="16"/>
                <w:szCs w:val="16"/>
              </w:rPr>
              <w:t>,</w:t>
            </w:r>
            <w:r w:rsidRPr="00694C51">
              <w:rPr>
                <w:rFonts w:cs="Times New Roman"/>
                <w:sz w:val="16"/>
                <w:szCs w:val="16"/>
              </w:rPr>
              <w:t>054)</w:t>
            </w:r>
          </w:p>
        </w:tc>
        <w:tc>
          <w:tcPr>
            <w:tcW w:w="634" w:type="pct"/>
            <w:tcBorders>
              <w:top w:val="nil"/>
              <w:right w:val="nil"/>
            </w:tcBorders>
            <w:shd w:val="clear" w:color="000000" w:fill="FFFFFF"/>
          </w:tcPr>
          <w:p w14:paraId="777EE1FF" w14:textId="41C070C0"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074</w:t>
            </w:r>
            <w:r w:rsidRPr="00694C51">
              <w:rPr>
                <w:rFonts w:cs="Times New Roman"/>
                <w:sz w:val="16"/>
                <w:szCs w:val="16"/>
              </w:rPr>
              <w:br/>
              <w:t>(0</w:t>
            </w:r>
            <w:r w:rsidR="00E63387">
              <w:rPr>
                <w:rFonts w:cs="Times New Roman"/>
                <w:sz w:val="16"/>
                <w:szCs w:val="16"/>
              </w:rPr>
              <w:t>,</w:t>
            </w:r>
            <w:r w:rsidRPr="00694C51">
              <w:rPr>
                <w:rFonts w:cs="Times New Roman"/>
                <w:sz w:val="16"/>
                <w:szCs w:val="16"/>
              </w:rPr>
              <w:t>059)</w:t>
            </w:r>
          </w:p>
        </w:tc>
        <w:tc>
          <w:tcPr>
            <w:tcW w:w="633" w:type="pct"/>
            <w:tcBorders>
              <w:top w:val="nil"/>
              <w:right w:val="nil"/>
            </w:tcBorders>
            <w:shd w:val="clear" w:color="000000" w:fill="FFFFFF"/>
          </w:tcPr>
          <w:p w14:paraId="77E8401F" w14:textId="2EEA6A2E"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029</w:t>
            </w:r>
            <w:r w:rsidRPr="00694C51">
              <w:rPr>
                <w:rFonts w:cs="Times New Roman"/>
                <w:sz w:val="16"/>
                <w:szCs w:val="16"/>
              </w:rPr>
              <w:br/>
              <w:t>(0</w:t>
            </w:r>
            <w:r w:rsidR="00E63387">
              <w:rPr>
                <w:rFonts w:cs="Times New Roman"/>
                <w:sz w:val="16"/>
                <w:szCs w:val="16"/>
              </w:rPr>
              <w:t>,</w:t>
            </w:r>
            <w:r w:rsidRPr="00694C51">
              <w:rPr>
                <w:rFonts w:cs="Times New Roman"/>
                <w:sz w:val="16"/>
                <w:szCs w:val="16"/>
              </w:rPr>
              <w:t>065)</w:t>
            </w:r>
          </w:p>
        </w:tc>
        <w:tc>
          <w:tcPr>
            <w:tcW w:w="633" w:type="pct"/>
            <w:tcBorders>
              <w:top w:val="nil"/>
              <w:right w:val="nil"/>
            </w:tcBorders>
            <w:shd w:val="clear" w:color="000000" w:fill="FFFFFF"/>
          </w:tcPr>
          <w:p w14:paraId="6D2A7832" w14:textId="6F5288A8"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003</w:t>
            </w:r>
            <w:r w:rsidRPr="00694C51">
              <w:rPr>
                <w:rFonts w:cs="Times New Roman"/>
                <w:sz w:val="16"/>
                <w:szCs w:val="16"/>
              </w:rPr>
              <w:br/>
              <w:t>(0</w:t>
            </w:r>
            <w:r w:rsidR="00E63387">
              <w:rPr>
                <w:rFonts w:cs="Times New Roman"/>
                <w:sz w:val="16"/>
                <w:szCs w:val="16"/>
              </w:rPr>
              <w:t>,</w:t>
            </w:r>
            <w:r w:rsidRPr="00694C51">
              <w:rPr>
                <w:rFonts w:cs="Times New Roman"/>
                <w:sz w:val="16"/>
                <w:szCs w:val="16"/>
              </w:rPr>
              <w:t>054)</w:t>
            </w:r>
          </w:p>
        </w:tc>
        <w:tc>
          <w:tcPr>
            <w:tcW w:w="633" w:type="pct"/>
            <w:tcBorders>
              <w:top w:val="nil"/>
              <w:left w:val="nil"/>
              <w:right w:val="nil"/>
            </w:tcBorders>
            <w:shd w:val="clear" w:color="000000" w:fill="FFFFFF"/>
          </w:tcPr>
          <w:p w14:paraId="3715DBD8" w14:textId="62E050E1"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014</w:t>
            </w:r>
            <w:r w:rsidRPr="00694C51">
              <w:rPr>
                <w:rFonts w:cs="Times New Roman"/>
                <w:sz w:val="16"/>
                <w:szCs w:val="16"/>
              </w:rPr>
              <w:br/>
              <w:t>(0</w:t>
            </w:r>
            <w:r w:rsidR="00E63387">
              <w:rPr>
                <w:rFonts w:cs="Times New Roman"/>
                <w:sz w:val="16"/>
                <w:szCs w:val="16"/>
              </w:rPr>
              <w:t>,</w:t>
            </w:r>
            <w:r w:rsidRPr="00694C51">
              <w:rPr>
                <w:rFonts w:cs="Times New Roman"/>
                <w:sz w:val="16"/>
                <w:szCs w:val="16"/>
              </w:rPr>
              <w:t>041)</w:t>
            </w:r>
          </w:p>
        </w:tc>
      </w:tr>
      <w:tr w:rsidR="00694C51" w:rsidRPr="00FC4EB7" w14:paraId="1C4DD805" w14:textId="77777777" w:rsidTr="00396964">
        <w:trPr>
          <w:trHeight w:val="20"/>
          <w:jc w:val="center"/>
        </w:trPr>
        <w:tc>
          <w:tcPr>
            <w:tcW w:w="1201" w:type="pct"/>
            <w:tcBorders>
              <w:top w:val="nil"/>
              <w:left w:val="nil"/>
            </w:tcBorders>
            <w:shd w:val="clear" w:color="000000" w:fill="FFFFFF"/>
          </w:tcPr>
          <w:p w14:paraId="79602B5A" w14:textId="727594BB" w:rsidR="00694C51" w:rsidRPr="00F01B0A" w:rsidRDefault="00694C51" w:rsidP="001A4E15">
            <w:pPr>
              <w:pStyle w:val="Listenabsatz"/>
              <w:numPr>
                <w:ilvl w:val="0"/>
                <w:numId w:val="10"/>
              </w:numPr>
              <w:snapToGrid w:val="0"/>
              <w:spacing w:before="40" w:after="0" w:line="240" w:lineRule="auto"/>
              <w:ind w:left="142" w:hanging="142"/>
              <w:jc w:val="left"/>
              <w:rPr>
                <w:color w:val="000000"/>
                <w:sz w:val="16"/>
                <w:szCs w:val="16"/>
              </w:rPr>
            </w:pPr>
            <w:r w:rsidRPr="00F01B0A">
              <w:rPr>
                <w:color w:val="000000"/>
                <w:sz w:val="16"/>
                <w:szCs w:val="16"/>
              </w:rPr>
              <w:t>&gt;9 Jahre</w:t>
            </w:r>
            <w:r w:rsidR="00082EB7">
              <w:rPr>
                <w:color w:val="000000"/>
                <w:sz w:val="16"/>
                <w:szCs w:val="16"/>
              </w:rPr>
              <w:t xml:space="preserve"> (Referenzgruppe)</w:t>
            </w:r>
          </w:p>
        </w:tc>
        <w:tc>
          <w:tcPr>
            <w:tcW w:w="633" w:type="pct"/>
            <w:tcBorders>
              <w:top w:val="nil"/>
              <w:right w:val="nil"/>
            </w:tcBorders>
            <w:shd w:val="clear" w:color="000000" w:fill="FFFFFF"/>
            <w:noWrap/>
          </w:tcPr>
          <w:p w14:paraId="796C021E" w14:textId="0BCA278D" w:rsidR="00694C51" w:rsidRPr="00694C51" w:rsidRDefault="00694C51" w:rsidP="00996DC5">
            <w:pPr>
              <w:snapToGrid w:val="0"/>
              <w:spacing w:before="40" w:after="40" w:line="240" w:lineRule="auto"/>
              <w:jc w:val="left"/>
              <w:rPr>
                <w:rFonts w:cs="Times New Roman"/>
                <w:color w:val="000000"/>
                <w:sz w:val="16"/>
                <w:szCs w:val="16"/>
              </w:rPr>
            </w:pPr>
          </w:p>
        </w:tc>
        <w:tc>
          <w:tcPr>
            <w:tcW w:w="633" w:type="pct"/>
            <w:tcBorders>
              <w:top w:val="nil"/>
              <w:right w:val="nil"/>
            </w:tcBorders>
            <w:shd w:val="clear" w:color="000000" w:fill="FFFFFF"/>
          </w:tcPr>
          <w:p w14:paraId="52EF4861" w14:textId="77777777" w:rsidR="00694C51" w:rsidRPr="00694C51" w:rsidRDefault="00694C51" w:rsidP="00996DC5">
            <w:pPr>
              <w:snapToGrid w:val="0"/>
              <w:spacing w:before="40" w:after="40" w:line="240" w:lineRule="auto"/>
              <w:jc w:val="left"/>
              <w:rPr>
                <w:rFonts w:cs="Times New Roman"/>
                <w:color w:val="000000"/>
                <w:sz w:val="16"/>
                <w:szCs w:val="16"/>
              </w:rPr>
            </w:pPr>
          </w:p>
        </w:tc>
        <w:tc>
          <w:tcPr>
            <w:tcW w:w="634" w:type="pct"/>
            <w:tcBorders>
              <w:top w:val="nil"/>
              <w:right w:val="nil"/>
            </w:tcBorders>
            <w:shd w:val="clear" w:color="000000" w:fill="FFFFFF"/>
          </w:tcPr>
          <w:p w14:paraId="70658071" w14:textId="77777777" w:rsidR="00694C51" w:rsidRPr="00694C51" w:rsidRDefault="00694C51" w:rsidP="00996DC5">
            <w:pPr>
              <w:snapToGrid w:val="0"/>
              <w:spacing w:before="40" w:after="40" w:line="240" w:lineRule="auto"/>
              <w:jc w:val="left"/>
              <w:rPr>
                <w:rFonts w:cs="Times New Roman"/>
                <w:color w:val="000000"/>
                <w:sz w:val="16"/>
                <w:szCs w:val="16"/>
              </w:rPr>
            </w:pPr>
          </w:p>
        </w:tc>
        <w:tc>
          <w:tcPr>
            <w:tcW w:w="633" w:type="pct"/>
            <w:tcBorders>
              <w:top w:val="nil"/>
              <w:right w:val="nil"/>
            </w:tcBorders>
            <w:shd w:val="clear" w:color="000000" w:fill="FFFFFF"/>
          </w:tcPr>
          <w:p w14:paraId="6810A10C" w14:textId="77777777" w:rsidR="00694C51" w:rsidRPr="00694C51" w:rsidRDefault="00694C51" w:rsidP="00996DC5">
            <w:pPr>
              <w:snapToGrid w:val="0"/>
              <w:spacing w:before="40" w:after="40" w:line="240" w:lineRule="auto"/>
              <w:jc w:val="left"/>
              <w:rPr>
                <w:rFonts w:cs="Times New Roman"/>
                <w:color w:val="000000"/>
                <w:sz w:val="16"/>
                <w:szCs w:val="16"/>
              </w:rPr>
            </w:pPr>
          </w:p>
        </w:tc>
        <w:tc>
          <w:tcPr>
            <w:tcW w:w="633" w:type="pct"/>
            <w:tcBorders>
              <w:top w:val="nil"/>
              <w:right w:val="nil"/>
            </w:tcBorders>
            <w:shd w:val="clear" w:color="000000" w:fill="FFFFFF"/>
          </w:tcPr>
          <w:p w14:paraId="1234484D" w14:textId="77777777" w:rsidR="00694C51" w:rsidRPr="00694C51" w:rsidRDefault="00694C51" w:rsidP="00996DC5">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3F9A44CA" w14:textId="11520270" w:rsidR="00694C51" w:rsidRPr="00694C51" w:rsidRDefault="00694C51" w:rsidP="00996DC5">
            <w:pPr>
              <w:snapToGrid w:val="0"/>
              <w:spacing w:before="40" w:after="40" w:line="240" w:lineRule="auto"/>
              <w:jc w:val="left"/>
              <w:rPr>
                <w:rFonts w:cs="Times New Roman"/>
                <w:color w:val="000000"/>
                <w:sz w:val="16"/>
                <w:szCs w:val="16"/>
              </w:rPr>
            </w:pPr>
          </w:p>
        </w:tc>
      </w:tr>
      <w:tr w:rsidR="00694C51" w:rsidRPr="00FC4EB7" w14:paraId="0FB266B9" w14:textId="77777777" w:rsidTr="00396964">
        <w:trPr>
          <w:trHeight w:val="20"/>
          <w:jc w:val="center"/>
        </w:trPr>
        <w:tc>
          <w:tcPr>
            <w:tcW w:w="1201" w:type="pct"/>
            <w:tcBorders>
              <w:top w:val="nil"/>
              <w:left w:val="nil"/>
              <w:right w:val="nil"/>
            </w:tcBorders>
            <w:shd w:val="clear" w:color="000000" w:fill="FFFFFF"/>
          </w:tcPr>
          <w:p w14:paraId="7164FB19" w14:textId="77777777" w:rsidR="00694C51" w:rsidRPr="00F906E9" w:rsidRDefault="00694C51" w:rsidP="000164BC">
            <w:pPr>
              <w:snapToGrid w:val="0"/>
              <w:spacing w:before="40" w:after="0" w:line="240" w:lineRule="auto"/>
              <w:jc w:val="left"/>
              <w:rPr>
                <w:b/>
                <w:bCs/>
                <w:color w:val="000000"/>
                <w:sz w:val="16"/>
                <w:szCs w:val="16"/>
              </w:rPr>
            </w:pPr>
            <w:r w:rsidRPr="00F906E9">
              <w:rPr>
                <w:b/>
                <w:bCs/>
                <w:color w:val="000000"/>
                <w:sz w:val="16"/>
                <w:szCs w:val="16"/>
              </w:rPr>
              <w:t>Gesellschafterstruktur</w:t>
            </w:r>
          </w:p>
        </w:tc>
        <w:tc>
          <w:tcPr>
            <w:tcW w:w="633" w:type="pct"/>
            <w:tcBorders>
              <w:top w:val="nil"/>
              <w:left w:val="nil"/>
              <w:right w:val="nil"/>
            </w:tcBorders>
            <w:shd w:val="clear" w:color="000000" w:fill="FFFFFF"/>
            <w:noWrap/>
          </w:tcPr>
          <w:p w14:paraId="4A01F2A1" w14:textId="50264ED0" w:rsidR="00694C51" w:rsidRPr="000164BC" w:rsidRDefault="00694C51" w:rsidP="000164BC">
            <w:pPr>
              <w:snapToGrid w:val="0"/>
              <w:spacing w:before="40" w:after="0" w:line="240" w:lineRule="auto"/>
              <w:jc w:val="left"/>
              <w:rPr>
                <w:b/>
                <w:bCs/>
                <w:color w:val="000000"/>
                <w:sz w:val="16"/>
                <w:szCs w:val="16"/>
              </w:rPr>
            </w:pPr>
          </w:p>
        </w:tc>
        <w:tc>
          <w:tcPr>
            <w:tcW w:w="633" w:type="pct"/>
            <w:tcBorders>
              <w:top w:val="nil"/>
              <w:left w:val="nil"/>
              <w:right w:val="nil"/>
            </w:tcBorders>
            <w:shd w:val="clear" w:color="000000" w:fill="FFFFFF"/>
          </w:tcPr>
          <w:p w14:paraId="02E1AE43" w14:textId="77777777" w:rsidR="00694C51" w:rsidRPr="000164BC" w:rsidRDefault="00694C51" w:rsidP="000164BC">
            <w:pPr>
              <w:snapToGrid w:val="0"/>
              <w:spacing w:before="40" w:after="0" w:line="240" w:lineRule="auto"/>
              <w:jc w:val="left"/>
              <w:rPr>
                <w:b/>
                <w:bCs/>
                <w:color w:val="000000"/>
                <w:sz w:val="16"/>
                <w:szCs w:val="16"/>
              </w:rPr>
            </w:pPr>
          </w:p>
        </w:tc>
        <w:tc>
          <w:tcPr>
            <w:tcW w:w="634" w:type="pct"/>
            <w:tcBorders>
              <w:top w:val="nil"/>
              <w:left w:val="nil"/>
              <w:right w:val="nil"/>
            </w:tcBorders>
            <w:shd w:val="clear" w:color="000000" w:fill="FFFFFF"/>
          </w:tcPr>
          <w:p w14:paraId="13EA163A" w14:textId="77777777" w:rsidR="00694C51" w:rsidRPr="000164BC" w:rsidRDefault="00694C51" w:rsidP="000164BC">
            <w:pPr>
              <w:snapToGrid w:val="0"/>
              <w:spacing w:before="40" w:after="0" w:line="240" w:lineRule="auto"/>
              <w:jc w:val="left"/>
              <w:rPr>
                <w:b/>
                <w:bCs/>
                <w:color w:val="000000"/>
                <w:sz w:val="16"/>
                <w:szCs w:val="16"/>
              </w:rPr>
            </w:pPr>
          </w:p>
        </w:tc>
        <w:tc>
          <w:tcPr>
            <w:tcW w:w="633" w:type="pct"/>
            <w:tcBorders>
              <w:top w:val="nil"/>
              <w:left w:val="nil"/>
              <w:right w:val="nil"/>
            </w:tcBorders>
            <w:shd w:val="clear" w:color="000000" w:fill="FFFFFF"/>
          </w:tcPr>
          <w:p w14:paraId="3949326E" w14:textId="77777777" w:rsidR="00694C51" w:rsidRPr="000164BC" w:rsidRDefault="00694C51" w:rsidP="000164BC">
            <w:pPr>
              <w:snapToGrid w:val="0"/>
              <w:spacing w:before="40" w:after="0" w:line="240" w:lineRule="auto"/>
              <w:jc w:val="left"/>
              <w:rPr>
                <w:b/>
                <w:bCs/>
                <w:color w:val="000000"/>
                <w:sz w:val="16"/>
                <w:szCs w:val="16"/>
              </w:rPr>
            </w:pPr>
          </w:p>
        </w:tc>
        <w:tc>
          <w:tcPr>
            <w:tcW w:w="633" w:type="pct"/>
            <w:tcBorders>
              <w:top w:val="nil"/>
              <w:left w:val="nil"/>
              <w:right w:val="nil"/>
            </w:tcBorders>
            <w:shd w:val="clear" w:color="000000" w:fill="FFFFFF"/>
          </w:tcPr>
          <w:p w14:paraId="26B62F65" w14:textId="77777777" w:rsidR="00694C51" w:rsidRPr="000164BC" w:rsidRDefault="00694C51" w:rsidP="000164BC">
            <w:pPr>
              <w:snapToGrid w:val="0"/>
              <w:spacing w:before="40" w:after="0" w:line="240" w:lineRule="auto"/>
              <w:jc w:val="left"/>
              <w:rPr>
                <w:b/>
                <w:bCs/>
                <w:color w:val="000000"/>
                <w:sz w:val="16"/>
                <w:szCs w:val="16"/>
              </w:rPr>
            </w:pPr>
          </w:p>
        </w:tc>
        <w:tc>
          <w:tcPr>
            <w:tcW w:w="633" w:type="pct"/>
            <w:tcBorders>
              <w:top w:val="nil"/>
              <w:left w:val="nil"/>
              <w:right w:val="nil"/>
            </w:tcBorders>
            <w:shd w:val="clear" w:color="000000" w:fill="FFFFFF"/>
          </w:tcPr>
          <w:p w14:paraId="47C5F0C4" w14:textId="7AC65BA1" w:rsidR="00694C51" w:rsidRPr="000164BC" w:rsidRDefault="00694C51" w:rsidP="000164BC">
            <w:pPr>
              <w:snapToGrid w:val="0"/>
              <w:spacing w:before="40" w:after="0" w:line="240" w:lineRule="auto"/>
              <w:jc w:val="left"/>
              <w:rPr>
                <w:b/>
                <w:bCs/>
                <w:color w:val="000000"/>
                <w:sz w:val="16"/>
                <w:szCs w:val="16"/>
              </w:rPr>
            </w:pPr>
          </w:p>
        </w:tc>
      </w:tr>
      <w:tr w:rsidR="00694C51" w:rsidRPr="00FC4EB7" w14:paraId="1EFE301B" w14:textId="77777777" w:rsidTr="00396964">
        <w:trPr>
          <w:trHeight w:val="20"/>
          <w:jc w:val="center"/>
        </w:trPr>
        <w:tc>
          <w:tcPr>
            <w:tcW w:w="1201" w:type="pct"/>
            <w:tcBorders>
              <w:top w:val="nil"/>
              <w:left w:val="nil"/>
              <w:right w:val="nil"/>
            </w:tcBorders>
            <w:shd w:val="clear" w:color="000000" w:fill="FFFFFF"/>
          </w:tcPr>
          <w:p w14:paraId="63973A00" w14:textId="31F76C32" w:rsidR="00694C51" w:rsidRPr="00FC4EB7" w:rsidRDefault="00082EB7"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VC / BA</w:t>
            </w:r>
          </w:p>
        </w:tc>
        <w:tc>
          <w:tcPr>
            <w:tcW w:w="633" w:type="pct"/>
            <w:tcBorders>
              <w:top w:val="nil"/>
              <w:left w:val="nil"/>
              <w:right w:val="nil"/>
            </w:tcBorders>
            <w:shd w:val="clear" w:color="000000" w:fill="FFFFFF"/>
            <w:noWrap/>
          </w:tcPr>
          <w:p w14:paraId="3B9906F7" w14:textId="4121BD05"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236</w:t>
            </w:r>
            <w:r w:rsidRPr="00694C51">
              <w:rPr>
                <w:rFonts w:cs="Times New Roman"/>
                <w:sz w:val="16"/>
                <w:szCs w:val="16"/>
              </w:rPr>
              <w:br/>
              <w:t>(0</w:t>
            </w:r>
            <w:r w:rsidR="00E63387">
              <w:rPr>
                <w:rFonts w:cs="Times New Roman"/>
                <w:sz w:val="16"/>
                <w:szCs w:val="16"/>
              </w:rPr>
              <w:t>,</w:t>
            </w:r>
            <w:r w:rsidRPr="00694C51">
              <w:rPr>
                <w:rFonts w:cs="Times New Roman"/>
                <w:sz w:val="16"/>
                <w:szCs w:val="16"/>
              </w:rPr>
              <w:t>223)</w:t>
            </w:r>
          </w:p>
        </w:tc>
        <w:tc>
          <w:tcPr>
            <w:tcW w:w="633" w:type="pct"/>
            <w:tcBorders>
              <w:top w:val="nil"/>
              <w:left w:val="nil"/>
              <w:right w:val="nil"/>
            </w:tcBorders>
            <w:shd w:val="clear" w:color="000000" w:fill="FFFFFF"/>
          </w:tcPr>
          <w:p w14:paraId="02CBA5A2" w14:textId="7F6E2A22"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135</w:t>
            </w:r>
            <w:r w:rsidRPr="00694C51">
              <w:rPr>
                <w:rFonts w:cs="Times New Roman"/>
                <w:sz w:val="16"/>
                <w:szCs w:val="16"/>
              </w:rPr>
              <w:br/>
              <w:t>(0</w:t>
            </w:r>
            <w:r w:rsidR="00E63387">
              <w:rPr>
                <w:rFonts w:cs="Times New Roman"/>
                <w:sz w:val="16"/>
                <w:szCs w:val="16"/>
              </w:rPr>
              <w:t>,</w:t>
            </w:r>
            <w:r w:rsidRPr="00694C51">
              <w:rPr>
                <w:rFonts w:cs="Times New Roman"/>
                <w:sz w:val="16"/>
                <w:szCs w:val="16"/>
              </w:rPr>
              <w:t>242)</w:t>
            </w:r>
          </w:p>
        </w:tc>
        <w:tc>
          <w:tcPr>
            <w:tcW w:w="634" w:type="pct"/>
            <w:tcBorders>
              <w:top w:val="nil"/>
              <w:left w:val="nil"/>
              <w:right w:val="nil"/>
            </w:tcBorders>
            <w:shd w:val="clear" w:color="000000" w:fill="FFFFFF"/>
          </w:tcPr>
          <w:p w14:paraId="7C8F2020" w14:textId="2779AE78"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114</w:t>
            </w:r>
            <w:r w:rsidRPr="00694C51">
              <w:rPr>
                <w:rFonts w:cs="Times New Roman"/>
                <w:sz w:val="16"/>
                <w:szCs w:val="16"/>
              </w:rPr>
              <w:br/>
              <w:t>(0</w:t>
            </w:r>
            <w:r w:rsidR="00E63387">
              <w:rPr>
                <w:rFonts w:cs="Times New Roman"/>
                <w:sz w:val="16"/>
                <w:szCs w:val="16"/>
              </w:rPr>
              <w:t>,</w:t>
            </w:r>
            <w:r w:rsidRPr="00694C51">
              <w:rPr>
                <w:rFonts w:cs="Times New Roman"/>
                <w:sz w:val="16"/>
                <w:szCs w:val="16"/>
              </w:rPr>
              <w:t>215)</w:t>
            </w:r>
          </w:p>
        </w:tc>
        <w:tc>
          <w:tcPr>
            <w:tcW w:w="633" w:type="pct"/>
            <w:tcBorders>
              <w:top w:val="nil"/>
              <w:left w:val="nil"/>
              <w:right w:val="nil"/>
            </w:tcBorders>
            <w:shd w:val="clear" w:color="000000" w:fill="FFFFFF"/>
          </w:tcPr>
          <w:p w14:paraId="20669D92" w14:textId="04935CD3"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150</w:t>
            </w:r>
            <w:r w:rsidRPr="00694C51">
              <w:rPr>
                <w:rFonts w:cs="Times New Roman"/>
                <w:sz w:val="16"/>
                <w:szCs w:val="16"/>
              </w:rPr>
              <w:br/>
              <w:t>(0</w:t>
            </w:r>
            <w:r w:rsidR="00E63387">
              <w:rPr>
                <w:rFonts w:cs="Times New Roman"/>
                <w:sz w:val="16"/>
                <w:szCs w:val="16"/>
              </w:rPr>
              <w:t>,</w:t>
            </w:r>
            <w:r w:rsidRPr="00694C51">
              <w:rPr>
                <w:rFonts w:cs="Times New Roman"/>
                <w:sz w:val="16"/>
                <w:szCs w:val="16"/>
              </w:rPr>
              <w:t>228)</w:t>
            </w:r>
          </w:p>
        </w:tc>
        <w:tc>
          <w:tcPr>
            <w:tcW w:w="633" w:type="pct"/>
            <w:tcBorders>
              <w:top w:val="nil"/>
              <w:left w:val="nil"/>
              <w:right w:val="nil"/>
            </w:tcBorders>
            <w:shd w:val="clear" w:color="000000" w:fill="FFFFFF"/>
          </w:tcPr>
          <w:p w14:paraId="0D0DE428" w14:textId="0F7596A3"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186</w:t>
            </w:r>
            <w:r w:rsidRPr="00694C51">
              <w:rPr>
                <w:rFonts w:cs="Times New Roman"/>
                <w:sz w:val="16"/>
                <w:szCs w:val="16"/>
              </w:rPr>
              <w:br/>
              <w:t>(0</w:t>
            </w:r>
            <w:r w:rsidR="00E63387">
              <w:rPr>
                <w:rFonts w:cs="Times New Roman"/>
                <w:sz w:val="16"/>
                <w:szCs w:val="16"/>
              </w:rPr>
              <w:t>,</w:t>
            </w:r>
            <w:r w:rsidRPr="00694C51">
              <w:rPr>
                <w:rFonts w:cs="Times New Roman"/>
                <w:sz w:val="16"/>
                <w:szCs w:val="16"/>
              </w:rPr>
              <w:t>171)</w:t>
            </w:r>
          </w:p>
        </w:tc>
        <w:tc>
          <w:tcPr>
            <w:tcW w:w="633" w:type="pct"/>
            <w:tcBorders>
              <w:top w:val="nil"/>
              <w:left w:val="nil"/>
              <w:right w:val="nil"/>
            </w:tcBorders>
            <w:shd w:val="clear" w:color="000000" w:fill="FFFFFF"/>
          </w:tcPr>
          <w:p w14:paraId="78ACF9F5" w14:textId="5A4A8659"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548***</w:t>
            </w:r>
            <w:r w:rsidRPr="00694C51">
              <w:rPr>
                <w:rFonts w:cs="Times New Roman"/>
                <w:sz w:val="16"/>
                <w:szCs w:val="16"/>
              </w:rPr>
              <w:br/>
              <w:t>(0</w:t>
            </w:r>
            <w:r w:rsidR="00E63387">
              <w:rPr>
                <w:rFonts w:cs="Times New Roman"/>
                <w:sz w:val="16"/>
                <w:szCs w:val="16"/>
              </w:rPr>
              <w:t>,</w:t>
            </w:r>
            <w:r w:rsidRPr="00694C51">
              <w:rPr>
                <w:rFonts w:cs="Times New Roman"/>
                <w:sz w:val="16"/>
                <w:szCs w:val="16"/>
              </w:rPr>
              <w:t>174)</w:t>
            </w:r>
          </w:p>
        </w:tc>
      </w:tr>
      <w:tr w:rsidR="00694C51" w:rsidRPr="00FC4EB7" w14:paraId="1AA5693E" w14:textId="77777777" w:rsidTr="00396964">
        <w:trPr>
          <w:trHeight w:val="20"/>
          <w:jc w:val="center"/>
        </w:trPr>
        <w:tc>
          <w:tcPr>
            <w:tcW w:w="1201" w:type="pct"/>
            <w:tcBorders>
              <w:top w:val="nil"/>
              <w:left w:val="nil"/>
              <w:right w:val="nil"/>
            </w:tcBorders>
            <w:shd w:val="clear" w:color="000000" w:fill="FFFFFF"/>
          </w:tcPr>
          <w:p w14:paraId="4A1B80AD" w14:textId="6E41A9F8" w:rsidR="00694C51" w:rsidRPr="00FC4EB7" w:rsidRDefault="00082EB7" w:rsidP="001A4E15">
            <w:pPr>
              <w:pStyle w:val="Listenabsatz"/>
              <w:numPr>
                <w:ilvl w:val="0"/>
                <w:numId w:val="10"/>
              </w:numPr>
              <w:snapToGrid w:val="0"/>
              <w:spacing w:before="40" w:after="40" w:line="240" w:lineRule="auto"/>
              <w:ind w:left="142" w:hanging="142"/>
              <w:jc w:val="left"/>
              <w:rPr>
                <w:color w:val="000000"/>
                <w:sz w:val="16"/>
                <w:szCs w:val="16"/>
              </w:rPr>
            </w:pPr>
            <w:r w:rsidRPr="00FC4EB7">
              <w:rPr>
                <w:color w:val="000000"/>
                <w:sz w:val="16"/>
                <w:szCs w:val="16"/>
              </w:rPr>
              <w:t xml:space="preserve">Familie </w:t>
            </w:r>
            <w:r>
              <w:rPr>
                <w:color w:val="000000"/>
                <w:sz w:val="16"/>
                <w:szCs w:val="16"/>
              </w:rPr>
              <w:t>/</w:t>
            </w:r>
            <w:r w:rsidRPr="00FC4EB7">
              <w:rPr>
                <w:color w:val="000000"/>
                <w:sz w:val="16"/>
                <w:szCs w:val="16"/>
              </w:rPr>
              <w:t xml:space="preserve"> Entrepreneur</w:t>
            </w:r>
          </w:p>
        </w:tc>
        <w:tc>
          <w:tcPr>
            <w:tcW w:w="633" w:type="pct"/>
            <w:tcBorders>
              <w:top w:val="nil"/>
              <w:left w:val="nil"/>
              <w:right w:val="nil"/>
            </w:tcBorders>
            <w:shd w:val="clear" w:color="000000" w:fill="FFFFFF"/>
            <w:noWrap/>
          </w:tcPr>
          <w:p w14:paraId="1C2452E7" w14:textId="793FE947"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283**</w:t>
            </w:r>
            <w:r w:rsidRPr="00694C51">
              <w:rPr>
                <w:rFonts w:cs="Times New Roman"/>
                <w:sz w:val="16"/>
                <w:szCs w:val="16"/>
              </w:rPr>
              <w:br/>
              <w:t>(0</w:t>
            </w:r>
            <w:r w:rsidR="00E63387">
              <w:rPr>
                <w:rFonts w:cs="Times New Roman"/>
                <w:sz w:val="16"/>
                <w:szCs w:val="16"/>
              </w:rPr>
              <w:t>,</w:t>
            </w:r>
            <w:r w:rsidRPr="00694C51">
              <w:rPr>
                <w:rFonts w:cs="Times New Roman"/>
                <w:sz w:val="16"/>
                <w:szCs w:val="16"/>
              </w:rPr>
              <w:t>120)</w:t>
            </w:r>
          </w:p>
        </w:tc>
        <w:tc>
          <w:tcPr>
            <w:tcW w:w="633" w:type="pct"/>
            <w:tcBorders>
              <w:top w:val="nil"/>
              <w:left w:val="nil"/>
              <w:right w:val="nil"/>
            </w:tcBorders>
            <w:shd w:val="clear" w:color="000000" w:fill="FFFFFF"/>
          </w:tcPr>
          <w:p w14:paraId="1A93449B" w14:textId="2243321B" w:rsidR="00694C51" w:rsidRPr="00694C51" w:rsidRDefault="00694C51" w:rsidP="00996DC5">
            <w:pPr>
              <w:snapToGrid w:val="0"/>
              <w:spacing w:before="40" w:after="40" w:line="240" w:lineRule="auto"/>
              <w:jc w:val="left"/>
              <w:rPr>
                <w:rFonts w:cs="Times New Roman"/>
                <w:color w:val="000000"/>
                <w:spacing w:val="-4"/>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078</w:t>
            </w:r>
            <w:r w:rsidRPr="00694C51">
              <w:rPr>
                <w:rFonts w:cs="Times New Roman"/>
                <w:sz w:val="16"/>
                <w:szCs w:val="16"/>
              </w:rPr>
              <w:br/>
              <w:t>(0</w:t>
            </w:r>
            <w:r w:rsidR="00E63387">
              <w:rPr>
                <w:rFonts w:cs="Times New Roman"/>
                <w:sz w:val="16"/>
                <w:szCs w:val="16"/>
              </w:rPr>
              <w:t>,</w:t>
            </w:r>
            <w:r w:rsidRPr="00694C51">
              <w:rPr>
                <w:rFonts w:cs="Times New Roman"/>
                <w:sz w:val="16"/>
                <w:szCs w:val="16"/>
              </w:rPr>
              <w:t>115)</w:t>
            </w:r>
          </w:p>
        </w:tc>
        <w:tc>
          <w:tcPr>
            <w:tcW w:w="634" w:type="pct"/>
            <w:tcBorders>
              <w:top w:val="nil"/>
              <w:left w:val="nil"/>
              <w:right w:val="nil"/>
            </w:tcBorders>
            <w:shd w:val="clear" w:color="000000" w:fill="FFFFFF"/>
          </w:tcPr>
          <w:p w14:paraId="6C39E07C" w14:textId="5F21230F" w:rsidR="00694C51" w:rsidRPr="00694C51" w:rsidRDefault="00694C51" w:rsidP="00996DC5">
            <w:pPr>
              <w:snapToGrid w:val="0"/>
              <w:spacing w:before="40" w:after="40" w:line="240" w:lineRule="auto"/>
              <w:jc w:val="left"/>
              <w:rPr>
                <w:rFonts w:cs="Times New Roman"/>
                <w:color w:val="000000"/>
                <w:spacing w:val="-4"/>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115</w:t>
            </w:r>
            <w:r w:rsidRPr="00694C51">
              <w:rPr>
                <w:rFonts w:cs="Times New Roman"/>
                <w:sz w:val="16"/>
                <w:szCs w:val="16"/>
              </w:rPr>
              <w:br/>
              <w:t>(0</w:t>
            </w:r>
            <w:r w:rsidR="00E63387">
              <w:rPr>
                <w:rFonts w:cs="Times New Roman"/>
                <w:sz w:val="16"/>
                <w:szCs w:val="16"/>
              </w:rPr>
              <w:t>,</w:t>
            </w:r>
            <w:r w:rsidRPr="00694C51">
              <w:rPr>
                <w:rFonts w:cs="Times New Roman"/>
                <w:sz w:val="16"/>
                <w:szCs w:val="16"/>
              </w:rPr>
              <w:t>114)</w:t>
            </w:r>
          </w:p>
        </w:tc>
        <w:tc>
          <w:tcPr>
            <w:tcW w:w="633" w:type="pct"/>
            <w:tcBorders>
              <w:top w:val="nil"/>
              <w:left w:val="nil"/>
              <w:right w:val="nil"/>
            </w:tcBorders>
            <w:shd w:val="clear" w:color="000000" w:fill="FFFFFF"/>
          </w:tcPr>
          <w:p w14:paraId="71C318DA" w14:textId="546E9502" w:rsidR="00694C51" w:rsidRPr="00694C51" w:rsidRDefault="00694C51" w:rsidP="00996DC5">
            <w:pPr>
              <w:snapToGrid w:val="0"/>
              <w:spacing w:before="40" w:after="40" w:line="240" w:lineRule="auto"/>
              <w:jc w:val="left"/>
              <w:rPr>
                <w:rFonts w:cs="Times New Roman"/>
                <w:color w:val="000000"/>
                <w:spacing w:val="-4"/>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056</w:t>
            </w:r>
            <w:r w:rsidRPr="00694C51">
              <w:rPr>
                <w:rFonts w:cs="Times New Roman"/>
                <w:sz w:val="16"/>
                <w:szCs w:val="16"/>
              </w:rPr>
              <w:br/>
              <w:t>(0</w:t>
            </w:r>
            <w:r w:rsidR="00E63387">
              <w:rPr>
                <w:rFonts w:cs="Times New Roman"/>
                <w:sz w:val="16"/>
                <w:szCs w:val="16"/>
              </w:rPr>
              <w:t>,</w:t>
            </w:r>
            <w:r w:rsidRPr="00694C51">
              <w:rPr>
                <w:rFonts w:cs="Times New Roman"/>
                <w:sz w:val="16"/>
                <w:szCs w:val="16"/>
              </w:rPr>
              <w:t>115)</w:t>
            </w:r>
          </w:p>
        </w:tc>
        <w:tc>
          <w:tcPr>
            <w:tcW w:w="633" w:type="pct"/>
            <w:tcBorders>
              <w:top w:val="nil"/>
              <w:left w:val="nil"/>
              <w:right w:val="nil"/>
            </w:tcBorders>
            <w:shd w:val="clear" w:color="000000" w:fill="FFFFFF"/>
          </w:tcPr>
          <w:p w14:paraId="57AA67ED" w14:textId="7A87EC11" w:rsidR="00694C51" w:rsidRPr="00694C51" w:rsidRDefault="00694C51" w:rsidP="00996DC5">
            <w:pPr>
              <w:snapToGrid w:val="0"/>
              <w:spacing w:before="40" w:after="40" w:line="240" w:lineRule="auto"/>
              <w:jc w:val="left"/>
              <w:rPr>
                <w:rFonts w:cs="Times New Roman"/>
                <w:color w:val="000000"/>
                <w:spacing w:val="-4"/>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119</w:t>
            </w:r>
            <w:r w:rsidRPr="00694C51">
              <w:rPr>
                <w:rFonts w:cs="Times New Roman"/>
                <w:sz w:val="16"/>
                <w:szCs w:val="16"/>
              </w:rPr>
              <w:br/>
              <w:t>(0</w:t>
            </w:r>
            <w:r w:rsidR="00E63387">
              <w:rPr>
                <w:rFonts w:cs="Times New Roman"/>
                <w:sz w:val="16"/>
                <w:szCs w:val="16"/>
              </w:rPr>
              <w:t>,</w:t>
            </w:r>
            <w:r w:rsidRPr="00694C51">
              <w:rPr>
                <w:rFonts w:cs="Times New Roman"/>
                <w:sz w:val="16"/>
                <w:szCs w:val="16"/>
              </w:rPr>
              <w:t>092)</w:t>
            </w:r>
          </w:p>
        </w:tc>
        <w:tc>
          <w:tcPr>
            <w:tcW w:w="633" w:type="pct"/>
            <w:tcBorders>
              <w:top w:val="nil"/>
              <w:left w:val="nil"/>
              <w:right w:val="nil"/>
            </w:tcBorders>
            <w:shd w:val="clear" w:color="000000" w:fill="FFFFFF"/>
          </w:tcPr>
          <w:p w14:paraId="388D2A88" w14:textId="57C265FC" w:rsidR="00694C51" w:rsidRPr="00694C51" w:rsidRDefault="00694C51" w:rsidP="00996DC5">
            <w:pPr>
              <w:snapToGrid w:val="0"/>
              <w:spacing w:before="40" w:after="40" w:line="240" w:lineRule="auto"/>
              <w:jc w:val="left"/>
              <w:rPr>
                <w:rFonts w:cs="Times New Roman"/>
                <w:color w:val="000000"/>
                <w:spacing w:val="-4"/>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226***</w:t>
            </w:r>
            <w:r w:rsidRPr="00694C51">
              <w:rPr>
                <w:rFonts w:cs="Times New Roman"/>
                <w:sz w:val="16"/>
                <w:szCs w:val="16"/>
              </w:rPr>
              <w:br/>
              <w:t>(0</w:t>
            </w:r>
            <w:r w:rsidR="00E63387">
              <w:rPr>
                <w:rFonts w:cs="Times New Roman"/>
                <w:sz w:val="16"/>
                <w:szCs w:val="16"/>
              </w:rPr>
              <w:t>,</w:t>
            </w:r>
            <w:r w:rsidRPr="00694C51">
              <w:rPr>
                <w:rFonts w:cs="Times New Roman"/>
                <w:sz w:val="16"/>
                <w:szCs w:val="16"/>
              </w:rPr>
              <w:t>078)</w:t>
            </w:r>
          </w:p>
        </w:tc>
      </w:tr>
      <w:tr w:rsidR="00694C51" w:rsidRPr="00FC4EB7" w14:paraId="3C73489C" w14:textId="77777777" w:rsidTr="00396964">
        <w:trPr>
          <w:trHeight w:val="20"/>
          <w:jc w:val="center"/>
        </w:trPr>
        <w:tc>
          <w:tcPr>
            <w:tcW w:w="1201" w:type="pct"/>
            <w:tcBorders>
              <w:top w:val="nil"/>
              <w:left w:val="nil"/>
              <w:right w:val="nil"/>
            </w:tcBorders>
            <w:shd w:val="clear" w:color="000000" w:fill="FFFFFF"/>
          </w:tcPr>
          <w:p w14:paraId="56C32E16" w14:textId="2D7146FB" w:rsidR="00694C51" w:rsidRPr="00FC4EB7" w:rsidRDefault="00082EB7"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Sonstige</w:t>
            </w:r>
          </w:p>
        </w:tc>
        <w:tc>
          <w:tcPr>
            <w:tcW w:w="633" w:type="pct"/>
            <w:tcBorders>
              <w:top w:val="nil"/>
              <w:left w:val="nil"/>
              <w:right w:val="nil"/>
            </w:tcBorders>
            <w:shd w:val="clear" w:color="000000" w:fill="FFFFFF"/>
            <w:noWrap/>
          </w:tcPr>
          <w:p w14:paraId="18CBF589" w14:textId="7A216EFA"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281*</w:t>
            </w:r>
            <w:r w:rsidRPr="00694C51">
              <w:rPr>
                <w:rFonts w:cs="Times New Roman"/>
                <w:sz w:val="16"/>
                <w:szCs w:val="16"/>
              </w:rPr>
              <w:br/>
              <w:t>(0</w:t>
            </w:r>
            <w:r w:rsidR="00E63387">
              <w:rPr>
                <w:rFonts w:cs="Times New Roman"/>
                <w:sz w:val="16"/>
                <w:szCs w:val="16"/>
              </w:rPr>
              <w:t>,</w:t>
            </w:r>
            <w:r w:rsidRPr="00694C51">
              <w:rPr>
                <w:rFonts w:cs="Times New Roman"/>
                <w:sz w:val="16"/>
                <w:szCs w:val="16"/>
              </w:rPr>
              <w:t>146)</w:t>
            </w:r>
          </w:p>
        </w:tc>
        <w:tc>
          <w:tcPr>
            <w:tcW w:w="633" w:type="pct"/>
            <w:tcBorders>
              <w:top w:val="nil"/>
              <w:left w:val="nil"/>
              <w:right w:val="nil"/>
            </w:tcBorders>
            <w:shd w:val="clear" w:color="000000" w:fill="FFFFFF"/>
          </w:tcPr>
          <w:p w14:paraId="21C13098" w14:textId="0FAF8418"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167</w:t>
            </w:r>
            <w:r w:rsidRPr="00694C51">
              <w:rPr>
                <w:rFonts w:cs="Times New Roman"/>
                <w:sz w:val="16"/>
                <w:szCs w:val="16"/>
              </w:rPr>
              <w:br/>
              <w:t>(0</w:t>
            </w:r>
            <w:r w:rsidR="00E63387">
              <w:rPr>
                <w:rFonts w:cs="Times New Roman"/>
                <w:sz w:val="16"/>
                <w:szCs w:val="16"/>
              </w:rPr>
              <w:t>,</w:t>
            </w:r>
            <w:r w:rsidRPr="00694C51">
              <w:rPr>
                <w:rFonts w:cs="Times New Roman"/>
                <w:sz w:val="16"/>
                <w:szCs w:val="16"/>
              </w:rPr>
              <w:t>141)</w:t>
            </w:r>
          </w:p>
        </w:tc>
        <w:tc>
          <w:tcPr>
            <w:tcW w:w="634" w:type="pct"/>
            <w:tcBorders>
              <w:top w:val="nil"/>
              <w:left w:val="nil"/>
              <w:right w:val="nil"/>
            </w:tcBorders>
            <w:shd w:val="clear" w:color="000000" w:fill="FFFFFF"/>
          </w:tcPr>
          <w:p w14:paraId="77EEDBE5" w14:textId="0AE7DA5E"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266*</w:t>
            </w:r>
            <w:r w:rsidRPr="00694C51">
              <w:rPr>
                <w:rFonts w:cs="Times New Roman"/>
                <w:sz w:val="16"/>
                <w:szCs w:val="16"/>
              </w:rPr>
              <w:br/>
              <w:t>(0</w:t>
            </w:r>
            <w:r w:rsidR="00E63387">
              <w:rPr>
                <w:rFonts w:cs="Times New Roman"/>
                <w:sz w:val="16"/>
                <w:szCs w:val="16"/>
              </w:rPr>
              <w:t>,</w:t>
            </w:r>
            <w:r w:rsidRPr="00694C51">
              <w:rPr>
                <w:rFonts w:cs="Times New Roman"/>
                <w:sz w:val="16"/>
                <w:szCs w:val="16"/>
              </w:rPr>
              <w:t>154)</w:t>
            </w:r>
          </w:p>
        </w:tc>
        <w:tc>
          <w:tcPr>
            <w:tcW w:w="633" w:type="pct"/>
            <w:tcBorders>
              <w:top w:val="nil"/>
              <w:left w:val="nil"/>
              <w:right w:val="nil"/>
            </w:tcBorders>
            <w:shd w:val="clear" w:color="000000" w:fill="FFFFFF"/>
          </w:tcPr>
          <w:p w14:paraId="00E7A0AD" w14:textId="7DBB8E04"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193</w:t>
            </w:r>
            <w:r w:rsidRPr="00694C51">
              <w:rPr>
                <w:rFonts w:cs="Times New Roman"/>
                <w:sz w:val="16"/>
                <w:szCs w:val="16"/>
              </w:rPr>
              <w:br/>
              <w:t>(0</w:t>
            </w:r>
            <w:r w:rsidR="00E63387">
              <w:rPr>
                <w:rFonts w:cs="Times New Roman"/>
                <w:sz w:val="16"/>
                <w:szCs w:val="16"/>
              </w:rPr>
              <w:t>,</w:t>
            </w:r>
            <w:r w:rsidRPr="00694C51">
              <w:rPr>
                <w:rFonts w:cs="Times New Roman"/>
                <w:sz w:val="16"/>
                <w:szCs w:val="16"/>
              </w:rPr>
              <w:t>139)</w:t>
            </w:r>
          </w:p>
        </w:tc>
        <w:tc>
          <w:tcPr>
            <w:tcW w:w="633" w:type="pct"/>
            <w:tcBorders>
              <w:top w:val="nil"/>
              <w:left w:val="nil"/>
              <w:right w:val="nil"/>
            </w:tcBorders>
            <w:shd w:val="clear" w:color="000000" w:fill="FFFFFF"/>
          </w:tcPr>
          <w:p w14:paraId="2965C2D2" w14:textId="306D39DB"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261**</w:t>
            </w:r>
            <w:r w:rsidRPr="00694C51">
              <w:rPr>
                <w:rFonts w:cs="Times New Roman"/>
                <w:sz w:val="16"/>
                <w:szCs w:val="16"/>
              </w:rPr>
              <w:br/>
              <w:t>(0</w:t>
            </w:r>
            <w:r w:rsidR="00E63387">
              <w:rPr>
                <w:rFonts w:cs="Times New Roman"/>
                <w:sz w:val="16"/>
                <w:szCs w:val="16"/>
              </w:rPr>
              <w:t>,</w:t>
            </w:r>
            <w:r w:rsidRPr="00694C51">
              <w:rPr>
                <w:rFonts w:cs="Times New Roman"/>
                <w:sz w:val="16"/>
                <w:szCs w:val="16"/>
              </w:rPr>
              <w:t>123)</w:t>
            </w:r>
          </w:p>
        </w:tc>
        <w:tc>
          <w:tcPr>
            <w:tcW w:w="633" w:type="pct"/>
            <w:tcBorders>
              <w:top w:val="nil"/>
              <w:left w:val="nil"/>
              <w:right w:val="nil"/>
            </w:tcBorders>
            <w:shd w:val="clear" w:color="000000" w:fill="FFFFFF"/>
          </w:tcPr>
          <w:p w14:paraId="63973FB1" w14:textId="7B74424F"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069</w:t>
            </w:r>
            <w:r w:rsidRPr="00694C51">
              <w:rPr>
                <w:rFonts w:cs="Times New Roman"/>
                <w:sz w:val="16"/>
                <w:szCs w:val="16"/>
              </w:rPr>
              <w:br/>
              <w:t>(0</w:t>
            </w:r>
            <w:r w:rsidR="00E63387">
              <w:rPr>
                <w:rFonts w:cs="Times New Roman"/>
                <w:sz w:val="16"/>
                <w:szCs w:val="16"/>
              </w:rPr>
              <w:t>,</w:t>
            </w:r>
            <w:r w:rsidRPr="00694C51">
              <w:rPr>
                <w:rFonts w:cs="Times New Roman"/>
                <w:sz w:val="16"/>
                <w:szCs w:val="16"/>
              </w:rPr>
              <w:t>097)</w:t>
            </w:r>
          </w:p>
        </w:tc>
      </w:tr>
      <w:tr w:rsidR="00694C51" w:rsidRPr="00FC4EB7" w14:paraId="14CF0507" w14:textId="77777777" w:rsidTr="00396964">
        <w:trPr>
          <w:trHeight w:val="20"/>
          <w:jc w:val="center"/>
        </w:trPr>
        <w:tc>
          <w:tcPr>
            <w:tcW w:w="1201" w:type="pct"/>
            <w:tcBorders>
              <w:top w:val="nil"/>
              <w:left w:val="nil"/>
              <w:right w:val="nil"/>
            </w:tcBorders>
            <w:shd w:val="clear" w:color="000000" w:fill="FFFFFF"/>
          </w:tcPr>
          <w:p w14:paraId="2DB56450" w14:textId="564D5867" w:rsidR="00694C51" w:rsidRPr="00FC4EB7" w:rsidRDefault="007A6DE6"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Einzelperson</w:t>
            </w:r>
          </w:p>
        </w:tc>
        <w:tc>
          <w:tcPr>
            <w:tcW w:w="633" w:type="pct"/>
            <w:tcBorders>
              <w:top w:val="nil"/>
              <w:left w:val="nil"/>
              <w:right w:val="nil"/>
            </w:tcBorders>
            <w:shd w:val="clear" w:color="000000" w:fill="FFFFFF"/>
            <w:noWrap/>
          </w:tcPr>
          <w:p w14:paraId="22D60A29" w14:textId="3E8F9373"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356***</w:t>
            </w:r>
            <w:r w:rsidRPr="00694C51">
              <w:rPr>
                <w:rFonts w:cs="Times New Roman"/>
                <w:sz w:val="16"/>
                <w:szCs w:val="16"/>
              </w:rPr>
              <w:br/>
              <w:t>(0</w:t>
            </w:r>
            <w:r w:rsidR="00E63387">
              <w:rPr>
                <w:rFonts w:cs="Times New Roman"/>
                <w:sz w:val="16"/>
                <w:szCs w:val="16"/>
              </w:rPr>
              <w:t>,</w:t>
            </w:r>
            <w:r w:rsidRPr="00694C51">
              <w:rPr>
                <w:rFonts w:cs="Times New Roman"/>
                <w:sz w:val="16"/>
                <w:szCs w:val="16"/>
              </w:rPr>
              <w:t>120)</w:t>
            </w:r>
          </w:p>
        </w:tc>
        <w:tc>
          <w:tcPr>
            <w:tcW w:w="633" w:type="pct"/>
            <w:tcBorders>
              <w:top w:val="nil"/>
              <w:left w:val="nil"/>
              <w:right w:val="nil"/>
            </w:tcBorders>
            <w:shd w:val="clear" w:color="000000" w:fill="FFFFFF"/>
          </w:tcPr>
          <w:p w14:paraId="30F9EA26" w14:textId="1F301020"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092</w:t>
            </w:r>
            <w:r w:rsidRPr="00694C51">
              <w:rPr>
                <w:rFonts w:cs="Times New Roman"/>
                <w:sz w:val="16"/>
                <w:szCs w:val="16"/>
              </w:rPr>
              <w:br/>
              <w:t>(0</w:t>
            </w:r>
            <w:r w:rsidR="00E63387">
              <w:rPr>
                <w:rFonts w:cs="Times New Roman"/>
                <w:sz w:val="16"/>
                <w:szCs w:val="16"/>
              </w:rPr>
              <w:t>,</w:t>
            </w:r>
            <w:r w:rsidRPr="00694C51">
              <w:rPr>
                <w:rFonts w:cs="Times New Roman"/>
                <w:sz w:val="16"/>
                <w:szCs w:val="16"/>
              </w:rPr>
              <w:t>115)</w:t>
            </w:r>
          </w:p>
        </w:tc>
        <w:tc>
          <w:tcPr>
            <w:tcW w:w="634" w:type="pct"/>
            <w:tcBorders>
              <w:top w:val="nil"/>
              <w:left w:val="nil"/>
              <w:right w:val="nil"/>
            </w:tcBorders>
            <w:shd w:val="clear" w:color="000000" w:fill="FFFFFF"/>
          </w:tcPr>
          <w:p w14:paraId="681579D0" w14:textId="2761AB98"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048</w:t>
            </w:r>
            <w:r w:rsidRPr="00694C51">
              <w:rPr>
                <w:rFonts w:cs="Times New Roman"/>
                <w:sz w:val="16"/>
                <w:szCs w:val="16"/>
              </w:rPr>
              <w:br/>
              <w:t>(0</w:t>
            </w:r>
            <w:r w:rsidR="00E63387">
              <w:rPr>
                <w:rFonts w:cs="Times New Roman"/>
                <w:sz w:val="16"/>
                <w:szCs w:val="16"/>
              </w:rPr>
              <w:t>,</w:t>
            </w:r>
            <w:r w:rsidRPr="00694C51">
              <w:rPr>
                <w:rFonts w:cs="Times New Roman"/>
                <w:sz w:val="16"/>
                <w:szCs w:val="16"/>
              </w:rPr>
              <w:t>114)</w:t>
            </w:r>
          </w:p>
        </w:tc>
        <w:tc>
          <w:tcPr>
            <w:tcW w:w="633" w:type="pct"/>
            <w:tcBorders>
              <w:top w:val="nil"/>
              <w:left w:val="nil"/>
              <w:right w:val="nil"/>
            </w:tcBorders>
            <w:shd w:val="clear" w:color="000000" w:fill="FFFFFF"/>
          </w:tcPr>
          <w:p w14:paraId="4AC422FD" w14:textId="4737025D"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066</w:t>
            </w:r>
            <w:r w:rsidRPr="00694C51">
              <w:rPr>
                <w:rFonts w:cs="Times New Roman"/>
                <w:sz w:val="16"/>
                <w:szCs w:val="16"/>
              </w:rPr>
              <w:br/>
              <w:t>(0</w:t>
            </w:r>
            <w:r w:rsidR="00E63387">
              <w:rPr>
                <w:rFonts w:cs="Times New Roman"/>
                <w:sz w:val="16"/>
                <w:szCs w:val="16"/>
              </w:rPr>
              <w:t>,</w:t>
            </w:r>
            <w:r w:rsidRPr="00694C51">
              <w:rPr>
                <w:rFonts w:cs="Times New Roman"/>
                <w:sz w:val="16"/>
                <w:szCs w:val="16"/>
              </w:rPr>
              <w:t>116)</w:t>
            </w:r>
          </w:p>
        </w:tc>
        <w:tc>
          <w:tcPr>
            <w:tcW w:w="633" w:type="pct"/>
            <w:tcBorders>
              <w:top w:val="nil"/>
              <w:left w:val="nil"/>
              <w:right w:val="nil"/>
            </w:tcBorders>
            <w:shd w:val="clear" w:color="000000" w:fill="FFFFFF"/>
          </w:tcPr>
          <w:p w14:paraId="6C013078" w14:textId="1850A7A0"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092</w:t>
            </w:r>
            <w:r w:rsidRPr="00694C51">
              <w:rPr>
                <w:rFonts w:cs="Times New Roman"/>
                <w:sz w:val="16"/>
                <w:szCs w:val="16"/>
              </w:rPr>
              <w:br/>
              <w:t>(0</w:t>
            </w:r>
            <w:r w:rsidR="00E63387">
              <w:rPr>
                <w:rFonts w:cs="Times New Roman"/>
                <w:sz w:val="16"/>
                <w:szCs w:val="16"/>
              </w:rPr>
              <w:t>,</w:t>
            </w:r>
            <w:r w:rsidRPr="00694C51">
              <w:rPr>
                <w:rFonts w:cs="Times New Roman"/>
                <w:sz w:val="16"/>
                <w:szCs w:val="16"/>
              </w:rPr>
              <w:t>092)</w:t>
            </w:r>
          </w:p>
        </w:tc>
        <w:tc>
          <w:tcPr>
            <w:tcW w:w="633" w:type="pct"/>
            <w:tcBorders>
              <w:top w:val="nil"/>
              <w:left w:val="nil"/>
              <w:right w:val="nil"/>
            </w:tcBorders>
            <w:shd w:val="clear" w:color="000000" w:fill="FFFFFF"/>
          </w:tcPr>
          <w:p w14:paraId="08508A1C" w14:textId="7567B558"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078</w:t>
            </w:r>
            <w:r w:rsidRPr="00694C51">
              <w:rPr>
                <w:rFonts w:cs="Times New Roman"/>
                <w:sz w:val="16"/>
                <w:szCs w:val="16"/>
              </w:rPr>
              <w:br/>
              <w:t>(0</w:t>
            </w:r>
            <w:r w:rsidR="00E63387">
              <w:rPr>
                <w:rFonts w:cs="Times New Roman"/>
                <w:sz w:val="16"/>
                <w:szCs w:val="16"/>
              </w:rPr>
              <w:t>,</w:t>
            </w:r>
            <w:r w:rsidRPr="00694C51">
              <w:rPr>
                <w:rFonts w:cs="Times New Roman"/>
                <w:sz w:val="16"/>
                <w:szCs w:val="16"/>
              </w:rPr>
              <w:t>078)</w:t>
            </w:r>
          </w:p>
        </w:tc>
      </w:tr>
      <w:tr w:rsidR="00694C51" w:rsidRPr="00FC4EB7" w14:paraId="592FE54E" w14:textId="77777777" w:rsidTr="000164BC">
        <w:trPr>
          <w:trHeight w:val="20"/>
          <w:jc w:val="center"/>
        </w:trPr>
        <w:tc>
          <w:tcPr>
            <w:tcW w:w="1201" w:type="pct"/>
            <w:tcBorders>
              <w:top w:val="nil"/>
              <w:left w:val="nil"/>
              <w:right w:val="nil"/>
            </w:tcBorders>
            <w:shd w:val="clear" w:color="000000" w:fill="FFFFFF"/>
          </w:tcPr>
          <w:p w14:paraId="6500A180" w14:textId="5273AFD1" w:rsidR="00694C51" w:rsidRPr="00FC4EB7" w:rsidRDefault="00082EB7"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Andere Unternehmen / Geschäftspartner</w:t>
            </w:r>
          </w:p>
        </w:tc>
        <w:tc>
          <w:tcPr>
            <w:tcW w:w="633" w:type="pct"/>
            <w:tcBorders>
              <w:top w:val="nil"/>
              <w:left w:val="nil"/>
              <w:right w:val="nil"/>
            </w:tcBorders>
            <w:shd w:val="clear" w:color="000000" w:fill="FFFFFF"/>
            <w:noWrap/>
          </w:tcPr>
          <w:p w14:paraId="6440A209" w14:textId="2C54B334"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161</w:t>
            </w:r>
            <w:r w:rsidRPr="00694C51">
              <w:rPr>
                <w:rFonts w:cs="Times New Roman"/>
                <w:sz w:val="16"/>
                <w:szCs w:val="16"/>
              </w:rPr>
              <w:br/>
              <w:t>(0</w:t>
            </w:r>
            <w:r w:rsidR="00E63387">
              <w:rPr>
                <w:rFonts w:cs="Times New Roman"/>
                <w:sz w:val="16"/>
                <w:szCs w:val="16"/>
              </w:rPr>
              <w:t>,</w:t>
            </w:r>
            <w:r w:rsidRPr="00694C51">
              <w:rPr>
                <w:rFonts w:cs="Times New Roman"/>
                <w:sz w:val="16"/>
                <w:szCs w:val="16"/>
              </w:rPr>
              <w:t>124)</w:t>
            </w:r>
          </w:p>
        </w:tc>
        <w:tc>
          <w:tcPr>
            <w:tcW w:w="633" w:type="pct"/>
            <w:tcBorders>
              <w:top w:val="nil"/>
              <w:left w:val="nil"/>
              <w:right w:val="nil"/>
            </w:tcBorders>
            <w:shd w:val="clear" w:color="000000" w:fill="FFFFFF"/>
          </w:tcPr>
          <w:p w14:paraId="3D5F2609" w14:textId="7E25DB98"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078</w:t>
            </w:r>
            <w:r w:rsidRPr="00694C51">
              <w:rPr>
                <w:rFonts w:cs="Times New Roman"/>
                <w:sz w:val="16"/>
                <w:szCs w:val="16"/>
              </w:rPr>
              <w:br/>
              <w:t>(0</w:t>
            </w:r>
            <w:r w:rsidR="00E63387">
              <w:rPr>
                <w:rFonts w:cs="Times New Roman"/>
                <w:sz w:val="16"/>
                <w:szCs w:val="16"/>
              </w:rPr>
              <w:t>,</w:t>
            </w:r>
            <w:r w:rsidRPr="00694C51">
              <w:rPr>
                <w:rFonts w:cs="Times New Roman"/>
                <w:sz w:val="16"/>
                <w:szCs w:val="16"/>
              </w:rPr>
              <w:t>120)</w:t>
            </w:r>
          </w:p>
        </w:tc>
        <w:tc>
          <w:tcPr>
            <w:tcW w:w="634" w:type="pct"/>
            <w:tcBorders>
              <w:top w:val="nil"/>
              <w:left w:val="nil"/>
              <w:right w:val="nil"/>
            </w:tcBorders>
            <w:shd w:val="clear" w:color="000000" w:fill="FFFFFF"/>
          </w:tcPr>
          <w:p w14:paraId="6161810A" w14:textId="49E83DB6"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089</w:t>
            </w:r>
            <w:r w:rsidRPr="00694C51">
              <w:rPr>
                <w:rFonts w:cs="Times New Roman"/>
                <w:sz w:val="16"/>
                <w:szCs w:val="16"/>
              </w:rPr>
              <w:br/>
              <w:t>(0</w:t>
            </w:r>
            <w:r w:rsidR="00E63387">
              <w:rPr>
                <w:rFonts w:cs="Times New Roman"/>
                <w:sz w:val="16"/>
                <w:szCs w:val="16"/>
              </w:rPr>
              <w:t>,</w:t>
            </w:r>
            <w:r w:rsidRPr="00694C51">
              <w:rPr>
                <w:rFonts w:cs="Times New Roman"/>
                <w:sz w:val="16"/>
                <w:szCs w:val="16"/>
              </w:rPr>
              <w:t>119)</w:t>
            </w:r>
          </w:p>
        </w:tc>
        <w:tc>
          <w:tcPr>
            <w:tcW w:w="633" w:type="pct"/>
            <w:tcBorders>
              <w:top w:val="nil"/>
              <w:left w:val="nil"/>
              <w:right w:val="nil"/>
            </w:tcBorders>
            <w:shd w:val="clear" w:color="000000" w:fill="FFFFFF"/>
          </w:tcPr>
          <w:p w14:paraId="661ACF9C" w14:textId="3F8B3D4A"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191</w:t>
            </w:r>
            <w:r w:rsidRPr="00694C51">
              <w:rPr>
                <w:rFonts w:cs="Times New Roman"/>
                <w:sz w:val="16"/>
                <w:szCs w:val="16"/>
              </w:rPr>
              <w:br/>
              <w:t>(0</w:t>
            </w:r>
            <w:r w:rsidR="00E63387">
              <w:rPr>
                <w:rFonts w:cs="Times New Roman"/>
                <w:sz w:val="16"/>
                <w:szCs w:val="16"/>
              </w:rPr>
              <w:t>,</w:t>
            </w:r>
            <w:r w:rsidRPr="00694C51">
              <w:rPr>
                <w:rFonts w:cs="Times New Roman"/>
                <w:sz w:val="16"/>
                <w:szCs w:val="16"/>
              </w:rPr>
              <w:t>121)</w:t>
            </w:r>
          </w:p>
        </w:tc>
        <w:tc>
          <w:tcPr>
            <w:tcW w:w="633" w:type="pct"/>
            <w:tcBorders>
              <w:top w:val="nil"/>
              <w:left w:val="nil"/>
              <w:right w:val="nil"/>
            </w:tcBorders>
            <w:shd w:val="clear" w:color="000000" w:fill="FFFFFF"/>
          </w:tcPr>
          <w:p w14:paraId="0BC845F7" w14:textId="3A39BCEF"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103</w:t>
            </w:r>
            <w:r w:rsidRPr="00694C51">
              <w:rPr>
                <w:rFonts w:cs="Times New Roman"/>
                <w:sz w:val="16"/>
                <w:szCs w:val="16"/>
              </w:rPr>
              <w:br/>
              <w:t>(0</w:t>
            </w:r>
            <w:r w:rsidR="00E63387">
              <w:rPr>
                <w:rFonts w:cs="Times New Roman"/>
                <w:sz w:val="16"/>
                <w:szCs w:val="16"/>
              </w:rPr>
              <w:t>,</w:t>
            </w:r>
            <w:r w:rsidRPr="00694C51">
              <w:rPr>
                <w:rFonts w:cs="Times New Roman"/>
                <w:sz w:val="16"/>
                <w:szCs w:val="16"/>
              </w:rPr>
              <w:t>096)</w:t>
            </w:r>
          </w:p>
        </w:tc>
        <w:tc>
          <w:tcPr>
            <w:tcW w:w="633" w:type="pct"/>
            <w:tcBorders>
              <w:top w:val="nil"/>
              <w:left w:val="nil"/>
              <w:right w:val="nil"/>
            </w:tcBorders>
            <w:shd w:val="clear" w:color="000000" w:fill="FFFFFF"/>
          </w:tcPr>
          <w:p w14:paraId="1E951ABF" w14:textId="365B6C47"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181**</w:t>
            </w:r>
            <w:r w:rsidRPr="00694C51">
              <w:rPr>
                <w:rFonts w:cs="Times New Roman"/>
                <w:sz w:val="16"/>
                <w:szCs w:val="16"/>
              </w:rPr>
              <w:br/>
              <w:t>(0</w:t>
            </w:r>
            <w:r w:rsidR="00E63387">
              <w:rPr>
                <w:rFonts w:cs="Times New Roman"/>
                <w:sz w:val="16"/>
                <w:szCs w:val="16"/>
              </w:rPr>
              <w:t>,</w:t>
            </w:r>
            <w:r w:rsidRPr="00694C51">
              <w:rPr>
                <w:rFonts w:cs="Times New Roman"/>
                <w:sz w:val="16"/>
                <w:szCs w:val="16"/>
              </w:rPr>
              <w:t>081)</w:t>
            </w:r>
          </w:p>
        </w:tc>
      </w:tr>
      <w:tr w:rsidR="00694C51" w:rsidRPr="00FC4EB7" w14:paraId="20B538E7" w14:textId="77777777" w:rsidTr="000164BC">
        <w:trPr>
          <w:trHeight w:val="20"/>
          <w:jc w:val="center"/>
        </w:trPr>
        <w:tc>
          <w:tcPr>
            <w:tcW w:w="1201" w:type="pct"/>
            <w:tcBorders>
              <w:top w:val="nil"/>
              <w:left w:val="nil"/>
              <w:bottom w:val="single" w:sz="8" w:space="0" w:color="auto"/>
              <w:right w:val="nil"/>
            </w:tcBorders>
            <w:shd w:val="clear" w:color="000000" w:fill="FFFFFF"/>
          </w:tcPr>
          <w:p w14:paraId="1D7CCBF6" w14:textId="635064EB" w:rsidR="00694C51" w:rsidRPr="00FC4EB7" w:rsidRDefault="00082EB7"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Öffentliche Aktionäre (Referenzgruppe)</w:t>
            </w:r>
          </w:p>
        </w:tc>
        <w:tc>
          <w:tcPr>
            <w:tcW w:w="633" w:type="pct"/>
            <w:tcBorders>
              <w:top w:val="nil"/>
              <w:left w:val="nil"/>
              <w:bottom w:val="single" w:sz="8" w:space="0" w:color="auto"/>
              <w:right w:val="nil"/>
            </w:tcBorders>
            <w:shd w:val="clear" w:color="000000" w:fill="FFFFFF"/>
            <w:noWrap/>
          </w:tcPr>
          <w:p w14:paraId="57A9620D" w14:textId="469490E4" w:rsidR="00694C51" w:rsidRPr="00694C51" w:rsidRDefault="00694C51" w:rsidP="00996DC5">
            <w:pPr>
              <w:snapToGrid w:val="0"/>
              <w:spacing w:before="40" w:after="40" w:line="240" w:lineRule="auto"/>
              <w:jc w:val="left"/>
              <w:rPr>
                <w:rFonts w:cs="Times New Roman"/>
                <w:color w:val="000000"/>
                <w:sz w:val="16"/>
                <w:szCs w:val="16"/>
              </w:rPr>
            </w:pPr>
          </w:p>
        </w:tc>
        <w:tc>
          <w:tcPr>
            <w:tcW w:w="633" w:type="pct"/>
            <w:tcBorders>
              <w:top w:val="nil"/>
              <w:left w:val="nil"/>
              <w:bottom w:val="single" w:sz="8" w:space="0" w:color="auto"/>
              <w:right w:val="nil"/>
            </w:tcBorders>
            <w:shd w:val="clear" w:color="000000" w:fill="FFFFFF"/>
          </w:tcPr>
          <w:p w14:paraId="548B5576" w14:textId="77777777" w:rsidR="00694C51" w:rsidRPr="00694C51" w:rsidRDefault="00694C51" w:rsidP="00996DC5">
            <w:pPr>
              <w:snapToGrid w:val="0"/>
              <w:spacing w:before="40" w:after="40" w:line="240" w:lineRule="auto"/>
              <w:jc w:val="left"/>
              <w:rPr>
                <w:rFonts w:cs="Times New Roman"/>
                <w:color w:val="000000"/>
                <w:sz w:val="16"/>
                <w:szCs w:val="16"/>
              </w:rPr>
            </w:pPr>
          </w:p>
        </w:tc>
        <w:tc>
          <w:tcPr>
            <w:tcW w:w="634" w:type="pct"/>
            <w:tcBorders>
              <w:top w:val="nil"/>
              <w:left w:val="nil"/>
              <w:bottom w:val="single" w:sz="8" w:space="0" w:color="auto"/>
              <w:right w:val="nil"/>
            </w:tcBorders>
            <w:shd w:val="clear" w:color="000000" w:fill="FFFFFF"/>
          </w:tcPr>
          <w:p w14:paraId="43BAD615" w14:textId="77777777" w:rsidR="00694C51" w:rsidRPr="00694C51" w:rsidRDefault="00694C51" w:rsidP="00996DC5">
            <w:pPr>
              <w:snapToGrid w:val="0"/>
              <w:spacing w:before="40" w:after="40" w:line="240" w:lineRule="auto"/>
              <w:jc w:val="left"/>
              <w:rPr>
                <w:rFonts w:cs="Times New Roman"/>
                <w:color w:val="000000"/>
                <w:sz w:val="16"/>
                <w:szCs w:val="16"/>
              </w:rPr>
            </w:pPr>
          </w:p>
        </w:tc>
        <w:tc>
          <w:tcPr>
            <w:tcW w:w="633" w:type="pct"/>
            <w:tcBorders>
              <w:top w:val="nil"/>
              <w:left w:val="nil"/>
              <w:bottom w:val="single" w:sz="8" w:space="0" w:color="auto"/>
              <w:right w:val="nil"/>
            </w:tcBorders>
            <w:shd w:val="clear" w:color="000000" w:fill="FFFFFF"/>
          </w:tcPr>
          <w:p w14:paraId="3EE78AB6" w14:textId="77777777" w:rsidR="00694C51" w:rsidRPr="00694C51" w:rsidRDefault="00694C51" w:rsidP="00996DC5">
            <w:pPr>
              <w:snapToGrid w:val="0"/>
              <w:spacing w:before="40" w:after="40" w:line="240" w:lineRule="auto"/>
              <w:jc w:val="left"/>
              <w:rPr>
                <w:rFonts w:cs="Times New Roman"/>
                <w:color w:val="000000"/>
                <w:sz w:val="16"/>
                <w:szCs w:val="16"/>
              </w:rPr>
            </w:pPr>
          </w:p>
        </w:tc>
        <w:tc>
          <w:tcPr>
            <w:tcW w:w="633" w:type="pct"/>
            <w:tcBorders>
              <w:top w:val="nil"/>
              <w:left w:val="nil"/>
              <w:bottom w:val="single" w:sz="8" w:space="0" w:color="auto"/>
              <w:right w:val="nil"/>
            </w:tcBorders>
            <w:shd w:val="clear" w:color="000000" w:fill="FFFFFF"/>
          </w:tcPr>
          <w:p w14:paraId="720A9B9B" w14:textId="77777777" w:rsidR="00694C51" w:rsidRPr="00694C51" w:rsidRDefault="00694C51" w:rsidP="00996DC5">
            <w:pPr>
              <w:snapToGrid w:val="0"/>
              <w:spacing w:before="40" w:after="40" w:line="240" w:lineRule="auto"/>
              <w:jc w:val="left"/>
              <w:rPr>
                <w:rFonts w:cs="Times New Roman"/>
                <w:color w:val="000000"/>
                <w:sz w:val="16"/>
                <w:szCs w:val="16"/>
              </w:rPr>
            </w:pPr>
          </w:p>
        </w:tc>
        <w:tc>
          <w:tcPr>
            <w:tcW w:w="633" w:type="pct"/>
            <w:tcBorders>
              <w:top w:val="nil"/>
              <w:left w:val="nil"/>
              <w:bottom w:val="single" w:sz="8" w:space="0" w:color="auto"/>
              <w:right w:val="nil"/>
            </w:tcBorders>
            <w:shd w:val="clear" w:color="000000" w:fill="FFFFFF"/>
          </w:tcPr>
          <w:p w14:paraId="182363B8" w14:textId="1D30BE8B" w:rsidR="00694C51" w:rsidRPr="00694C51" w:rsidRDefault="00694C51" w:rsidP="00996DC5">
            <w:pPr>
              <w:snapToGrid w:val="0"/>
              <w:spacing w:before="40" w:after="40" w:line="240" w:lineRule="auto"/>
              <w:jc w:val="left"/>
              <w:rPr>
                <w:rFonts w:cs="Times New Roman"/>
                <w:color w:val="000000"/>
                <w:sz w:val="16"/>
                <w:szCs w:val="16"/>
              </w:rPr>
            </w:pPr>
          </w:p>
        </w:tc>
      </w:tr>
    </w:tbl>
    <w:p w14:paraId="5185E860" w14:textId="6B65453C" w:rsidR="00996DC5" w:rsidRPr="00996DC5" w:rsidRDefault="00996DC5" w:rsidP="00996DC5">
      <w:pPr>
        <w:spacing w:after="120"/>
        <w:rPr>
          <w:b/>
          <w:bCs/>
        </w:rPr>
      </w:pPr>
      <w:r w:rsidRPr="00EB0B5A">
        <w:rPr>
          <w:b/>
          <w:bCs/>
        </w:rPr>
        <w:lastRenderedPageBreak/>
        <w:t xml:space="preserve">Tabelle </w:t>
      </w:r>
      <w:r w:rsidR="00006603">
        <w:rPr>
          <w:b/>
          <w:bCs/>
        </w:rPr>
        <w:t>6</w:t>
      </w:r>
      <w:r w:rsidRPr="00EB0B5A">
        <w:rPr>
          <w:b/>
          <w:bCs/>
        </w:rPr>
        <w:t xml:space="preserve"> (</w:t>
      </w:r>
      <w:r w:rsidRPr="00996DC5">
        <w:rPr>
          <w:b/>
          <w:bCs/>
        </w:rPr>
        <w:t>fortgesetzt</w:t>
      </w:r>
      <w:r w:rsidRPr="00EB0B5A">
        <w:rPr>
          <w:b/>
          <w:bCs/>
        </w:rPr>
        <w:t>):</w:t>
      </w:r>
    </w:p>
    <w:tbl>
      <w:tblPr>
        <w:tblW w:w="5000" w:type="pct"/>
        <w:jc w:val="center"/>
        <w:tblLayout w:type="fixed"/>
        <w:tblLook w:val="04A0" w:firstRow="1" w:lastRow="0" w:firstColumn="1" w:lastColumn="0" w:noHBand="0" w:noVBand="1"/>
      </w:tblPr>
      <w:tblGrid>
        <w:gridCol w:w="2094"/>
        <w:gridCol w:w="1104"/>
        <w:gridCol w:w="1104"/>
        <w:gridCol w:w="1106"/>
        <w:gridCol w:w="1104"/>
        <w:gridCol w:w="1104"/>
        <w:gridCol w:w="1104"/>
      </w:tblGrid>
      <w:tr w:rsidR="00485743" w:rsidRPr="002D11BF" w14:paraId="44915E4D" w14:textId="77777777" w:rsidTr="00E80E78">
        <w:trPr>
          <w:trHeight w:val="20"/>
          <w:jc w:val="center"/>
        </w:trPr>
        <w:tc>
          <w:tcPr>
            <w:tcW w:w="1201" w:type="pct"/>
            <w:tcBorders>
              <w:top w:val="single" w:sz="8" w:space="0" w:color="auto"/>
              <w:left w:val="nil"/>
              <w:bottom w:val="single" w:sz="6" w:space="0" w:color="auto"/>
              <w:right w:val="nil"/>
            </w:tcBorders>
            <w:shd w:val="clear" w:color="000000" w:fill="FFFFFF"/>
            <w:noWrap/>
            <w:vAlign w:val="bottom"/>
            <w:hideMark/>
          </w:tcPr>
          <w:p w14:paraId="661F5C0E" w14:textId="77777777" w:rsidR="00485743" w:rsidRPr="002D11BF" w:rsidRDefault="00485743" w:rsidP="00485743">
            <w:pPr>
              <w:snapToGrid w:val="0"/>
              <w:spacing w:after="0" w:line="240" w:lineRule="auto"/>
              <w:jc w:val="left"/>
              <w:rPr>
                <w:b/>
                <w:bCs/>
                <w:color w:val="000000"/>
                <w:sz w:val="16"/>
                <w:szCs w:val="16"/>
              </w:rPr>
            </w:pPr>
            <w:r w:rsidRPr="002D11BF">
              <w:rPr>
                <w:b/>
                <w:bCs/>
                <w:color w:val="000000"/>
                <w:sz w:val="16"/>
                <w:szCs w:val="16"/>
              </w:rPr>
              <w:t>Variable</w:t>
            </w:r>
          </w:p>
        </w:tc>
        <w:tc>
          <w:tcPr>
            <w:tcW w:w="633" w:type="pct"/>
            <w:tcBorders>
              <w:top w:val="single" w:sz="8" w:space="0" w:color="auto"/>
              <w:left w:val="nil"/>
              <w:bottom w:val="single" w:sz="6" w:space="0" w:color="auto"/>
              <w:right w:val="nil"/>
            </w:tcBorders>
            <w:shd w:val="clear" w:color="000000" w:fill="FFFFFF"/>
            <w:noWrap/>
            <w:vAlign w:val="bottom"/>
            <w:hideMark/>
          </w:tcPr>
          <w:p w14:paraId="5C1B7FD1" w14:textId="77777777" w:rsidR="00485743" w:rsidRDefault="00485743" w:rsidP="00485743">
            <w:pPr>
              <w:snapToGrid w:val="0"/>
              <w:spacing w:after="0" w:line="240" w:lineRule="auto"/>
              <w:jc w:val="left"/>
              <w:rPr>
                <w:b/>
                <w:bCs/>
                <w:color w:val="000000"/>
                <w:sz w:val="16"/>
                <w:szCs w:val="16"/>
              </w:rPr>
            </w:pPr>
            <w:r>
              <w:rPr>
                <w:b/>
                <w:bCs/>
                <w:color w:val="000000"/>
                <w:sz w:val="16"/>
                <w:szCs w:val="16"/>
              </w:rPr>
              <w:t>Darlehen</w:t>
            </w:r>
          </w:p>
          <w:p w14:paraId="260362FF"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H1</w:t>
            </w:r>
          </w:p>
        </w:tc>
        <w:tc>
          <w:tcPr>
            <w:tcW w:w="633" w:type="pct"/>
            <w:tcBorders>
              <w:top w:val="single" w:sz="8" w:space="0" w:color="auto"/>
              <w:left w:val="nil"/>
              <w:bottom w:val="single" w:sz="6" w:space="0" w:color="auto"/>
              <w:right w:val="nil"/>
            </w:tcBorders>
            <w:shd w:val="clear" w:color="000000" w:fill="FFFFFF"/>
            <w:vAlign w:val="bottom"/>
          </w:tcPr>
          <w:p w14:paraId="6AF9A3F4" w14:textId="77777777" w:rsidR="00485743" w:rsidRDefault="00485743" w:rsidP="00485743">
            <w:pPr>
              <w:snapToGrid w:val="0"/>
              <w:spacing w:after="0" w:line="240" w:lineRule="auto"/>
              <w:jc w:val="left"/>
              <w:rPr>
                <w:b/>
                <w:bCs/>
                <w:color w:val="000000"/>
                <w:sz w:val="16"/>
                <w:szCs w:val="16"/>
              </w:rPr>
            </w:pPr>
            <w:r>
              <w:rPr>
                <w:b/>
                <w:bCs/>
                <w:color w:val="000000"/>
                <w:sz w:val="16"/>
                <w:szCs w:val="16"/>
              </w:rPr>
              <w:t>Flexible Schulden</w:t>
            </w:r>
          </w:p>
          <w:p w14:paraId="0613C73F"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H2</w:t>
            </w:r>
          </w:p>
        </w:tc>
        <w:tc>
          <w:tcPr>
            <w:tcW w:w="634" w:type="pct"/>
            <w:tcBorders>
              <w:top w:val="single" w:sz="8" w:space="0" w:color="auto"/>
              <w:left w:val="nil"/>
              <w:bottom w:val="single" w:sz="6" w:space="0" w:color="auto"/>
              <w:right w:val="nil"/>
            </w:tcBorders>
            <w:shd w:val="clear" w:color="000000" w:fill="FFFFFF"/>
            <w:vAlign w:val="bottom"/>
          </w:tcPr>
          <w:p w14:paraId="75822F7C" w14:textId="77777777" w:rsidR="00485743" w:rsidRDefault="00485743" w:rsidP="00485743">
            <w:pPr>
              <w:snapToGrid w:val="0"/>
              <w:spacing w:after="0" w:line="240" w:lineRule="auto"/>
              <w:jc w:val="left"/>
              <w:rPr>
                <w:b/>
                <w:bCs/>
                <w:color w:val="000000"/>
                <w:sz w:val="16"/>
                <w:szCs w:val="16"/>
              </w:rPr>
            </w:pPr>
            <w:r>
              <w:rPr>
                <w:b/>
                <w:bCs/>
                <w:color w:val="000000"/>
                <w:sz w:val="16"/>
                <w:szCs w:val="16"/>
              </w:rPr>
              <w:t>Lieferanten-kredite</w:t>
            </w:r>
          </w:p>
          <w:p w14:paraId="15DE7E37" w14:textId="1E64A67E" w:rsidR="00485743" w:rsidRPr="002D11BF" w:rsidRDefault="00485743" w:rsidP="00485743">
            <w:pPr>
              <w:snapToGrid w:val="0"/>
              <w:spacing w:after="0" w:line="240" w:lineRule="auto"/>
              <w:jc w:val="left"/>
              <w:rPr>
                <w:b/>
                <w:bCs/>
                <w:color w:val="000000"/>
                <w:sz w:val="16"/>
                <w:szCs w:val="16"/>
              </w:rPr>
            </w:pPr>
            <w:r>
              <w:rPr>
                <w:b/>
                <w:bCs/>
                <w:color w:val="000000"/>
                <w:sz w:val="16"/>
                <w:szCs w:val="16"/>
              </w:rPr>
              <w:t>H3</w:t>
            </w:r>
          </w:p>
        </w:tc>
        <w:tc>
          <w:tcPr>
            <w:tcW w:w="633" w:type="pct"/>
            <w:tcBorders>
              <w:top w:val="single" w:sz="8" w:space="0" w:color="auto"/>
              <w:left w:val="nil"/>
              <w:bottom w:val="single" w:sz="6" w:space="0" w:color="auto"/>
              <w:right w:val="nil"/>
            </w:tcBorders>
            <w:shd w:val="clear" w:color="000000" w:fill="FFFFFF"/>
            <w:vAlign w:val="bottom"/>
          </w:tcPr>
          <w:p w14:paraId="2B5E9EA1" w14:textId="77777777" w:rsidR="00485743" w:rsidRDefault="00485743" w:rsidP="00485743">
            <w:pPr>
              <w:snapToGrid w:val="0"/>
              <w:spacing w:after="0" w:line="240" w:lineRule="auto"/>
              <w:jc w:val="left"/>
              <w:rPr>
                <w:b/>
                <w:bCs/>
                <w:color w:val="000000"/>
                <w:sz w:val="16"/>
                <w:szCs w:val="16"/>
              </w:rPr>
            </w:pPr>
            <w:r>
              <w:rPr>
                <w:b/>
                <w:bCs/>
                <w:color w:val="000000"/>
                <w:sz w:val="16"/>
                <w:szCs w:val="16"/>
              </w:rPr>
              <w:t>Zuschüsse</w:t>
            </w:r>
          </w:p>
          <w:p w14:paraId="0127F34C" w14:textId="67F85D07" w:rsidR="00485743" w:rsidRPr="002D11BF" w:rsidRDefault="00485743" w:rsidP="00485743">
            <w:pPr>
              <w:snapToGrid w:val="0"/>
              <w:spacing w:after="0" w:line="240" w:lineRule="auto"/>
              <w:jc w:val="left"/>
              <w:rPr>
                <w:b/>
                <w:bCs/>
                <w:color w:val="000000"/>
                <w:sz w:val="16"/>
                <w:szCs w:val="16"/>
              </w:rPr>
            </w:pPr>
            <w:r>
              <w:rPr>
                <w:b/>
                <w:bCs/>
                <w:color w:val="000000"/>
                <w:sz w:val="16"/>
                <w:szCs w:val="16"/>
              </w:rPr>
              <w:t>H4</w:t>
            </w:r>
          </w:p>
        </w:tc>
        <w:tc>
          <w:tcPr>
            <w:tcW w:w="633" w:type="pct"/>
            <w:tcBorders>
              <w:top w:val="single" w:sz="8" w:space="0" w:color="auto"/>
              <w:left w:val="nil"/>
              <w:bottom w:val="single" w:sz="6" w:space="0" w:color="auto"/>
              <w:right w:val="nil"/>
            </w:tcBorders>
            <w:shd w:val="clear" w:color="000000" w:fill="FFFFFF"/>
            <w:vAlign w:val="bottom"/>
          </w:tcPr>
          <w:p w14:paraId="74AD5817" w14:textId="77777777" w:rsidR="00485743" w:rsidRDefault="00485743" w:rsidP="00485743">
            <w:pPr>
              <w:snapToGrid w:val="0"/>
              <w:spacing w:after="0" w:line="240" w:lineRule="auto"/>
              <w:jc w:val="left"/>
              <w:rPr>
                <w:b/>
                <w:bCs/>
                <w:color w:val="000000"/>
                <w:sz w:val="16"/>
                <w:szCs w:val="16"/>
              </w:rPr>
            </w:pPr>
            <w:r>
              <w:rPr>
                <w:b/>
                <w:bCs/>
                <w:color w:val="000000"/>
                <w:sz w:val="16"/>
                <w:szCs w:val="16"/>
              </w:rPr>
              <w:t>Asset-   basiert</w:t>
            </w:r>
          </w:p>
          <w:p w14:paraId="39194E03"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H5</w:t>
            </w:r>
          </w:p>
        </w:tc>
        <w:tc>
          <w:tcPr>
            <w:tcW w:w="633" w:type="pct"/>
            <w:tcBorders>
              <w:top w:val="single" w:sz="8" w:space="0" w:color="auto"/>
              <w:left w:val="nil"/>
              <w:bottom w:val="single" w:sz="6" w:space="0" w:color="auto"/>
              <w:right w:val="nil"/>
            </w:tcBorders>
            <w:shd w:val="clear" w:color="000000" w:fill="FFFFFF"/>
            <w:vAlign w:val="bottom"/>
          </w:tcPr>
          <w:p w14:paraId="1AD29E70" w14:textId="77777777" w:rsidR="00485743" w:rsidRDefault="00485743" w:rsidP="00485743">
            <w:pPr>
              <w:snapToGrid w:val="0"/>
              <w:spacing w:after="0" w:line="240" w:lineRule="auto"/>
              <w:jc w:val="left"/>
              <w:rPr>
                <w:b/>
                <w:bCs/>
                <w:color w:val="000000"/>
                <w:sz w:val="16"/>
                <w:szCs w:val="16"/>
              </w:rPr>
            </w:pPr>
            <w:r>
              <w:rPr>
                <w:b/>
                <w:bCs/>
                <w:color w:val="000000"/>
                <w:sz w:val="16"/>
                <w:szCs w:val="16"/>
              </w:rPr>
              <w:t>Innen-finanzierung</w:t>
            </w:r>
          </w:p>
          <w:p w14:paraId="1D14DDE5"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H6</w:t>
            </w:r>
          </w:p>
        </w:tc>
      </w:tr>
      <w:tr w:rsidR="00396964" w:rsidRPr="00694C51" w14:paraId="4EF0C0FC" w14:textId="77777777" w:rsidTr="00396964">
        <w:trPr>
          <w:trHeight w:val="20"/>
          <w:jc w:val="center"/>
        </w:trPr>
        <w:tc>
          <w:tcPr>
            <w:tcW w:w="1201" w:type="pct"/>
            <w:tcBorders>
              <w:top w:val="nil"/>
              <w:left w:val="nil"/>
              <w:right w:val="nil"/>
            </w:tcBorders>
            <w:shd w:val="clear" w:color="000000" w:fill="FFFFFF"/>
          </w:tcPr>
          <w:p w14:paraId="2429B2C6" w14:textId="77777777" w:rsidR="00396964" w:rsidRPr="00F906E9" w:rsidRDefault="00396964" w:rsidP="007C1506">
            <w:pPr>
              <w:snapToGrid w:val="0"/>
              <w:spacing w:before="40" w:after="40" w:line="240" w:lineRule="auto"/>
              <w:jc w:val="left"/>
              <w:rPr>
                <w:b/>
                <w:bCs/>
                <w:color w:val="000000"/>
                <w:sz w:val="16"/>
                <w:szCs w:val="16"/>
              </w:rPr>
            </w:pPr>
            <w:r w:rsidRPr="00F906E9">
              <w:rPr>
                <w:b/>
                <w:bCs/>
                <w:color w:val="000000"/>
                <w:sz w:val="16"/>
                <w:szCs w:val="16"/>
              </w:rPr>
              <w:t>Kapitalposition</w:t>
            </w:r>
          </w:p>
        </w:tc>
        <w:tc>
          <w:tcPr>
            <w:tcW w:w="633" w:type="pct"/>
            <w:tcBorders>
              <w:top w:val="nil"/>
              <w:left w:val="nil"/>
              <w:right w:val="nil"/>
            </w:tcBorders>
            <w:shd w:val="clear" w:color="000000" w:fill="FFFFFF"/>
            <w:noWrap/>
          </w:tcPr>
          <w:p w14:paraId="6EBC23B4"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42B29F0F"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4" w:type="pct"/>
            <w:tcBorders>
              <w:top w:val="nil"/>
              <w:left w:val="nil"/>
              <w:right w:val="nil"/>
            </w:tcBorders>
            <w:shd w:val="clear" w:color="000000" w:fill="FFFFFF"/>
          </w:tcPr>
          <w:p w14:paraId="598CE73A"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0D8F81AD"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556E8903"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0C8B16A7" w14:textId="77777777" w:rsidR="00396964" w:rsidRPr="00694C51" w:rsidRDefault="00396964" w:rsidP="007C1506">
            <w:pPr>
              <w:snapToGrid w:val="0"/>
              <w:spacing w:before="40" w:after="40" w:line="240" w:lineRule="auto"/>
              <w:jc w:val="left"/>
              <w:rPr>
                <w:rFonts w:cs="Times New Roman"/>
                <w:color w:val="000000"/>
                <w:sz w:val="16"/>
                <w:szCs w:val="16"/>
              </w:rPr>
            </w:pPr>
          </w:p>
        </w:tc>
      </w:tr>
      <w:tr w:rsidR="00396964" w:rsidRPr="00694C51" w14:paraId="7A0AB6C6" w14:textId="77777777" w:rsidTr="00396964">
        <w:trPr>
          <w:trHeight w:val="20"/>
          <w:jc w:val="center"/>
        </w:trPr>
        <w:tc>
          <w:tcPr>
            <w:tcW w:w="1201" w:type="pct"/>
            <w:tcBorders>
              <w:top w:val="nil"/>
              <w:left w:val="nil"/>
              <w:right w:val="nil"/>
            </w:tcBorders>
            <w:shd w:val="clear" w:color="000000" w:fill="FFFFFF"/>
          </w:tcPr>
          <w:p w14:paraId="052865DB" w14:textId="77777777" w:rsidR="00396964" w:rsidRDefault="0039696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Gestiegen</w:t>
            </w:r>
          </w:p>
        </w:tc>
        <w:tc>
          <w:tcPr>
            <w:tcW w:w="633" w:type="pct"/>
            <w:tcBorders>
              <w:top w:val="nil"/>
              <w:left w:val="nil"/>
              <w:right w:val="nil"/>
            </w:tcBorders>
            <w:shd w:val="clear" w:color="000000" w:fill="FFFFFF"/>
            <w:noWrap/>
          </w:tcPr>
          <w:p w14:paraId="79D84205"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083</w:t>
            </w:r>
            <w:r w:rsidRPr="00694C51">
              <w:rPr>
                <w:rFonts w:cs="Times New Roman"/>
                <w:sz w:val="16"/>
                <w:szCs w:val="16"/>
              </w:rPr>
              <w:br/>
              <w:t>(0</w:t>
            </w:r>
            <w:r>
              <w:rPr>
                <w:rFonts w:cs="Times New Roman"/>
                <w:sz w:val="16"/>
                <w:szCs w:val="16"/>
              </w:rPr>
              <w:t>,</w:t>
            </w:r>
            <w:r w:rsidRPr="00694C51">
              <w:rPr>
                <w:rFonts w:cs="Times New Roman"/>
                <w:sz w:val="16"/>
                <w:szCs w:val="16"/>
              </w:rPr>
              <w:t>073)</w:t>
            </w:r>
          </w:p>
        </w:tc>
        <w:tc>
          <w:tcPr>
            <w:tcW w:w="633" w:type="pct"/>
            <w:tcBorders>
              <w:top w:val="nil"/>
              <w:left w:val="nil"/>
              <w:right w:val="nil"/>
            </w:tcBorders>
            <w:shd w:val="clear" w:color="000000" w:fill="FFFFFF"/>
          </w:tcPr>
          <w:p w14:paraId="7869B43F"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060</w:t>
            </w:r>
            <w:r w:rsidRPr="00694C51">
              <w:rPr>
                <w:rFonts w:cs="Times New Roman"/>
                <w:sz w:val="16"/>
                <w:szCs w:val="16"/>
              </w:rPr>
              <w:br/>
              <w:t>(0</w:t>
            </w:r>
            <w:r>
              <w:rPr>
                <w:rFonts w:cs="Times New Roman"/>
                <w:sz w:val="16"/>
                <w:szCs w:val="16"/>
              </w:rPr>
              <w:t>,</w:t>
            </w:r>
            <w:r w:rsidRPr="00694C51">
              <w:rPr>
                <w:rFonts w:cs="Times New Roman"/>
                <w:sz w:val="16"/>
                <w:szCs w:val="16"/>
              </w:rPr>
              <w:t>068)</w:t>
            </w:r>
          </w:p>
        </w:tc>
        <w:tc>
          <w:tcPr>
            <w:tcW w:w="634" w:type="pct"/>
            <w:tcBorders>
              <w:top w:val="nil"/>
              <w:left w:val="nil"/>
              <w:right w:val="nil"/>
            </w:tcBorders>
            <w:shd w:val="clear" w:color="000000" w:fill="FFFFFF"/>
          </w:tcPr>
          <w:p w14:paraId="0A34CD9A"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146**</w:t>
            </w:r>
            <w:r w:rsidRPr="00694C51">
              <w:rPr>
                <w:rFonts w:cs="Times New Roman"/>
                <w:sz w:val="16"/>
                <w:szCs w:val="16"/>
              </w:rPr>
              <w:br/>
              <w:t>(0</w:t>
            </w:r>
            <w:r>
              <w:rPr>
                <w:rFonts w:cs="Times New Roman"/>
                <w:sz w:val="16"/>
                <w:szCs w:val="16"/>
              </w:rPr>
              <w:t>,</w:t>
            </w:r>
            <w:r w:rsidRPr="00694C51">
              <w:rPr>
                <w:rFonts w:cs="Times New Roman"/>
                <w:sz w:val="16"/>
                <w:szCs w:val="16"/>
              </w:rPr>
              <w:t>072)</w:t>
            </w:r>
          </w:p>
        </w:tc>
        <w:tc>
          <w:tcPr>
            <w:tcW w:w="633" w:type="pct"/>
            <w:tcBorders>
              <w:top w:val="nil"/>
              <w:left w:val="nil"/>
              <w:right w:val="nil"/>
            </w:tcBorders>
            <w:shd w:val="clear" w:color="000000" w:fill="FFFFFF"/>
          </w:tcPr>
          <w:p w14:paraId="26C03209"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070</w:t>
            </w:r>
            <w:r w:rsidRPr="00694C51">
              <w:rPr>
                <w:rFonts w:cs="Times New Roman"/>
                <w:sz w:val="16"/>
                <w:szCs w:val="16"/>
              </w:rPr>
              <w:br/>
              <w:t>(0</w:t>
            </w:r>
            <w:r>
              <w:rPr>
                <w:rFonts w:cs="Times New Roman"/>
                <w:sz w:val="16"/>
                <w:szCs w:val="16"/>
              </w:rPr>
              <w:t>,</w:t>
            </w:r>
            <w:r w:rsidRPr="00694C51">
              <w:rPr>
                <w:rFonts w:cs="Times New Roman"/>
                <w:sz w:val="16"/>
                <w:szCs w:val="16"/>
              </w:rPr>
              <w:t>078)</w:t>
            </w:r>
          </w:p>
        </w:tc>
        <w:tc>
          <w:tcPr>
            <w:tcW w:w="633" w:type="pct"/>
            <w:tcBorders>
              <w:top w:val="nil"/>
              <w:left w:val="nil"/>
              <w:right w:val="nil"/>
            </w:tcBorders>
            <w:shd w:val="clear" w:color="000000" w:fill="FFFFFF"/>
          </w:tcPr>
          <w:p w14:paraId="364C59BD"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013</w:t>
            </w:r>
            <w:r w:rsidRPr="00694C51">
              <w:rPr>
                <w:rFonts w:cs="Times New Roman"/>
                <w:sz w:val="16"/>
                <w:szCs w:val="16"/>
              </w:rPr>
              <w:br/>
              <w:t>(0</w:t>
            </w:r>
            <w:r>
              <w:rPr>
                <w:rFonts w:cs="Times New Roman"/>
                <w:sz w:val="16"/>
                <w:szCs w:val="16"/>
              </w:rPr>
              <w:t>,</w:t>
            </w:r>
            <w:r w:rsidRPr="00694C51">
              <w:rPr>
                <w:rFonts w:cs="Times New Roman"/>
                <w:sz w:val="16"/>
                <w:szCs w:val="16"/>
              </w:rPr>
              <w:t>067)</w:t>
            </w:r>
          </w:p>
        </w:tc>
        <w:tc>
          <w:tcPr>
            <w:tcW w:w="633" w:type="pct"/>
            <w:tcBorders>
              <w:top w:val="nil"/>
              <w:left w:val="nil"/>
              <w:right w:val="nil"/>
            </w:tcBorders>
            <w:shd w:val="clear" w:color="000000" w:fill="FFFFFF"/>
          </w:tcPr>
          <w:p w14:paraId="2A1B72AA"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008</w:t>
            </w:r>
            <w:r w:rsidRPr="00694C51">
              <w:rPr>
                <w:rFonts w:cs="Times New Roman"/>
                <w:sz w:val="16"/>
                <w:szCs w:val="16"/>
              </w:rPr>
              <w:br/>
              <w:t>(0</w:t>
            </w:r>
            <w:r>
              <w:rPr>
                <w:rFonts w:cs="Times New Roman"/>
                <w:sz w:val="16"/>
                <w:szCs w:val="16"/>
              </w:rPr>
              <w:t>,</w:t>
            </w:r>
            <w:r w:rsidRPr="00694C51">
              <w:rPr>
                <w:rFonts w:cs="Times New Roman"/>
                <w:sz w:val="16"/>
                <w:szCs w:val="16"/>
              </w:rPr>
              <w:t>052)</w:t>
            </w:r>
          </w:p>
        </w:tc>
      </w:tr>
      <w:tr w:rsidR="00396964" w:rsidRPr="00694C51" w14:paraId="042D115F" w14:textId="77777777" w:rsidTr="00396964">
        <w:trPr>
          <w:trHeight w:val="20"/>
          <w:jc w:val="center"/>
        </w:trPr>
        <w:tc>
          <w:tcPr>
            <w:tcW w:w="1201" w:type="pct"/>
            <w:tcBorders>
              <w:top w:val="nil"/>
              <w:left w:val="nil"/>
              <w:right w:val="nil"/>
            </w:tcBorders>
            <w:shd w:val="clear" w:color="000000" w:fill="FFFFFF"/>
          </w:tcPr>
          <w:p w14:paraId="0812D407" w14:textId="77777777" w:rsidR="00396964" w:rsidRPr="00FC4EB7" w:rsidRDefault="0039696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Unverändert</w:t>
            </w:r>
          </w:p>
        </w:tc>
        <w:tc>
          <w:tcPr>
            <w:tcW w:w="633" w:type="pct"/>
            <w:tcBorders>
              <w:top w:val="nil"/>
              <w:left w:val="nil"/>
              <w:right w:val="nil"/>
            </w:tcBorders>
            <w:shd w:val="clear" w:color="000000" w:fill="FFFFFF"/>
            <w:noWrap/>
          </w:tcPr>
          <w:p w14:paraId="555CBB07"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112*</w:t>
            </w:r>
            <w:r w:rsidRPr="00694C51">
              <w:rPr>
                <w:rFonts w:cs="Times New Roman"/>
                <w:sz w:val="16"/>
                <w:szCs w:val="16"/>
              </w:rPr>
              <w:br/>
              <w:t>(0</w:t>
            </w:r>
            <w:r>
              <w:rPr>
                <w:rFonts w:cs="Times New Roman"/>
                <w:sz w:val="16"/>
                <w:szCs w:val="16"/>
              </w:rPr>
              <w:t>,</w:t>
            </w:r>
            <w:r w:rsidRPr="00694C51">
              <w:rPr>
                <w:rFonts w:cs="Times New Roman"/>
                <w:sz w:val="16"/>
                <w:szCs w:val="16"/>
              </w:rPr>
              <w:t>066)</w:t>
            </w:r>
          </w:p>
        </w:tc>
        <w:tc>
          <w:tcPr>
            <w:tcW w:w="633" w:type="pct"/>
            <w:tcBorders>
              <w:top w:val="nil"/>
              <w:left w:val="nil"/>
              <w:right w:val="nil"/>
            </w:tcBorders>
            <w:shd w:val="clear" w:color="000000" w:fill="FFFFFF"/>
          </w:tcPr>
          <w:p w14:paraId="617FD501"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041</w:t>
            </w:r>
            <w:r w:rsidRPr="00694C51">
              <w:rPr>
                <w:rFonts w:cs="Times New Roman"/>
                <w:sz w:val="16"/>
                <w:szCs w:val="16"/>
              </w:rPr>
              <w:br/>
              <w:t>(0</w:t>
            </w:r>
            <w:r>
              <w:rPr>
                <w:rFonts w:cs="Times New Roman"/>
                <w:sz w:val="16"/>
                <w:szCs w:val="16"/>
              </w:rPr>
              <w:t>,</w:t>
            </w:r>
            <w:r w:rsidRPr="00694C51">
              <w:rPr>
                <w:rFonts w:cs="Times New Roman"/>
                <w:sz w:val="16"/>
                <w:szCs w:val="16"/>
              </w:rPr>
              <w:t>061)</w:t>
            </w:r>
          </w:p>
        </w:tc>
        <w:tc>
          <w:tcPr>
            <w:tcW w:w="634" w:type="pct"/>
            <w:tcBorders>
              <w:top w:val="nil"/>
              <w:left w:val="nil"/>
              <w:right w:val="nil"/>
            </w:tcBorders>
            <w:shd w:val="clear" w:color="000000" w:fill="FFFFFF"/>
          </w:tcPr>
          <w:p w14:paraId="001B82ED"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061</w:t>
            </w:r>
            <w:r w:rsidRPr="00694C51">
              <w:rPr>
                <w:rFonts w:cs="Times New Roman"/>
                <w:sz w:val="16"/>
                <w:szCs w:val="16"/>
              </w:rPr>
              <w:br/>
              <w:t>(0</w:t>
            </w:r>
            <w:r>
              <w:rPr>
                <w:rFonts w:cs="Times New Roman"/>
                <w:sz w:val="16"/>
                <w:szCs w:val="16"/>
              </w:rPr>
              <w:t>,</w:t>
            </w:r>
            <w:r w:rsidRPr="00694C51">
              <w:rPr>
                <w:rFonts w:cs="Times New Roman"/>
                <w:sz w:val="16"/>
                <w:szCs w:val="16"/>
              </w:rPr>
              <w:t>063)</w:t>
            </w:r>
          </w:p>
        </w:tc>
        <w:tc>
          <w:tcPr>
            <w:tcW w:w="633" w:type="pct"/>
            <w:tcBorders>
              <w:top w:val="nil"/>
              <w:left w:val="nil"/>
              <w:right w:val="nil"/>
            </w:tcBorders>
            <w:shd w:val="clear" w:color="000000" w:fill="FFFFFF"/>
          </w:tcPr>
          <w:p w14:paraId="3A7A5F5E"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019</w:t>
            </w:r>
            <w:r w:rsidRPr="00694C51">
              <w:rPr>
                <w:rFonts w:cs="Times New Roman"/>
                <w:sz w:val="16"/>
                <w:szCs w:val="16"/>
              </w:rPr>
              <w:br/>
              <w:t>(0</w:t>
            </w:r>
            <w:r>
              <w:rPr>
                <w:rFonts w:cs="Times New Roman"/>
                <w:sz w:val="16"/>
                <w:szCs w:val="16"/>
              </w:rPr>
              <w:t>,</w:t>
            </w:r>
            <w:r w:rsidRPr="00694C51">
              <w:rPr>
                <w:rFonts w:cs="Times New Roman"/>
                <w:sz w:val="16"/>
                <w:szCs w:val="16"/>
              </w:rPr>
              <w:t>071)</w:t>
            </w:r>
          </w:p>
        </w:tc>
        <w:tc>
          <w:tcPr>
            <w:tcW w:w="633" w:type="pct"/>
            <w:tcBorders>
              <w:top w:val="nil"/>
              <w:left w:val="nil"/>
              <w:right w:val="nil"/>
            </w:tcBorders>
            <w:shd w:val="clear" w:color="000000" w:fill="FFFFFF"/>
          </w:tcPr>
          <w:p w14:paraId="03A96581"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056</w:t>
            </w:r>
            <w:r w:rsidRPr="00694C51">
              <w:rPr>
                <w:rFonts w:cs="Times New Roman"/>
                <w:sz w:val="16"/>
                <w:szCs w:val="16"/>
              </w:rPr>
              <w:br/>
              <w:t>(0</w:t>
            </w:r>
            <w:r>
              <w:rPr>
                <w:rFonts w:cs="Times New Roman"/>
                <w:sz w:val="16"/>
                <w:szCs w:val="16"/>
              </w:rPr>
              <w:t>,</w:t>
            </w:r>
            <w:r w:rsidRPr="00694C51">
              <w:rPr>
                <w:rFonts w:cs="Times New Roman"/>
                <w:sz w:val="16"/>
                <w:szCs w:val="16"/>
              </w:rPr>
              <w:t>061)</w:t>
            </w:r>
          </w:p>
        </w:tc>
        <w:tc>
          <w:tcPr>
            <w:tcW w:w="633" w:type="pct"/>
            <w:tcBorders>
              <w:top w:val="nil"/>
              <w:left w:val="nil"/>
              <w:right w:val="nil"/>
            </w:tcBorders>
            <w:shd w:val="clear" w:color="000000" w:fill="FFFFFF"/>
          </w:tcPr>
          <w:p w14:paraId="14A7CB40"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144***</w:t>
            </w:r>
            <w:r w:rsidRPr="00694C51">
              <w:rPr>
                <w:rFonts w:cs="Times New Roman"/>
                <w:sz w:val="16"/>
                <w:szCs w:val="16"/>
              </w:rPr>
              <w:br/>
              <w:t>(0</w:t>
            </w:r>
            <w:r>
              <w:rPr>
                <w:rFonts w:cs="Times New Roman"/>
                <w:sz w:val="16"/>
                <w:szCs w:val="16"/>
              </w:rPr>
              <w:t>,</w:t>
            </w:r>
            <w:r w:rsidRPr="00694C51">
              <w:rPr>
                <w:rFonts w:cs="Times New Roman"/>
                <w:sz w:val="16"/>
                <w:szCs w:val="16"/>
              </w:rPr>
              <w:t>047)</w:t>
            </w:r>
          </w:p>
        </w:tc>
      </w:tr>
      <w:tr w:rsidR="00396964" w:rsidRPr="00694C51" w14:paraId="2B4341BA" w14:textId="77777777" w:rsidTr="00396964">
        <w:trPr>
          <w:trHeight w:val="20"/>
          <w:jc w:val="center"/>
        </w:trPr>
        <w:tc>
          <w:tcPr>
            <w:tcW w:w="1201" w:type="pct"/>
            <w:tcBorders>
              <w:top w:val="nil"/>
              <w:left w:val="nil"/>
              <w:right w:val="nil"/>
            </w:tcBorders>
            <w:shd w:val="clear" w:color="000000" w:fill="FFFFFF"/>
          </w:tcPr>
          <w:p w14:paraId="5000290D" w14:textId="77777777" w:rsidR="00396964" w:rsidRPr="00FC4EB7" w:rsidRDefault="0039696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Verringert (Referenzgruppe)</w:t>
            </w:r>
          </w:p>
        </w:tc>
        <w:tc>
          <w:tcPr>
            <w:tcW w:w="633" w:type="pct"/>
            <w:tcBorders>
              <w:top w:val="nil"/>
              <w:left w:val="nil"/>
              <w:right w:val="nil"/>
            </w:tcBorders>
            <w:shd w:val="clear" w:color="000000" w:fill="FFFFFF"/>
            <w:noWrap/>
          </w:tcPr>
          <w:p w14:paraId="3133B2C3"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275DB0EB"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4" w:type="pct"/>
            <w:tcBorders>
              <w:top w:val="nil"/>
              <w:left w:val="nil"/>
              <w:right w:val="nil"/>
            </w:tcBorders>
            <w:shd w:val="clear" w:color="000000" w:fill="FFFFFF"/>
          </w:tcPr>
          <w:p w14:paraId="5058E530"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7D5D36A7"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7C06AB29"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26E145E6" w14:textId="77777777" w:rsidR="00396964" w:rsidRPr="00694C51" w:rsidRDefault="00396964" w:rsidP="007C1506">
            <w:pPr>
              <w:snapToGrid w:val="0"/>
              <w:spacing w:before="40" w:after="40" w:line="240" w:lineRule="auto"/>
              <w:jc w:val="left"/>
              <w:rPr>
                <w:rFonts w:cs="Times New Roman"/>
                <w:color w:val="000000"/>
                <w:sz w:val="16"/>
                <w:szCs w:val="16"/>
              </w:rPr>
            </w:pPr>
          </w:p>
        </w:tc>
      </w:tr>
      <w:tr w:rsidR="00396964" w:rsidRPr="00694C51" w14:paraId="70567E17" w14:textId="77777777" w:rsidTr="00396964">
        <w:trPr>
          <w:trHeight w:val="20"/>
          <w:jc w:val="center"/>
        </w:trPr>
        <w:tc>
          <w:tcPr>
            <w:tcW w:w="1201" w:type="pct"/>
            <w:tcBorders>
              <w:top w:val="nil"/>
              <w:left w:val="nil"/>
              <w:right w:val="nil"/>
            </w:tcBorders>
            <w:shd w:val="clear" w:color="000000" w:fill="FFFFFF"/>
          </w:tcPr>
          <w:p w14:paraId="4E3D46C0" w14:textId="77777777" w:rsidR="00396964" w:rsidRPr="00F906E9" w:rsidRDefault="00396964" w:rsidP="007C1506">
            <w:pPr>
              <w:snapToGrid w:val="0"/>
              <w:spacing w:before="40" w:after="40" w:line="240" w:lineRule="auto"/>
              <w:jc w:val="left"/>
              <w:rPr>
                <w:b/>
                <w:bCs/>
                <w:color w:val="000000"/>
                <w:sz w:val="16"/>
                <w:szCs w:val="16"/>
              </w:rPr>
            </w:pPr>
            <w:r w:rsidRPr="00F906E9">
              <w:rPr>
                <w:b/>
                <w:bCs/>
                <w:color w:val="000000"/>
                <w:sz w:val="16"/>
                <w:szCs w:val="16"/>
              </w:rPr>
              <w:t>Gewinn</w:t>
            </w:r>
          </w:p>
        </w:tc>
        <w:tc>
          <w:tcPr>
            <w:tcW w:w="633" w:type="pct"/>
            <w:tcBorders>
              <w:top w:val="nil"/>
              <w:left w:val="nil"/>
              <w:right w:val="nil"/>
            </w:tcBorders>
            <w:shd w:val="clear" w:color="000000" w:fill="FFFFFF"/>
            <w:noWrap/>
          </w:tcPr>
          <w:p w14:paraId="1FD006D9"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0AA3772C"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4" w:type="pct"/>
            <w:tcBorders>
              <w:top w:val="nil"/>
              <w:left w:val="nil"/>
              <w:right w:val="nil"/>
            </w:tcBorders>
            <w:shd w:val="clear" w:color="000000" w:fill="FFFFFF"/>
          </w:tcPr>
          <w:p w14:paraId="3C1F7946"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1E7C454E"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207B70C5"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3AA1E838" w14:textId="77777777" w:rsidR="00396964" w:rsidRPr="00694C51" w:rsidRDefault="00396964" w:rsidP="007C1506">
            <w:pPr>
              <w:snapToGrid w:val="0"/>
              <w:spacing w:before="40" w:after="40" w:line="240" w:lineRule="auto"/>
              <w:jc w:val="left"/>
              <w:rPr>
                <w:rFonts w:cs="Times New Roman"/>
                <w:color w:val="000000"/>
                <w:sz w:val="16"/>
                <w:szCs w:val="16"/>
              </w:rPr>
            </w:pPr>
          </w:p>
        </w:tc>
      </w:tr>
      <w:tr w:rsidR="00396964" w:rsidRPr="00694C51" w14:paraId="05CAE0A6" w14:textId="77777777" w:rsidTr="00396964">
        <w:trPr>
          <w:trHeight w:val="20"/>
          <w:jc w:val="center"/>
        </w:trPr>
        <w:tc>
          <w:tcPr>
            <w:tcW w:w="1201" w:type="pct"/>
            <w:tcBorders>
              <w:top w:val="nil"/>
              <w:left w:val="nil"/>
              <w:right w:val="nil"/>
            </w:tcBorders>
            <w:shd w:val="clear" w:color="000000" w:fill="FFFFFF"/>
          </w:tcPr>
          <w:p w14:paraId="413018B7" w14:textId="77777777" w:rsidR="00396964" w:rsidRDefault="0039696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Gestiegen</w:t>
            </w:r>
          </w:p>
        </w:tc>
        <w:tc>
          <w:tcPr>
            <w:tcW w:w="633" w:type="pct"/>
            <w:tcBorders>
              <w:top w:val="nil"/>
              <w:left w:val="nil"/>
              <w:right w:val="nil"/>
            </w:tcBorders>
            <w:shd w:val="clear" w:color="000000" w:fill="FFFFFF"/>
            <w:noWrap/>
          </w:tcPr>
          <w:p w14:paraId="6D30EEBB"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034</w:t>
            </w:r>
            <w:r w:rsidRPr="00694C51">
              <w:rPr>
                <w:rFonts w:cs="Times New Roman"/>
                <w:sz w:val="16"/>
                <w:szCs w:val="16"/>
              </w:rPr>
              <w:br/>
              <w:t>(0</w:t>
            </w:r>
            <w:r>
              <w:rPr>
                <w:rFonts w:cs="Times New Roman"/>
                <w:sz w:val="16"/>
                <w:szCs w:val="16"/>
              </w:rPr>
              <w:t>,</w:t>
            </w:r>
            <w:r w:rsidRPr="00694C51">
              <w:rPr>
                <w:rFonts w:cs="Times New Roman"/>
                <w:sz w:val="16"/>
                <w:szCs w:val="16"/>
              </w:rPr>
              <w:t>047)</w:t>
            </w:r>
          </w:p>
        </w:tc>
        <w:tc>
          <w:tcPr>
            <w:tcW w:w="633" w:type="pct"/>
            <w:tcBorders>
              <w:top w:val="nil"/>
              <w:left w:val="nil"/>
              <w:right w:val="nil"/>
            </w:tcBorders>
            <w:shd w:val="clear" w:color="000000" w:fill="FFFFFF"/>
          </w:tcPr>
          <w:p w14:paraId="09437C5D"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077*</w:t>
            </w:r>
            <w:r w:rsidRPr="00694C51">
              <w:rPr>
                <w:rFonts w:cs="Times New Roman"/>
                <w:sz w:val="16"/>
                <w:szCs w:val="16"/>
              </w:rPr>
              <w:br/>
              <w:t>(0</w:t>
            </w:r>
            <w:r>
              <w:rPr>
                <w:rFonts w:cs="Times New Roman"/>
                <w:sz w:val="16"/>
                <w:szCs w:val="16"/>
              </w:rPr>
              <w:t>,</w:t>
            </w:r>
            <w:r w:rsidRPr="00694C51">
              <w:rPr>
                <w:rFonts w:cs="Times New Roman"/>
                <w:sz w:val="16"/>
                <w:szCs w:val="16"/>
              </w:rPr>
              <w:t>047)</w:t>
            </w:r>
          </w:p>
        </w:tc>
        <w:tc>
          <w:tcPr>
            <w:tcW w:w="634" w:type="pct"/>
            <w:tcBorders>
              <w:top w:val="nil"/>
              <w:left w:val="nil"/>
              <w:right w:val="nil"/>
            </w:tcBorders>
            <w:shd w:val="clear" w:color="000000" w:fill="FFFFFF"/>
          </w:tcPr>
          <w:p w14:paraId="7D06BC25"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042</w:t>
            </w:r>
            <w:r w:rsidRPr="00694C51">
              <w:rPr>
                <w:rFonts w:cs="Times New Roman"/>
                <w:sz w:val="16"/>
                <w:szCs w:val="16"/>
              </w:rPr>
              <w:br/>
              <w:t>(0</w:t>
            </w:r>
            <w:r>
              <w:rPr>
                <w:rFonts w:cs="Times New Roman"/>
                <w:sz w:val="16"/>
                <w:szCs w:val="16"/>
              </w:rPr>
              <w:t>,</w:t>
            </w:r>
            <w:r w:rsidRPr="00694C51">
              <w:rPr>
                <w:rFonts w:cs="Times New Roman"/>
                <w:sz w:val="16"/>
                <w:szCs w:val="16"/>
              </w:rPr>
              <w:t>049)</w:t>
            </w:r>
          </w:p>
        </w:tc>
        <w:tc>
          <w:tcPr>
            <w:tcW w:w="633" w:type="pct"/>
            <w:tcBorders>
              <w:top w:val="nil"/>
              <w:left w:val="nil"/>
              <w:right w:val="nil"/>
            </w:tcBorders>
            <w:shd w:val="clear" w:color="000000" w:fill="FFFFFF"/>
          </w:tcPr>
          <w:p w14:paraId="066CD8C6"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014</w:t>
            </w:r>
            <w:r w:rsidRPr="00694C51">
              <w:rPr>
                <w:rFonts w:cs="Times New Roman"/>
                <w:sz w:val="16"/>
                <w:szCs w:val="16"/>
              </w:rPr>
              <w:br/>
              <w:t>(0</w:t>
            </w:r>
            <w:r>
              <w:rPr>
                <w:rFonts w:cs="Times New Roman"/>
                <w:sz w:val="16"/>
                <w:szCs w:val="16"/>
              </w:rPr>
              <w:t>,</w:t>
            </w:r>
            <w:r w:rsidRPr="00694C51">
              <w:rPr>
                <w:rFonts w:cs="Times New Roman"/>
                <w:sz w:val="16"/>
                <w:szCs w:val="16"/>
              </w:rPr>
              <w:t>050)</w:t>
            </w:r>
          </w:p>
        </w:tc>
        <w:tc>
          <w:tcPr>
            <w:tcW w:w="633" w:type="pct"/>
            <w:tcBorders>
              <w:top w:val="nil"/>
              <w:left w:val="nil"/>
              <w:right w:val="nil"/>
            </w:tcBorders>
            <w:shd w:val="clear" w:color="000000" w:fill="FFFFFF"/>
          </w:tcPr>
          <w:p w14:paraId="18C4C4D3"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097**</w:t>
            </w:r>
            <w:r w:rsidRPr="00694C51">
              <w:rPr>
                <w:rFonts w:cs="Times New Roman"/>
                <w:sz w:val="16"/>
                <w:szCs w:val="16"/>
              </w:rPr>
              <w:br/>
              <w:t>(0</w:t>
            </w:r>
            <w:r>
              <w:rPr>
                <w:rFonts w:cs="Times New Roman"/>
                <w:sz w:val="16"/>
                <w:szCs w:val="16"/>
              </w:rPr>
              <w:t>,</w:t>
            </w:r>
            <w:r w:rsidRPr="00694C51">
              <w:rPr>
                <w:rFonts w:cs="Times New Roman"/>
                <w:sz w:val="16"/>
                <w:szCs w:val="16"/>
              </w:rPr>
              <w:t>044)</w:t>
            </w:r>
          </w:p>
        </w:tc>
        <w:tc>
          <w:tcPr>
            <w:tcW w:w="633" w:type="pct"/>
            <w:tcBorders>
              <w:top w:val="nil"/>
              <w:left w:val="nil"/>
              <w:right w:val="nil"/>
            </w:tcBorders>
            <w:shd w:val="clear" w:color="000000" w:fill="FFFFFF"/>
          </w:tcPr>
          <w:p w14:paraId="4FBFA286"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025</w:t>
            </w:r>
            <w:r w:rsidRPr="00694C51">
              <w:rPr>
                <w:rFonts w:cs="Times New Roman"/>
                <w:sz w:val="16"/>
                <w:szCs w:val="16"/>
              </w:rPr>
              <w:br/>
              <w:t>(0</w:t>
            </w:r>
            <w:r>
              <w:rPr>
                <w:rFonts w:cs="Times New Roman"/>
                <w:sz w:val="16"/>
                <w:szCs w:val="16"/>
              </w:rPr>
              <w:t>,</w:t>
            </w:r>
            <w:r w:rsidRPr="00694C51">
              <w:rPr>
                <w:rFonts w:cs="Times New Roman"/>
                <w:sz w:val="16"/>
                <w:szCs w:val="16"/>
              </w:rPr>
              <w:t>034)</w:t>
            </w:r>
          </w:p>
        </w:tc>
      </w:tr>
      <w:tr w:rsidR="00396964" w:rsidRPr="00694C51" w14:paraId="5C1CAA07" w14:textId="77777777" w:rsidTr="00396964">
        <w:trPr>
          <w:trHeight w:val="20"/>
          <w:jc w:val="center"/>
        </w:trPr>
        <w:tc>
          <w:tcPr>
            <w:tcW w:w="1201" w:type="pct"/>
            <w:tcBorders>
              <w:top w:val="nil"/>
              <w:left w:val="nil"/>
              <w:right w:val="nil"/>
            </w:tcBorders>
            <w:shd w:val="clear" w:color="000000" w:fill="FFFFFF"/>
          </w:tcPr>
          <w:p w14:paraId="5318FE58" w14:textId="77777777" w:rsidR="00396964" w:rsidRPr="00FC4EB7" w:rsidRDefault="0039696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Unverändert</w:t>
            </w:r>
          </w:p>
        </w:tc>
        <w:tc>
          <w:tcPr>
            <w:tcW w:w="633" w:type="pct"/>
            <w:tcBorders>
              <w:top w:val="nil"/>
              <w:left w:val="nil"/>
              <w:right w:val="nil"/>
            </w:tcBorders>
            <w:shd w:val="clear" w:color="000000" w:fill="FFFFFF"/>
            <w:noWrap/>
          </w:tcPr>
          <w:p w14:paraId="00E25F19"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014</w:t>
            </w:r>
            <w:r w:rsidRPr="00694C51">
              <w:rPr>
                <w:rFonts w:cs="Times New Roman"/>
                <w:sz w:val="16"/>
                <w:szCs w:val="16"/>
              </w:rPr>
              <w:br/>
              <w:t>(0</w:t>
            </w:r>
            <w:r>
              <w:rPr>
                <w:rFonts w:cs="Times New Roman"/>
                <w:sz w:val="16"/>
                <w:szCs w:val="16"/>
              </w:rPr>
              <w:t>,</w:t>
            </w:r>
            <w:r w:rsidRPr="00694C51">
              <w:rPr>
                <w:rFonts w:cs="Times New Roman"/>
                <w:sz w:val="16"/>
                <w:szCs w:val="16"/>
              </w:rPr>
              <w:t>043)</w:t>
            </w:r>
          </w:p>
        </w:tc>
        <w:tc>
          <w:tcPr>
            <w:tcW w:w="633" w:type="pct"/>
            <w:tcBorders>
              <w:top w:val="nil"/>
              <w:left w:val="nil"/>
              <w:right w:val="nil"/>
            </w:tcBorders>
            <w:shd w:val="clear" w:color="000000" w:fill="FFFFFF"/>
          </w:tcPr>
          <w:p w14:paraId="0766EF7E"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026</w:t>
            </w:r>
            <w:r w:rsidRPr="00694C51">
              <w:rPr>
                <w:rFonts w:cs="Times New Roman"/>
                <w:sz w:val="16"/>
                <w:szCs w:val="16"/>
              </w:rPr>
              <w:br/>
              <w:t>(0</w:t>
            </w:r>
            <w:r>
              <w:rPr>
                <w:rFonts w:cs="Times New Roman"/>
                <w:sz w:val="16"/>
                <w:szCs w:val="16"/>
              </w:rPr>
              <w:t>,</w:t>
            </w:r>
            <w:r w:rsidRPr="00694C51">
              <w:rPr>
                <w:rFonts w:cs="Times New Roman"/>
                <w:sz w:val="16"/>
                <w:szCs w:val="16"/>
              </w:rPr>
              <w:t>041)</w:t>
            </w:r>
          </w:p>
        </w:tc>
        <w:tc>
          <w:tcPr>
            <w:tcW w:w="634" w:type="pct"/>
            <w:tcBorders>
              <w:top w:val="nil"/>
              <w:left w:val="nil"/>
              <w:right w:val="nil"/>
            </w:tcBorders>
            <w:shd w:val="clear" w:color="000000" w:fill="FFFFFF"/>
          </w:tcPr>
          <w:p w14:paraId="12FE6B1A"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021</w:t>
            </w:r>
            <w:r w:rsidRPr="00694C51">
              <w:rPr>
                <w:rFonts w:cs="Times New Roman"/>
                <w:sz w:val="16"/>
                <w:szCs w:val="16"/>
              </w:rPr>
              <w:br/>
              <w:t>(0</w:t>
            </w:r>
            <w:r>
              <w:rPr>
                <w:rFonts w:cs="Times New Roman"/>
                <w:sz w:val="16"/>
                <w:szCs w:val="16"/>
              </w:rPr>
              <w:t>,</w:t>
            </w:r>
            <w:r w:rsidRPr="00694C51">
              <w:rPr>
                <w:rFonts w:cs="Times New Roman"/>
                <w:sz w:val="16"/>
                <w:szCs w:val="16"/>
              </w:rPr>
              <w:t>044)</w:t>
            </w:r>
          </w:p>
        </w:tc>
        <w:tc>
          <w:tcPr>
            <w:tcW w:w="633" w:type="pct"/>
            <w:tcBorders>
              <w:top w:val="nil"/>
              <w:left w:val="nil"/>
              <w:right w:val="nil"/>
            </w:tcBorders>
            <w:shd w:val="clear" w:color="000000" w:fill="FFFFFF"/>
          </w:tcPr>
          <w:p w14:paraId="455F7782"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026</w:t>
            </w:r>
            <w:r w:rsidRPr="00694C51">
              <w:rPr>
                <w:rFonts w:cs="Times New Roman"/>
                <w:sz w:val="16"/>
                <w:szCs w:val="16"/>
              </w:rPr>
              <w:br/>
              <w:t>(0</w:t>
            </w:r>
            <w:r>
              <w:rPr>
                <w:rFonts w:cs="Times New Roman"/>
                <w:sz w:val="16"/>
                <w:szCs w:val="16"/>
              </w:rPr>
              <w:t>,</w:t>
            </w:r>
            <w:r w:rsidRPr="00694C51">
              <w:rPr>
                <w:rFonts w:cs="Times New Roman"/>
                <w:sz w:val="16"/>
                <w:szCs w:val="16"/>
              </w:rPr>
              <w:t>046)</w:t>
            </w:r>
          </w:p>
        </w:tc>
        <w:tc>
          <w:tcPr>
            <w:tcW w:w="633" w:type="pct"/>
            <w:tcBorders>
              <w:top w:val="nil"/>
              <w:left w:val="nil"/>
              <w:right w:val="nil"/>
            </w:tcBorders>
            <w:shd w:val="clear" w:color="000000" w:fill="FFFFFF"/>
          </w:tcPr>
          <w:p w14:paraId="7A789B1D"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062</w:t>
            </w:r>
            <w:r w:rsidRPr="00694C51">
              <w:rPr>
                <w:rFonts w:cs="Times New Roman"/>
                <w:sz w:val="16"/>
                <w:szCs w:val="16"/>
              </w:rPr>
              <w:br/>
              <w:t>(0</w:t>
            </w:r>
            <w:r>
              <w:rPr>
                <w:rFonts w:cs="Times New Roman"/>
                <w:sz w:val="16"/>
                <w:szCs w:val="16"/>
              </w:rPr>
              <w:t>,</w:t>
            </w:r>
            <w:r w:rsidRPr="00694C51">
              <w:rPr>
                <w:rFonts w:cs="Times New Roman"/>
                <w:sz w:val="16"/>
                <w:szCs w:val="16"/>
              </w:rPr>
              <w:t>040)</w:t>
            </w:r>
          </w:p>
        </w:tc>
        <w:tc>
          <w:tcPr>
            <w:tcW w:w="633" w:type="pct"/>
            <w:tcBorders>
              <w:top w:val="nil"/>
              <w:left w:val="nil"/>
              <w:right w:val="nil"/>
            </w:tcBorders>
            <w:shd w:val="clear" w:color="000000" w:fill="FFFFFF"/>
          </w:tcPr>
          <w:p w14:paraId="7FE3AACE"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140***</w:t>
            </w:r>
            <w:r w:rsidRPr="00694C51">
              <w:rPr>
                <w:rFonts w:cs="Times New Roman"/>
                <w:sz w:val="16"/>
                <w:szCs w:val="16"/>
              </w:rPr>
              <w:br/>
              <w:t>(0</w:t>
            </w:r>
            <w:r>
              <w:rPr>
                <w:rFonts w:cs="Times New Roman"/>
                <w:sz w:val="16"/>
                <w:szCs w:val="16"/>
              </w:rPr>
              <w:t>,</w:t>
            </w:r>
            <w:r w:rsidRPr="00694C51">
              <w:rPr>
                <w:rFonts w:cs="Times New Roman"/>
                <w:sz w:val="16"/>
                <w:szCs w:val="16"/>
              </w:rPr>
              <w:t>030)</w:t>
            </w:r>
          </w:p>
        </w:tc>
      </w:tr>
      <w:tr w:rsidR="00396964" w:rsidRPr="00694C51" w14:paraId="6D01E060" w14:textId="77777777" w:rsidTr="00396964">
        <w:trPr>
          <w:trHeight w:val="20"/>
          <w:jc w:val="center"/>
        </w:trPr>
        <w:tc>
          <w:tcPr>
            <w:tcW w:w="1201" w:type="pct"/>
            <w:tcBorders>
              <w:top w:val="nil"/>
              <w:left w:val="nil"/>
              <w:right w:val="nil"/>
            </w:tcBorders>
            <w:shd w:val="clear" w:color="000000" w:fill="FFFFFF"/>
          </w:tcPr>
          <w:p w14:paraId="52B3BEDC" w14:textId="77777777" w:rsidR="00396964" w:rsidRPr="00FC4EB7" w:rsidRDefault="0039696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Verringert (Referenzgruppe)</w:t>
            </w:r>
          </w:p>
        </w:tc>
        <w:tc>
          <w:tcPr>
            <w:tcW w:w="633" w:type="pct"/>
            <w:tcBorders>
              <w:top w:val="nil"/>
              <w:left w:val="nil"/>
              <w:right w:val="nil"/>
            </w:tcBorders>
            <w:shd w:val="clear" w:color="000000" w:fill="FFFFFF"/>
            <w:noWrap/>
          </w:tcPr>
          <w:p w14:paraId="54ADE27A"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2DD63305" w14:textId="77777777" w:rsidR="00396964" w:rsidRPr="00694C51" w:rsidRDefault="00396964" w:rsidP="007C1506">
            <w:pPr>
              <w:snapToGrid w:val="0"/>
              <w:spacing w:before="40" w:after="40" w:line="240" w:lineRule="auto"/>
              <w:jc w:val="left"/>
              <w:rPr>
                <w:rFonts w:cs="Times New Roman"/>
                <w:sz w:val="16"/>
                <w:szCs w:val="16"/>
              </w:rPr>
            </w:pPr>
          </w:p>
        </w:tc>
        <w:tc>
          <w:tcPr>
            <w:tcW w:w="634" w:type="pct"/>
            <w:tcBorders>
              <w:top w:val="nil"/>
              <w:left w:val="nil"/>
              <w:right w:val="nil"/>
            </w:tcBorders>
            <w:shd w:val="clear" w:color="000000" w:fill="FFFFFF"/>
          </w:tcPr>
          <w:p w14:paraId="0D701259" w14:textId="77777777" w:rsidR="00396964" w:rsidRPr="00694C51" w:rsidRDefault="00396964" w:rsidP="007C1506">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1F7C9768" w14:textId="77777777" w:rsidR="00396964" w:rsidRPr="00694C51" w:rsidRDefault="00396964" w:rsidP="007C1506">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09C937AB" w14:textId="77777777" w:rsidR="00396964" w:rsidRPr="00694C51" w:rsidRDefault="00396964" w:rsidP="007C1506">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07694828" w14:textId="77777777" w:rsidR="00396964" w:rsidRPr="00694C51" w:rsidRDefault="00396964" w:rsidP="007C1506">
            <w:pPr>
              <w:snapToGrid w:val="0"/>
              <w:spacing w:before="40" w:after="40" w:line="240" w:lineRule="auto"/>
              <w:jc w:val="left"/>
              <w:rPr>
                <w:rFonts w:cs="Times New Roman"/>
                <w:sz w:val="16"/>
                <w:szCs w:val="16"/>
              </w:rPr>
            </w:pPr>
          </w:p>
        </w:tc>
      </w:tr>
      <w:tr w:rsidR="00396964" w:rsidRPr="00694C51" w14:paraId="5D724973" w14:textId="77777777" w:rsidTr="00396964">
        <w:trPr>
          <w:trHeight w:val="20"/>
          <w:jc w:val="center"/>
        </w:trPr>
        <w:tc>
          <w:tcPr>
            <w:tcW w:w="1201" w:type="pct"/>
            <w:tcBorders>
              <w:top w:val="nil"/>
              <w:left w:val="nil"/>
              <w:right w:val="nil"/>
            </w:tcBorders>
            <w:shd w:val="clear" w:color="000000" w:fill="FFFFFF"/>
          </w:tcPr>
          <w:p w14:paraId="7C09A567" w14:textId="77777777" w:rsidR="00396964" w:rsidRPr="00F906E9" w:rsidRDefault="00396964" w:rsidP="007C1506">
            <w:pPr>
              <w:snapToGrid w:val="0"/>
              <w:spacing w:before="40" w:after="40" w:line="240" w:lineRule="auto"/>
              <w:jc w:val="left"/>
              <w:rPr>
                <w:b/>
                <w:bCs/>
                <w:color w:val="000000"/>
                <w:sz w:val="16"/>
                <w:szCs w:val="16"/>
              </w:rPr>
            </w:pPr>
            <w:r w:rsidRPr="00F906E9">
              <w:rPr>
                <w:b/>
                <w:bCs/>
                <w:color w:val="000000"/>
                <w:sz w:val="16"/>
                <w:szCs w:val="16"/>
              </w:rPr>
              <w:t>Erwarteter Umsatz</w:t>
            </w:r>
          </w:p>
        </w:tc>
        <w:tc>
          <w:tcPr>
            <w:tcW w:w="633" w:type="pct"/>
            <w:tcBorders>
              <w:top w:val="nil"/>
              <w:left w:val="nil"/>
              <w:right w:val="nil"/>
            </w:tcBorders>
            <w:shd w:val="clear" w:color="000000" w:fill="FFFFFF"/>
            <w:noWrap/>
          </w:tcPr>
          <w:p w14:paraId="191B5B3A"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49878ED2"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4" w:type="pct"/>
            <w:tcBorders>
              <w:top w:val="nil"/>
              <w:left w:val="nil"/>
              <w:right w:val="nil"/>
            </w:tcBorders>
            <w:shd w:val="clear" w:color="000000" w:fill="FFFFFF"/>
          </w:tcPr>
          <w:p w14:paraId="707EE474"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4F0F31FF"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14FDE738"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6B9C122D" w14:textId="77777777" w:rsidR="00396964" w:rsidRPr="00694C51" w:rsidRDefault="00396964" w:rsidP="007C1506">
            <w:pPr>
              <w:snapToGrid w:val="0"/>
              <w:spacing w:before="40" w:after="40" w:line="240" w:lineRule="auto"/>
              <w:jc w:val="left"/>
              <w:rPr>
                <w:rFonts w:cs="Times New Roman"/>
                <w:color w:val="000000"/>
                <w:sz w:val="16"/>
                <w:szCs w:val="16"/>
              </w:rPr>
            </w:pPr>
          </w:p>
        </w:tc>
      </w:tr>
      <w:tr w:rsidR="00396964" w:rsidRPr="00694C51" w14:paraId="5B90CF99" w14:textId="77777777" w:rsidTr="00396964">
        <w:trPr>
          <w:trHeight w:val="20"/>
          <w:jc w:val="center"/>
        </w:trPr>
        <w:tc>
          <w:tcPr>
            <w:tcW w:w="1201" w:type="pct"/>
            <w:tcBorders>
              <w:top w:val="nil"/>
              <w:left w:val="nil"/>
              <w:right w:val="nil"/>
            </w:tcBorders>
            <w:shd w:val="clear" w:color="000000" w:fill="FFFFFF"/>
          </w:tcPr>
          <w:p w14:paraId="0478996C" w14:textId="77777777" w:rsidR="00396964" w:rsidRDefault="0039696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&gt;20% Steigerung</w:t>
            </w:r>
          </w:p>
        </w:tc>
        <w:tc>
          <w:tcPr>
            <w:tcW w:w="633" w:type="pct"/>
            <w:tcBorders>
              <w:top w:val="nil"/>
              <w:left w:val="nil"/>
              <w:right w:val="nil"/>
            </w:tcBorders>
            <w:shd w:val="clear" w:color="000000" w:fill="FFFFFF"/>
            <w:noWrap/>
          </w:tcPr>
          <w:p w14:paraId="21A27324"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131</w:t>
            </w:r>
            <w:r w:rsidRPr="00694C51">
              <w:rPr>
                <w:rFonts w:cs="Times New Roman"/>
                <w:sz w:val="16"/>
                <w:szCs w:val="16"/>
              </w:rPr>
              <w:br/>
              <w:t>(0</w:t>
            </w:r>
            <w:r>
              <w:rPr>
                <w:rFonts w:cs="Times New Roman"/>
                <w:sz w:val="16"/>
                <w:szCs w:val="16"/>
              </w:rPr>
              <w:t>,</w:t>
            </w:r>
            <w:r w:rsidRPr="00694C51">
              <w:rPr>
                <w:rFonts w:cs="Times New Roman"/>
                <w:sz w:val="16"/>
                <w:szCs w:val="16"/>
              </w:rPr>
              <w:t>087)</w:t>
            </w:r>
          </w:p>
        </w:tc>
        <w:tc>
          <w:tcPr>
            <w:tcW w:w="633" w:type="pct"/>
            <w:tcBorders>
              <w:top w:val="nil"/>
              <w:left w:val="nil"/>
              <w:right w:val="nil"/>
            </w:tcBorders>
            <w:shd w:val="clear" w:color="000000" w:fill="FFFFFF"/>
          </w:tcPr>
          <w:p w14:paraId="7027FAAD"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032</w:t>
            </w:r>
            <w:r w:rsidRPr="00694C51">
              <w:rPr>
                <w:rFonts w:cs="Times New Roman"/>
                <w:sz w:val="16"/>
                <w:szCs w:val="16"/>
              </w:rPr>
              <w:br/>
              <w:t>(0</w:t>
            </w:r>
            <w:r>
              <w:rPr>
                <w:rFonts w:cs="Times New Roman"/>
                <w:sz w:val="16"/>
                <w:szCs w:val="16"/>
              </w:rPr>
              <w:t>,</w:t>
            </w:r>
            <w:r w:rsidRPr="00694C51">
              <w:rPr>
                <w:rFonts w:cs="Times New Roman"/>
                <w:sz w:val="16"/>
                <w:szCs w:val="16"/>
              </w:rPr>
              <w:t>081)</w:t>
            </w:r>
          </w:p>
        </w:tc>
        <w:tc>
          <w:tcPr>
            <w:tcW w:w="634" w:type="pct"/>
            <w:tcBorders>
              <w:top w:val="nil"/>
              <w:left w:val="nil"/>
              <w:right w:val="nil"/>
            </w:tcBorders>
            <w:shd w:val="clear" w:color="000000" w:fill="FFFFFF"/>
          </w:tcPr>
          <w:p w14:paraId="48C8AD71"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051</w:t>
            </w:r>
            <w:r w:rsidRPr="00694C51">
              <w:rPr>
                <w:rFonts w:cs="Times New Roman"/>
                <w:sz w:val="16"/>
                <w:szCs w:val="16"/>
              </w:rPr>
              <w:br/>
              <w:t>(0</w:t>
            </w:r>
            <w:r>
              <w:rPr>
                <w:rFonts w:cs="Times New Roman"/>
                <w:sz w:val="16"/>
                <w:szCs w:val="16"/>
              </w:rPr>
              <w:t>,</w:t>
            </w:r>
            <w:r w:rsidRPr="00694C51">
              <w:rPr>
                <w:rFonts w:cs="Times New Roman"/>
                <w:sz w:val="16"/>
                <w:szCs w:val="16"/>
              </w:rPr>
              <w:t>085)</w:t>
            </w:r>
          </w:p>
        </w:tc>
        <w:tc>
          <w:tcPr>
            <w:tcW w:w="633" w:type="pct"/>
            <w:tcBorders>
              <w:top w:val="nil"/>
              <w:left w:val="nil"/>
              <w:right w:val="nil"/>
            </w:tcBorders>
            <w:shd w:val="clear" w:color="000000" w:fill="FFFFFF"/>
          </w:tcPr>
          <w:p w14:paraId="55B2A5C9"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186**</w:t>
            </w:r>
            <w:r w:rsidRPr="00694C51">
              <w:rPr>
                <w:rFonts w:cs="Times New Roman"/>
                <w:sz w:val="16"/>
                <w:szCs w:val="16"/>
              </w:rPr>
              <w:br/>
              <w:t>(0</w:t>
            </w:r>
            <w:r>
              <w:rPr>
                <w:rFonts w:cs="Times New Roman"/>
                <w:sz w:val="16"/>
                <w:szCs w:val="16"/>
              </w:rPr>
              <w:t>,</w:t>
            </w:r>
            <w:r w:rsidRPr="00694C51">
              <w:rPr>
                <w:rFonts w:cs="Times New Roman"/>
                <w:sz w:val="16"/>
                <w:szCs w:val="16"/>
              </w:rPr>
              <w:t>092)</w:t>
            </w:r>
          </w:p>
        </w:tc>
        <w:tc>
          <w:tcPr>
            <w:tcW w:w="633" w:type="pct"/>
            <w:tcBorders>
              <w:top w:val="nil"/>
              <w:left w:val="nil"/>
              <w:right w:val="nil"/>
            </w:tcBorders>
            <w:shd w:val="clear" w:color="000000" w:fill="FFFFFF"/>
          </w:tcPr>
          <w:p w14:paraId="418EF2C6"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027</w:t>
            </w:r>
            <w:r w:rsidRPr="00694C51">
              <w:rPr>
                <w:rFonts w:cs="Times New Roman"/>
                <w:sz w:val="16"/>
                <w:szCs w:val="16"/>
              </w:rPr>
              <w:br/>
              <w:t>(0</w:t>
            </w:r>
            <w:r>
              <w:rPr>
                <w:rFonts w:cs="Times New Roman"/>
                <w:sz w:val="16"/>
                <w:szCs w:val="16"/>
              </w:rPr>
              <w:t>,</w:t>
            </w:r>
            <w:r w:rsidRPr="00694C51">
              <w:rPr>
                <w:rFonts w:cs="Times New Roman"/>
                <w:sz w:val="16"/>
                <w:szCs w:val="16"/>
              </w:rPr>
              <w:t>078)</w:t>
            </w:r>
          </w:p>
        </w:tc>
        <w:tc>
          <w:tcPr>
            <w:tcW w:w="633" w:type="pct"/>
            <w:tcBorders>
              <w:top w:val="nil"/>
              <w:left w:val="nil"/>
              <w:right w:val="nil"/>
            </w:tcBorders>
            <w:shd w:val="clear" w:color="000000" w:fill="FFFFFF"/>
          </w:tcPr>
          <w:p w14:paraId="24047F35"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251***</w:t>
            </w:r>
            <w:r w:rsidRPr="00694C51">
              <w:rPr>
                <w:rFonts w:cs="Times New Roman"/>
                <w:sz w:val="16"/>
                <w:szCs w:val="16"/>
              </w:rPr>
              <w:br/>
              <w:t>(0</w:t>
            </w:r>
            <w:r>
              <w:rPr>
                <w:rFonts w:cs="Times New Roman"/>
                <w:sz w:val="16"/>
                <w:szCs w:val="16"/>
              </w:rPr>
              <w:t>,</w:t>
            </w:r>
            <w:r w:rsidRPr="00694C51">
              <w:rPr>
                <w:rFonts w:cs="Times New Roman"/>
                <w:sz w:val="16"/>
                <w:szCs w:val="16"/>
              </w:rPr>
              <w:t>059)</w:t>
            </w:r>
          </w:p>
        </w:tc>
      </w:tr>
      <w:tr w:rsidR="00396964" w:rsidRPr="00694C51" w14:paraId="3FBB69CE" w14:textId="77777777" w:rsidTr="00396964">
        <w:trPr>
          <w:trHeight w:val="20"/>
          <w:jc w:val="center"/>
        </w:trPr>
        <w:tc>
          <w:tcPr>
            <w:tcW w:w="1201" w:type="pct"/>
            <w:tcBorders>
              <w:top w:val="nil"/>
              <w:left w:val="nil"/>
              <w:right w:val="nil"/>
            </w:tcBorders>
            <w:shd w:val="clear" w:color="000000" w:fill="FFFFFF"/>
          </w:tcPr>
          <w:p w14:paraId="5D78F506" w14:textId="77777777" w:rsidR="00396964" w:rsidRPr="00FC4EB7" w:rsidRDefault="0039696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&lt;20% Steigerung</w:t>
            </w:r>
          </w:p>
        </w:tc>
        <w:tc>
          <w:tcPr>
            <w:tcW w:w="633" w:type="pct"/>
            <w:tcBorders>
              <w:top w:val="nil"/>
              <w:left w:val="nil"/>
              <w:right w:val="nil"/>
            </w:tcBorders>
            <w:shd w:val="clear" w:color="000000" w:fill="FFFFFF"/>
            <w:noWrap/>
          </w:tcPr>
          <w:p w14:paraId="045CDC39"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156**</w:t>
            </w:r>
            <w:r w:rsidRPr="00694C51">
              <w:rPr>
                <w:rFonts w:cs="Times New Roman"/>
                <w:sz w:val="16"/>
                <w:szCs w:val="16"/>
              </w:rPr>
              <w:br/>
              <w:t>(0</w:t>
            </w:r>
            <w:r>
              <w:rPr>
                <w:rFonts w:cs="Times New Roman"/>
                <w:sz w:val="16"/>
                <w:szCs w:val="16"/>
              </w:rPr>
              <w:t>,</w:t>
            </w:r>
            <w:r w:rsidRPr="00694C51">
              <w:rPr>
                <w:rFonts w:cs="Times New Roman"/>
                <w:sz w:val="16"/>
                <w:szCs w:val="16"/>
              </w:rPr>
              <w:t>068)</w:t>
            </w:r>
          </w:p>
        </w:tc>
        <w:tc>
          <w:tcPr>
            <w:tcW w:w="633" w:type="pct"/>
            <w:tcBorders>
              <w:top w:val="nil"/>
              <w:left w:val="nil"/>
              <w:right w:val="nil"/>
            </w:tcBorders>
            <w:shd w:val="clear" w:color="000000" w:fill="FFFFFF"/>
          </w:tcPr>
          <w:p w14:paraId="79791F8A"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001</w:t>
            </w:r>
            <w:r w:rsidRPr="00694C51">
              <w:rPr>
                <w:rFonts w:cs="Times New Roman"/>
                <w:sz w:val="16"/>
                <w:szCs w:val="16"/>
              </w:rPr>
              <w:br/>
              <w:t>(0</w:t>
            </w:r>
            <w:r>
              <w:rPr>
                <w:rFonts w:cs="Times New Roman"/>
                <w:sz w:val="16"/>
                <w:szCs w:val="16"/>
              </w:rPr>
              <w:t>,</w:t>
            </w:r>
            <w:r w:rsidRPr="00694C51">
              <w:rPr>
                <w:rFonts w:cs="Times New Roman"/>
                <w:sz w:val="16"/>
                <w:szCs w:val="16"/>
              </w:rPr>
              <w:t>060)</w:t>
            </w:r>
          </w:p>
        </w:tc>
        <w:tc>
          <w:tcPr>
            <w:tcW w:w="634" w:type="pct"/>
            <w:tcBorders>
              <w:top w:val="nil"/>
              <w:left w:val="nil"/>
              <w:right w:val="nil"/>
            </w:tcBorders>
            <w:shd w:val="clear" w:color="000000" w:fill="FFFFFF"/>
          </w:tcPr>
          <w:p w14:paraId="36BBF11C"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049</w:t>
            </w:r>
            <w:r w:rsidRPr="00694C51">
              <w:rPr>
                <w:rFonts w:cs="Times New Roman"/>
                <w:sz w:val="16"/>
                <w:szCs w:val="16"/>
              </w:rPr>
              <w:br/>
              <w:t>(0</w:t>
            </w:r>
            <w:r>
              <w:rPr>
                <w:rFonts w:cs="Times New Roman"/>
                <w:sz w:val="16"/>
                <w:szCs w:val="16"/>
              </w:rPr>
              <w:t>,</w:t>
            </w:r>
            <w:r w:rsidRPr="00694C51">
              <w:rPr>
                <w:rFonts w:cs="Times New Roman"/>
                <w:sz w:val="16"/>
                <w:szCs w:val="16"/>
              </w:rPr>
              <w:t>066)</w:t>
            </w:r>
          </w:p>
        </w:tc>
        <w:tc>
          <w:tcPr>
            <w:tcW w:w="633" w:type="pct"/>
            <w:tcBorders>
              <w:top w:val="nil"/>
              <w:left w:val="nil"/>
              <w:right w:val="nil"/>
            </w:tcBorders>
            <w:shd w:val="clear" w:color="000000" w:fill="FFFFFF"/>
          </w:tcPr>
          <w:p w14:paraId="631DA24D"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125*</w:t>
            </w:r>
            <w:r w:rsidRPr="00694C51">
              <w:rPr>
                <w:rFonts w:cs="Times New Roman"/>
                <w:sz w:val="16"/>
                <w:szCs w:val="16"/>
              </w:rPr>
              <w:br/>
              <w:t>(0</w:t>
            </w:r>
            <w:r>
              <w:rPr>
                <w:rFonts w:cs="Times New Roman"/>
                <w:sz w:val="16"/>
                <w:szCs w:val="16"/>
              </w:rPr>
              <w:t>,</w:t>
            </w:r>
            <w:r w:rsidRPr="00694C51">
              <w:rPr>
                <w:rFonts w:cs="Times New Roman"/>
                <w:sz w:val="16"/>
                <w:szCs w:val="16"/>
              </w:rPr>
              <w:t>073)</w:t>
            </w:r>
          </w:p>
        </w:tc>
        <w:tc>
          <w:tcPr>
            <w:tcW w:w="633" w:type="pct"/>
            <w:tcBorders>
              <w:top w:val="nil"/>
              <w:left w:val="nil"/>
              <w:right w:val="nil"/>
            </w:tcBorders>
            <w:shd w:val="clear" w:color="000000" w:fill="FFFFFF"/>
          </w:tcPr>
          <w:p w14:paraId="02E849BB"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018</w:t>
            </w:r>
            <w:r w:rsidRPr="00694C51">
              <w:rPr>
                <w:rFonts w:cs="Times New Roman"/>
                <w:sz w:val="16"/>
                <w:szCs w:val="16"/>
              </w:rPr>
              <w:br/>
              <w:t>(0</w:t>
            </w:r>
            <w:r>
              <w:rPr>
                <w:rFonts w:cs="Times New Roman"/>
                <w:sz w:val="16"/>
                <w:szCs w:val="16"/>
              </w:rPr>
              <w:t>,</w:t>
            </w:r>
            <w:r w:rsidRPr="00694C51">
              <w:rPr>
                <w:rFonts w:cs="Times New Roman"/>
                <w:sz w:val="16"/>
                <w:szCs w:val="16"/>
              </w:rPr>
              <w:t>059)</w:t>
            </w:r>
          </w:p>
        </w:tc>
        <w:tc>
          <w:tcPr>
            <w:tcW w:w="633" w:type="pct"/>
            <w:tcBorders>
              <w:top w:val="nil"/>
              <w:left w:val="nil"/>
              <w:right w:val="nil"/>
            </w:tcBorders>
            <w:shd w:val="clear" w:color="000000" w:fill="FFFFFF"/>
          </w:tcPr>
          <w:p w14:paraId="246131AC"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196***</w:t>
            </w:r>
            <w:r w:rsidRPr="00694C51">
              <w:rPr>
                <w:rFonts w:cs="Times New Roman"/>
                <w:sz w:val="16"/>
                <w:szCs w:val="16"/>
              </w:rPr>
              <w:br/>
              <w:t>(0</w:t>
            </w:r>
            <w:r>
              <w:rPr>
                <w:rFonts w:cs="Times New Roman"/>
                <w:sz w:val="16"/>
                <w:szCs w:val="16"/>
              </w:rPr>
              <w:t>,</w:t>
            </w:r>
            <w:r w:rsidRPr="00694C51">
              <w:rPr>
                <w:rFonts w:cs="Times New Roman"/>
                <w:sz w:val="16"/>
                <w:szCs w:val="16"/>
              </w:rPr>
              <w:t>044)</w:t>
            </w:r>
          </w:p>
        </w:tc>
      </w:tr>
      <w:tr w:rsidR="00396964" w:rsidRPr="00694C51" w14:paraId="40C1BC85" w14:textId="77777777" w:rsidTr="00396964">
        <w:trPr>
          <w:trHeight w:val="20"/>
          <w:jc w:val="center"/>
        </w:trPr>
        <w:tc>
          <w:tcPr>
            <w:tcW w:w="1201" w:type="pct"/>
            <w:tcBorders>
              <w:top w:val="nil"/>
              <w:left w:val="nil"/>
              <w:right w:val="nil"/>
            </w:tcBorders>
            <w:shd w:val="clear" w:color="000000" w:fill="FFFFFF"/>
          </w:tcPr>
          <w:p w14:paraId="13D6D7E9" w14:textId="77777777" w:rsidR="00396964" w:rsidRPr="00FC4EB7" w:rsidRDefault="0039696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Gleich</w:t>
            </w:r>
          </w:p>
        </w:tc>
        <w:tc>
          <w:tcPr>
            <w:tcW w:w="633" w:type="pct"/>
            <w:tcBorders>
              <w:top w:val="nil"/>
              <w:left w:val="nil"/>
              <w:right w:val="nil"/>
            </w:tcBorders>
            <w:shd w:val="clear" w:color="000000" w:fill="FFFFFF"/>
            <w:noWrap/>
          </w:tcPr>
          <w:p w14:paraId="3425B17B"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124*</w:t>
            </w:r>
            <w:r w:rsidRPr="00694C51">
              <w:rPr>
                <w:rFonts w:cs="Times New Roman"/>
                <w:sz w:val="16"/>
                <w:szCs w:val="16"/>
              </w:rPr>
              <w:br/>
              <w:t>(0</w:t>
            </w:r>
            <w:r>
              <w:rPr>
                <w:rFonts w:cs="Times New Roman"/>
                <w:sz w:val="16"/>
                <w:szCs w:val="16"/>
              </w:rPr>
              <w:t>,</w:t>
            </w:r>
            <w:r w:rsidRPr="00694C51">
              <w:rPr>
                <w:rFonts w:cs="Times New Roman"/>
                <w:sz w:val="16"/>
                <w:szCs w:val="16"/>
              </w:rPr>
              <w:t>071)</w:t>
            </w:r>
          </w:p>
        </w:tc>
        <w:tc>
          <w:tcPr>
            <w:tcW w:w="633" w:type="pct"/>
            <w:tcBorders>
              <w:top w:val="nil"/>
              <w:left w:val="nil"/>
              <w:right w:val="nil"/>
            </w:tcBorders>
            <w:shd w:val="clear" w:color="000000" w:fill="FFFFFF"/>
          </w:tcPr>
          <w:p w14:paraId="25167920"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025</w:t>
            </w:r>
            <w:r w:rsidRPr="00694C51">
              <w:rPr>
                <w:rFonts w:cs="Times New Roman"/>
                <w:sz w:val="16"/>
                <w:szCs w:val="16"/>
              </w:rPr>
              <w:br/>
              <w:t>(0</w:t>
            </w:r>
            <w:r>
              <w:rPr>
                <w:rFonts w:cs="Times New Roman"/>
                <w:sz w:val="16"/>
                <w:szCs w:val="16"/>
              </w:rPr>
              <w:t>,</w:t>
            </w:r>
            <w:r w:rsidRPr="00694C51">
              <w:rPr>
                <w:rFonts w:cs="Times New Roman"/>
                <w:sz w:val="16"/>
                <w:szCs w:val="16"/>
              </w:rPr>
              <w:t>063)</w:t>
            </w:r>
          </w:p>
        </w:tc>
        <w:tc>
          <w:tcPr>
            <w:tcW w:w="634" w:type="pct"/>
            <w:tcBorders>
              <w:top w:val="nil"/>
              <w:left w:val="nil"/>
              <w:right w:val="nil"/>
            </w:tcBorders>
            <w:shd w:val="clear" w:color="000000" w:fill="FFFFFF"/>
          </w:tcPr>
          <w:p w14:paraId="6A31985D"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009</w:t>
            </w:r>
            <w:r w:rsidRPr="00694C51">
              <w:rPr>
                <w:rFonts w:cs="Times New Roman"/>
                <w:sz w:val="16"/>
                <w:szCs w:val="16"/>
              </w:rPr>
              <w:br/>
              <w:t>(0</w:t>
            </w:r>
            <w:r>
              <w:rPr>
                <w:rFonts w:cs="Times New Roman"/>
                <w:sz w:val="16"/>
                <w:szCs w:val="16"/>
              </w:rPr>
              <w:t>,</w:t>
            </w:r>
            <w:r w:rsidRPr="00694C51">
              <w:rPr>
                <w:rFonts w:cs="Times New Roman"/>
                <w:sz w:val="16"/>
                <w:szCs w:val="16"/>
              </w:rPr>
              <w:t>069)</w:t>
            </w:r>
          </w:p>
        </w:tc>
        <w:tc>
          <w:tcPr>
            <w:tcW w:w="633" w:type="pct"/>
            <w:tcBorders>
              <w:top w:val="nil"/>
              <w:left w:val="nil"/>
              <w:right w:val="nil"/>
            </w:tcBorders>
            <w:shd w:val="clear" w:color="000000" w:fill="FFFFFF"/>
          </w:tcPr>
          <w:p w14:paraId="0BAF1C87"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031</w:t>
            </w:r>
            <w:r w:rsidRPr="00694C51">
              <w:rPr>
                <w:rFonts w:cs="Times New Roman"/>
                <w:sz w:val="16"/>
                <w:szCs w:val="16"/>
              </w:rPr>
              <w:br/>
              <w:t>(0</w:t>
            </w:r>
            <w:r>
              <w:rPr>
                <w:rFonts w:cs="Times New Roman"/>
                <w:sz w:val="16"/>
                <w:szCs w:val="16"/>
              </w:rPr>
              <w:t>,</w:t>
            </w:r>
            <w:r w:rsidRPr="00694C51">
              <w:rPr>
                <w:rFonts w:cs="Times New Roman"/>
                <w:sz w:val="16"/>
                <w:szCs w:val="16"/>
              </w:rPr>
              <w:t>077)</w:t>
            </w:r>
          </w:p>
        </w:tc>
        <w:tc>
          <w:tcPr>
            <w:tcW w:w="633" w:type="pct"/>
            <w:tcBorders>
              <w:top w:val="nil"/>
              <w:left w:val="nil"/>
              <w:right w:val="nil"/>
            </w:tcBorders>
            <w:shd w:val="clear" w:color="000000" w:fill="FFFFFF"/>
          </w:tcPr>
          <w:p w14:paraId="57E61A5E"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051</w:t>
            </w:r>
            <w:r w:rsidRPr="00694C51">
              <w:rPr>
                <w:rFonts w:cs="Times New Roman"/>
                <w:sz w:val="16"/>
                <w:szCs w:val="16"/>
              </w:rPr>
              <w:br/>
              <w:t>(0</w:t>
            </w:r>
            <w:r>
              <w:rPr>
                <w:rFonts w:cs="Times New Roman"/>
                <w:sz w:val="16"/>
                <w:szCs w:val="16"/>
              </w:rPr>
              <w:t>,</w:t>
            </w:r>
            <w:r w:rsidRPr="00694C51">
              <w:rPr>
                <w:rFonts w:cs="Times New Roman"/>
                <w:sz w:val="16"/>
                <w:szCs w:val="16"/>
              </w:rPr>
              <w:t>061)</w:t>
            </w:r>
          </w:p>
        </w:tc>
        <w:tc>
          <w:tcPr>
            <w:tcW w:w="633" w:type="pct"/>
            <w:tcBorders>
              <w:top w:val="nil"/>
              <w:left w:val="nil"/>
              <w:right w:val="nil"/>
            </w:tcBorders>
            <w:shd w:val="clear" w:color="000000" w:fill="FFFFFF"/>
          </w:tcPr>
          <w:p w14:paraId="318E7240" w14:textId="77777777" w:rsidR="00396964" w:rsidRPr="00694C51" w:rsidRDefault="00396964" w:rsidP="007C1506">
            <w:pPr>
              <w:snapToGrid w:val="0"/>
              <w:spacing w:before="40" w:after="40" w:line="240" w:lineRule="auto"/>
              <w:jc w:val="left"/>
              <w:rPr>
                <w:rFonts w:cs="Times New Roman"/>
                <w:color w:val="000000"/>
                <w:sz w:val="16"/>
                <w:szCs w:val="16"/>
              </w:rPr>
            </w:pPr>
            <w:r w:rsidRPr="00694C51">
              <w:rPr>
                <w:rFonts w:cs="Times New Roman"/>
                <w:sz w:val="16"/>
                <w:szCs w:val="16"/>
              </w:rPr>
              <w:t>-0</w:t>
            </w:r>
            <w:r>
              <w:rPr>
                <w:rFonts w:cs="Times New Roman"/>
                <w:sz w:val="16"/>
                <w:szCs w:val="16"/>
              </w:rPr>
              <w:t>,</w:t>
            </w:r>
            <w:r w:rsidRPr="00694C51">
              <w:rPr>
                <w:rFonts w:cs="Times New Roman"/>
                <w:sz w:val="16"/>
                <w:szCs w:val="16"/>
              </w:rPr>
              <w:t>089**</w:t>
            </w:r>
            <w:r w:rsidRPr="00694C51">
              <w:rPr>
                <w:rFonts w:cs="Times New Roman"/>
                <w:sz w:val="16"/>
                <w:szCs w:val="16"/>
              </w:rPr>
              <w:br/>
              <w:t>(0</w:t>
            </w:r>
            <w:r>
              <w:rPr>
                <w:rFonts w:cs="Times New Roman"/>
                <w:sz w:val="16"/>
                <w:szCs w:val="16"/>
              </w:rPr>
              <w:t>,</w:t>
            </w:r>
            <w:r w:rsidRPr="00694C51">
              <w:rPr>
                <w:rFonts w:cs="Times New Roman"/>
                <w:sz w:val="16"/>
                <w:szCs w:val="16"/>
              </w:rPr>
              <w:t>045)</w:t>
            </w:r>
          </w:p>
        </w:tc>
      </w:tr>
      <w:tr w:rsidR="00396964" w:rsidRPr="00694C51" w14:paraId="5C0E08A7" w14:textId="77777777" w:rsidTr="00396964">
        <w:trPr>
          <w:trHeight w:val="20"/>
          <w:jc w:val="center"/>
        </w:trPr>
        <w:tc>
          <w:tcPr>
            <w:tcW w:w="1201" w:type="pct"/>
            <w:tcBorders>
              <w:top w:val="nil"/>
              <w:left w:val="nil"/>
              <w:right w:val="nil"/>
            </w:tcBorders>
            <w:shd w:val="clear" w:color="000000" w:fill="FFFFFF"/>
          </w:tcPr>
          <w:p w14:paraId="636A07CA" w14:textId="77777777" w:rsidR="00396964" w:rsidRPr="00FC4EB7" w:rsidRDefault="0039696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Verringerung (Referenzgruppe)</w:t>
            </w:r>
          </w:p>
        </w:tc>
        <w:tc>
          <w:tcPr>
            <w:tcW w:w="633" w:type="pct"/>
            <w:tcBorders>
              <w:top w:val="nil"/>
              <w:left w:val="nil"/>
              <w:right w:val="nil"/>
            </w:tcBorders>
            <w:shd w:val="clear" w:color="000000" w:fill="FFFFFF"/>
            <w:noWrap/>
          </w:tcPr>
          <w:p w14:paraId="75B9C98A"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7375A851"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4" w:type="pct"/>
            <w:tcBorders>
              <w:top w:val="nil"/>
              <w:left w:val="nil"/>
              <w:right w:val="nil"/>
            </w:tcBorders>
            <w:shd w:val="clear" w:color="000000" w:fill="FFFFFF"/>
          </w:tcPr>
          <w:p w14:paraId="03C72EEE"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0B600B8C"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7EA7BE57" w14:textId="77777777" w:rsidR="00396964" w:rsidRPr="00694C51" w:rsidRDefault="00396964" w:rsidP="007C1506">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043E1090" w14:textId="77777777" w:rsidR="00396964" w:rsidRPr="00694C51" w:rsidRDefault="00396964" w:rsidP="007C1506">
            <w:pPr>
              <w:snapToGrid w:val="0"/>
              <w:spacing w:before="40" w:after="40" w:line="240" w:lineRule="auto"/>
              <w:jc w:val="left"/>
              <w:rPr>
                <w:rFonts w:cs="Times New Roman"/>
                <w:color w:val="000000"/>
                <w:sz w:val="16"/>
                <w:szCs w:val="16"/>
              </w:rPr>
            </w:pPr>
          </w:p>
        </w:tc>
      </w:tr>
      <w:tr w:rsidR="00996DC5" w:rsidRPr="00694C51" w14:paraId="62B214D6" w14:textId="77777777" w:rsidTr="00E80E78">
        <w:trPr>
          <w:trHeight w:val="20"/>
          <w:jc w:val="center"/>
        </w:trPr>
        <w:tc>
          <w:tcPr>
            <w:tcW w:w="1201" w:type="pct"/>
            <w:tcBorders>
              <w:top w:val="nil"/>
              <w:left w:val="nil"/>
              <w:right w:val="nil"/>
            </w:tcBorders>
            <w:shd w:val="clear" w:color="000000" w:fill="FFFFFF"/>
          </w:tcPr>
          <w:p w14:paraId="26DFA890" w14:textId="77777777" w:rsidR="00996DC5" w:rsidRPr="00F906E9" w:rsidRDefault="00996DC5" w:rsidP="003B1C0E">
            <w:pPr>
              <w:snapToGrid w:val="0"/>
              <w:spacing w:before="40" w:after="40" w:line="240" w:lineRule="auto"/>
              <w:jc w:val="left"/>
              <w:rPr>
                <w:b/>
                <w:bCs/>
                <w:color w:val="000000"/>
                <w:sz w:val="16"/>
                <w:szCs w:val="16"/>
              </w:rPr>
            </w:pPr>
            <w:r w:rsidRPr="00F906E9">
              <w:rPr>
                <w:b/>
                <w:bCs/>
                <w:color w:val="000000"/>
                <w:spacing w:val="-6"/>
                <w:sz w:val="16"/>
                <w:szCs w:val="16"/>
              </w:rPr>
              <w:t>Probleme beim Zugang</w:t>
            </w:r>
            <w:r w:rsidRPr="00F906E9">
              <w:rPr>
                <w:b/>
                <w:bCs/>
                <w:color w:val="000000"/>
                <w:sz w:val="16"/>
                <w:szCs w:val="16"/>
              </w:rPr>
              <w:t xml:space="preserve"> </w:t>
            </w:r>
            <w:r w:rsidRPr="00F906E9">
              <w:rPr>
                <w:b/>
                <w:bCs/>
                <w:color w:val="000000"/>
                <w:spacing w:val="-8"/>
                <w:sz w:val="16"/>
                <w:szCs w:val="16"/>
              </w:rPr>
              <w:t>zu Finanzierungsquellen</w:t>
            </w:r>
          </w:p>
        </w:tc>
        <w:tc>
          <w:tcPr>
            <w:tcW w:w="633" w:type="pct"/>
            <w:tcBorders>
              <w:top w:val="nil"/>
              <w:left w:val="nil"/>
              <w:right w:val="nil"/>
            </w:tcBorders>
            <w:shd w:val="clear" w:color="000000" w:fill="FFFFFF"/>
            <w:noWrap/>
          </w:tcPr>
          <w:p w14:paraId="6D5254CE" w14:textId="77777777" w:rsidR="00996DC5" w:rsidRPr="00694C51" w:rsidRDefault="00996DC5" w:rsidP="003B1C0E">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0A8C6165" w14:textId="77777777" w:rsidR="00996DC5" w:rsidRPr="00694C51" w:rsidRDefault="00996DC5" w:rsidP="003B1C0E">
            <w:pPr>
              <w:snapToGrid w:val="0"/>
              <w:spacing w:before="40" w:after="40" w:line="240" w:lineRule="auto"/>
              <w:jc w:val="left"/>
              <w:rPr>
                <w:rFonts w:cs="Times New Roman"/>
                <w:spacing w:val="-2"/>
                <w:sz w:val="16"/>
                <w:szCs w:val="16"/>
              </w:rPr>
            </w:pPr>
          </w:p>
        </w:tc>
        <w:tc>
          <w:tcPr>
            <w:tcW w:w="634" w:type="pct"/>
            <w:tcBorders>
              <w:top w:val="nil"/>
              <w:left w:val="nil"/>
              <w:right w:val="nil"/>
            </w:tcBorders>
            <w:shd w:val="clear" w:color="000000" w:fill="FFFFFF"/>
          </w:tcPr>
          <w:p w14:paraId="46810B3A" w14:textId="77777777" w:rsidR="00996DC5" w:rsidRPr="00694C51" w:rsidRDefault="00996DC5" w:rsidP="003B1C0E">
            <w:pPr>
              <w:snapToGrid w:val="0"/>
              <w:spacing w:before="40" w:after="40" w:line="240" w:lineRule="auto"/>
              <w:jc w:val="left"/>
              <w:rPr>
                <w:rFonts w:cs="Times New Roman"/>
                <w:spacing w:val="-2"/>
                <w:sz w:val="16"/>
                <w:szCs w:val="16"/>
              </w:rPr>
            </w:pPr>
          </w:p>
        </w:tc>
        <w:tc>
          <w:tcPr>
            <w:tcW w:w="633" w:type="pct"/>
            <w:tcBorders>
              <w:top w:val="nil"/>
              <w:left w:val="nil"/>
              <w:right w:val="nil"/>
            </w:tcBorders>
            <w:shd w:val="clear" w:color="000000" w:fill="FFFFFF"/>
          </w:tcPr>
          <w:p w14:paraId="5F987800" w14:textId="77777777" w:rsidR="00996DC5" w:rsidRPr="00694C51" w:rsidRDefault="00996DC5" w:rsidP="003B1C0E">
            <w:pPr>
              <w:snapToGrid w:val="0"/>
              <w:spacing w:before="40" w:after="40" w:line="240" w:lineRule="auto"/>
              <w:jc w:val="left"/>
              <w:rPr>
                <w:rFonts w:cs="Times New Roman"/>
                <w:spacing w:val="-2"/>
                <w:sz w:val="16"/>
                <w:szCs w:val="16"/>
              </w:rPr>
            </w:pPr>
          </w:p>
        </w:tc>
        <w:tc>
          <w:tcPr>
            <w:tcW w:w="633" w:type="pct"/>
            <w:tcBorders>
              <w:top w:val="nil"/>
              <w:left w:val="nil"/>
              <w:right w:val="nil"/>
            </w:tcBorders>
            <w:shd w:val="clear" w:color="000000" w:fill="FFFFFF"/>
          </w:tcPr>
          <w:p w14:paraId="77408039" w14:textId="77777777" w:rsidR="00996DC5" w:rsidRPr="00694C51" w:rsidRDefault="00996DC5" w:rsidP="003B1C0E">
            <w:pPr>
              <w:snapToGrid w:val="0"/>
              <w:spacing w:before="40" w:after="40" w:line="240" w:lineRule="auto"/>
              <w:jc w:val="left"/>
              <w:rPr>
                <w:rFonts w:cs="Times New Roman"/>
                <w:spacing w:val="-2"/>
                <w:sz w:val="16"/>
                <w:szCs w:val="16"/>
              </w:rPr>
            </w:pPr>
          </w:p>
        </w:tc>
        <w:tc>
          <w:tcPr>
            <w:tcW w:w="633" w:type="pct"/>
            <w:tcBorders>
              <w:top w:val="nil"/>
              <w:left w:val="nil"/>
              <w:right w:val="nil"/>
            </w:tcBorders>
            <w:shd w:val="clear" w:color="000000" w:fill="FFFFFF"/>
          </w:tcPr>
          <w:p w14:paraId="0083FDF3" w14:textId="77777777" w:rsidR="00996DC5" w:rsidRPr="00694C51" w:rsidRDefault="00996DC5" w:rsidP="003B1C0E">
            <w:pPr>
              <w:snapToGrid w:val="0"/>
              <w:spacing w:before="40" w:after="40" w:line="240" w:lineRule="auto"/>
              <w:jc w:val="left"/>
              <w:rPr>
                <w:rFonts w:cs="Times New Roman"/>
                <w:spacing w:val="-2"/>
                <w:sz w:val="16"/>
                <w:szCs w:val="16"/>
              </w:rPr>
            </w:pPr>
          </w:p>
        </w:tc>
      </w:tr>
      <w:tr w:rsidR="00694C51" w:rsidRPr="00FC4EB7" w14:paraId="127C4613" w14:textId="77777777" w:rsidTr="00E80E78">
        <w:trPr>
          <w:trHeight w:val="20"/>
          <w:jc w:val="center"/>
        </w:trPr>
        <w:tc>
          <w:tcPr>
            <w:tcW w:w="1201" w:type="pct"/>
            <w:tcBorders>
              <w:top w:val="nil"/>
              <w:left w:val="nil"/>
              <w:right w:val="nil"/>
            </w:tcBorders>
            <w:shd w:val="clear" w:color="000000" w:fill="FFFFFF"/>
          </w:tcPr>
          <w:p w14:paraId="4255336B" w14:textId="78BFB547" w:rsidR="00694C51" w:rsidRPr="000257B3" w:rsidRDefault="00694C51"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Geringe Bedeutung (1–3)</w:t>
            </w:r>
          </w:p>
        </w:tc>
        <w:tc>
          <w:tcPr>
            <w:tcW w:w="633" w:type="pct"/>
            <w:tcBorders>
              <w:top w:val="nil"/>
              <w:left w:val="nil"/>
              <w:right w:val="nil"/>
            </w:tcBorders>
            <w:shd w:val="clear" w:color="000000" w:fill="FFFFFF"/>
            <w:noWrap/>
          </w:tcPr>
          <w:p w14:paraId="59A276AC" w14:textId="0097090B"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502***</w:t>
            </w:r>
            <w:r w:rsidRPr="00694C51">
              <w:rPr>
                <w:rFonts w:cs="Times New Roman"/>
                <w:sz w:val="16"/>
                <w:szCs w:val="16"/>
              </w:rPr>
              <w:br/>
              <w:t>(0</w:t>
            </w:r>
            <w:r w:rsidR="00E63387">
              <w:rPr>
                <w:rFonts w:cs="Times New Roman"/>
                <w:sz w:val="16"/>
                <w:szCs w:val="16"/>
              </w:rPr>
              <w:t>,</w:t>
            </w:r>
            <w:r w:rsidRPr="00694C51">
              <w:rPr>
                <w:rFonts w:cs="Times New Roman"/>
                <w:sz w:val="16"/>
                <w:szCs w:val="16"/>
              </w:rPr>
              <w:t>041)</w:t>
            </w:r>
          </w:p>
        </w:tc>
        <w:tc>
          <w:tcPr>
            <w:tcW w:w="633" w:type="pct"/>
            <w:tcBorders>
              <w:top w:val="nil"/>
              <w:left w:val="nil"/>
              <w:right w:val="nil"/>
            </w:tcBorders>
            <w:shd w:val="clear" w:color="000000" w:fill="FFFFFF"/>
          </w:tcPr>
          <w:p w14:paraId="38443A2D" w14:textId="1AEE132A" w:rsidR="00694C51" w:rsidRPr="00694C51" w:rsidRDefault="00694C51" w:rsidP="00996DC5">
            <w:pPr>
              <w:snapToGrid w:val="0"/>
              <w:spacing w:before="40" w:after="40" w:line="240" w:lineRule="auto"/>
              <w:jc w:val="left"/>
              <w:rPr>
                <w:rFonts w:cs="Times New Roman"/>
                <w:spacing w:val="-2"/>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282***</w:t>
            </w:r>
            <w:r w:rsidRPr="00694C51">
              <w:rPr>
                <w:rFonts w:cs="Times New Roman"/>
                <w:sz w:val="16"/>
                <w:szCs w:val="16"/>
              </w:rPr>
              <w:br/>
              <w:t>(0</w:t>
            </w:r>
            <w:r w:rsidR="00E63387">
              <w:rPr>
                <w:rFonts w:cs="Times New Roman"/>
                <w:sz w:val="16"/>
                <w:szCs w:val="16"/>
              </w:rPr>
              <w:t>,</w:t>
            </w:r>
            <w:r w:rsidRPr="00694C51">
              <w:rPr>
                <w:rFonts w:cs="Times New Roman"/>
                <w:sz w:val="16"/>
                <w:szCs w:val="16"/>
              </w:rPr>
              <w:t>040)</w:t>
            </w:r>
          </w:p>
        </w:tc>
        <w:tc>
          <w:tcPr>
            <w:tcW w:w="634" w:type="pct"/>
            <w:tcBorders>
              <w:top w:val="nil"/>
              <w:left w:val="nil"/>
              <w:right w:val="nil"/>
            </w:tcBorders>
            <w:shd w:val="clear" w:color="000000" w:fill="FFFFFF"/>
          </w:tcPr>
          <w:p w14:paraId="5F09BF95" w14:textId="7AE7B4B6" w:rsidR="00694C51" w:rsidRPr="00694C51" w:rsidRDefault="00694C51" w:rsidP="00996DC5">
            <w:pPr>
              <w:snapToGrid w:val="0"/>
              <w:spacing w:before="40" w:after="40" w:line="240" w:lineRule="auto"/>
              <w:jc w:val="left"/>
              <w:rPr>
                <w:rFonts w:cs="Times New Roman"/>
                <w:spacing w:val="-2"/>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002</w:t>
            </w:r>
            <w:r w:rsidRPr="00694C51">
              <w:rPr>
                <w:rFonts w:cs="Times New Roman"/>
                <w:sz w:val="16"/>
                <w:szCs w:val="16"/>
              </w:rPr>
              <w:br/>
              <w:t>(0</w:t>
            </w:r>
            <w:r w:rsidR="00E63387">
              <w:rPr>
                <w:rFonts w:cs="Times New Roman"/>
                <w:sz w:val="16"/>
                <w:szCs w:val="16"/>
              </w:rPr>
              <w:t>,</w:t>
            </w:r>
            <w:r w:rsidRPr="00694C51">
              <w:rPr>
                <w:rFonts w:cs="Times New Roman"/>
                <w:sz w:val="16"/>
                <w:szCs w:val="16"/>
              </w:rPr>
              <w:t>043)</w:t>
            </w:r>
          </w:p>
        </w:tc>
        <w:tc>
          <w:tcPr>
            <w:tcW w:w="633" w:type="pct"/>
            <w:tcBorders>
              <w:top w:val="nil"/>
              <w:left w:val="nil"/>
              <w:right w:val="nil"/>
            </w:tcBorders>
            <w:shd w:val="clear" w:color="000000" w:fill="FFFFFF"/>
          </w:tcPr>
          <w:p w14:paraId="25218DEB" w14:textId="4F856BEE" w:rsidR="00694C51" w:rsidRPr="00694C51" w:rsidRDefault="00694C51" w:rsidP="00996DC5">
            <w:pPr>
              <w:snapToGrid w:val="0"/>
              <w:spacing w:before="40" w:after="40" w:line="240" w:lineRule="auto"/>
              <w:jc w:val="left"/>
              <w:rPr>
                <w:rFonts w:cs="Times New Roman"/>
                <w:spacing w:val="-2"/>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421***</w:t>
            </w:r>
            <w:r w:rsidRPr="00694C51">
              <w:rPr>
                <w:rFonts w:cs="Times New Roman"/>
                <w:sz w:val="16"/>
                <w:szCs w:val="16"/>
              </w:rPr>
              <w:br/>
              <w:t>(0</w:t>
            </w:r>
            <w:r w:rsidR="00E63387">
              <w:rPr>
                <w:rFonts w:cs="Times New Roman"/>
                <w:sz w:val="16"/>
                <w:szCs w:val="16"/>
              </w:rPr>
              <w:t>,</w:t>
            </w:r>
            <w:r w:rsidRPr="00694C51">
              <w:rPr>
                <w:rFonts w:cs="Times New Roman"/>
                <w:sz w:val="16"/>
                <w:szCs w:val="16"/>
              </w:rPr>
              <w:t>044)</w:t>
            </w:r>
          </w:p>
        </w:tc>
        <w:tc>
          <w:tcPr>
            <w:tcW w:w="633" w:type="pct"/>
            <w:tcBorders>
              <w:top w:val="nil"/>
              <w:left w:val="nil"/>
              <w:right w:val="nil"/>
            </w:tcBorders>
            <w:shd w:val="clear" w:color="000000" w:fill="FFFFFF"/>
          </w:tcPr>
          <w:p w14:paraId="62EAAFFB" w14:textId="4279A936" w:rsidR="00694C51" w:rsidRPr="00694C51" w:rsidRDefault="00694C51" w:rsidP="00996DC5">
            <w:pPr>
              <w:snapToGrid w:val="0"/>
              <w:spacing w:before="40" w:after="40" w:line="240" w:lineRule="auto"/>
              <w:jc w:val="left"/>
              <w:rPr>
                <w:rFonts w:cs="Times New Roman"/>
                <w:spacing w:val="-2"/>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023</w:t>
            </w:r>
            <w:r w:rsidRPr="00694C51">
              <w:rPr>
                <w:rFonts w:cs="Times New Roman"/>
                <w:sz w:val="16"/>
                <w:szCs w:val="16"/>
              </w:rPr>
              <w:br/>
              <w:t>(0</w:t>
            </w:r>
            <w:r w:rsidR="00E63387">
              <w:rPr>
                <w:rFonts w:cs="Times New Roman"/>
                <w:sz w:val="16"/>
                <w:szCs w:val="16"/>
              </w:rPr>
              <w:t>,</w:t>
            </w:r>
            <w:r w:rsidRPr="00694C51">
              <w:rPr>
                <w:rFonts w:cs="Times New Roman"/>
                <w:sz w:val="16"/>
                <w:szCs w:val="16"/>
              </w:rPr>
              <w:t>039)</w:t>
            </w:r>
          </w:p>
        </w:tc>
        <w:tc>
          <w:tcPr>
            <w:tcW w:w="633" w:type="pct"/>
            <w:tcBorders>
              <w:top w:val="nil"/>
              <w:left w:val="nil"/>
              <w:right w:val="nil"/>
            </w:tcBorders>
            <w:shd w:val="clear" w:color="000000" w:fill="FFFFFF"/>
          </w:tcPr>
          <w:p w14:paraId="48AF91E1" w14:textId="79A3B2A6" w:rsidR="00694C51" w:rsidRPr="00694C51" w:rsidRDefault="00694C51" w:rsidP="00996DC5">
            <w:pPr>
              <w:snapToGrid w:val="0"/>
              <w:spacing w:before="40" w:after="40" w:line="240" w:lineRule="auto"/>
              <w:jc w:val="left"/>
              <w:rPr>
                <w:rFonts w:cs="Times New Roman"/>
                <w:spacing w:val="-2"/>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660***</w:t>
            </w:r>
            <w:r w:rsidRPr="00694C51">
              <w:rPr>
                <w:rFonts w:cs="Times New Roman"/>
                <w:sz w:val="16"/>
                <w:szCs w:val="16"/>
              </w:rPr>
              <w:br/>
              <w:t>(0</w:t>
            </w:r>
            <w:r w:rsidR="00E63387">
              <w:rPr>
                <w:rFonts w:cs="Times New Roman"/>
                <w:sz w:val="16"/>
                <w:szCs w:val="16"/>
              </w:rPr>
              <w:t>,</w:t>
            </w:r>
            <w:r w:rsidRPr="00694C51">
              <w:rPr>
                <w:rFonts w:cs="Times New Roman"/>
                <w:sz w:val="16"/>
                <w:szCs w:val="16"/>
              </w:rPr>
              <w:t>030)</w:t>
            </w:r>
          </w:p>
        </w:tc>
      </w:tr>
      <w:tr w:rsidR="00694C51" w:rsidRPr="00FC4EB7" w14:paraId="0429383D" w14:textId="77777777" w:rsidTr="00E80E78">
        <w:trPr>
          <w:trHeight w:val="20"/>
          <w:jc w:val="center"/>
        </w:trPr>
        <w:tc>
          <w:tcPr>
            <w:tcW w:w="1201" w:type="pct"/>
            <w:tcBorders>
              <w:top w:val="nil"/>
              <w:left w:val="nil"/>
              <w:right w:val="nil"/>
            </w:tcBorders>
            <w:shd w:val="clear" w:color="000000" w:fill="FFFFFF"/>
          </w:tcPr>
          <w:p w14:paraId="3C824738" w14:textId="6D9A6631" w:rsidR="00694C51" w:rsidRPr="000257B3" w:rsidRDefault="00694C51"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Mittlere Bedeutung (4–6)</w:t>
            </w:r>
          </w:p>
        </w:tc>
        <w:tc>
          <w:tcPr>
            <w:tcW w:w="633" w:type="pct"/>
            <w:tcBorders>
              <w:top w:val="nil"/>
              <w:left w:val="nil"/>
              <w:right w:val="nil"/>
            </w:tcBorders>
            <w:shd w:val="clear" w:color="000000" w:fill="FFFFFF"/>
            <w:noWrap/>
          </w:tcPr>
          <w:p w14:paraId="6CF2F879" w14:textId="271EC953" w:rsidR="00694C51" w:rsidRPr="00694C51" w:rsidRDefault="00694C51" w:rsidP="00996DC5">
            <w:pPr>
              <w:snapToGrid w:val="0"/>
              <w:spacing w:before="40" w:after="40" w:line="240" w:lineRule="auto"/>
              <w:jc w:val="left"/>
              <w:rPr>
                <w:rFonts w:cs="Times New Roman"/>
                <w:color w:val="000000"/>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104**</w:t>
            </w:r>
            <w:r w:rsidRPr="00694C51">
              <w:rPr>
                <w:rFonts w:cs="Times New Roman"/>
                <w:sz w:val="16"/>
                <w:szCs w:val="16"/>
              </w:rPr>
              <w:br/>
              <w:t>(0</w:t>
            </w:r>
            <w:r w:rsidR="00E63387">
              <w:rPr>
                <w:rFonts w:cs="Times New Roman"/>
                <w:sz w:val="16"/>
                <w:szCs w:val="16"/>
              </w:rPr>
              <w:t>,</w:t>
            </w:r>
            <w:r w:rsidRPr="00694C51">
              <w:rPr>
                <w:rFonts w:cs="Times New Roman"/>
                <w:sz w:val="16"/>
                <w:szCs w:val="16"/>
              </w:rPr>
              <w:t>042)</w:t>
            </w:r>
          </w:p>
        </w:tc>
        <w:tc>
          <w:tcPr>
            <w:tcW w:w="633" w:type="pct"/>
            <w:tcBorders>
              <w:top w:val="nil"/>
              <w:left w:val="nil"/>
              <w:right w:val="nil"/>
            </w:tcBorders>
            <w:shd w:val="clear" w:color="000000" w:fill="FFFFFF"/>
          </w:tcPr>
          <w:p w14:paraId="2CF1DBEE" w14:textId="10EDF19B" w:rsidR="00694C51" w:rsidRPr="00694C51" w:rsidRDefault="00694C51" w:rsidP="00996DC5">
            <w:pPr>
              <w:snapToGrid w:val="0"/>
              <w:spacing w:before="40" w:after="40" w:line="240" w:lineRule="auto"/>
              <w:jc w:val="left"/>
              <w:rPr>
                <w:rFonts w:cs="Times New Roman"/>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010</w:t>
            </w:r>
            <w:r w:rsidRPr="00694C51">
              <w:rPr>
                <w:rFonts w:cs="Times New Roman"/>
                <w:sz w:val="16"/>
                <w:szCs w:val="16"/>
              </w:rPr>
              <w:br/>
              <w:t>(0</w:t>
            </w:r>
            <w:r w:rsidR="00E63387">
              <w:rPr>
                <w:rFonts w:cs="Times New Roman"/>
                <w:sz w:val="16"/>
                <w:szCs w:val="16"/>
              </w:rPr>
              <w:t>,</w:t>
            </w:r>
            <w:r w:rsidRPr="00694C51">
              <w:rPr>
                <w:rFonts w:cs="Times New Roman"/>
                <w:sz w:val="16"/>
                <w:szCs w:val="16"/>
              </w:rPr>
              <w:t>043)</w:t>
            </w:r>
          </w:p>
        </w:tc>
        <w:tc>
          <w:tcPr>
            <w:tcW w:w="634" w:type="pct"/>
            <w:tcBorders>
              <w:top w:val="nil"/>
              <w:left w:val="nil"/>
              <w:right w:val="nil"/>
            </w:tcBorders>
            <w:shd w:val="clear" w:color="000000" w:fill="FFFFFF"/>
          </w:tcPr>
          <w:p w14:paraId="0467C834" w14:textId="2B7153AA" w:rsidR="00694C51" w:rsidRPr="00694C51" w:rsidRDefault="00694C51" w:rsidP="00996DC5">
            <w:pPr>
              <w:snapToGrid w:val="0"/>
              <w:spacing w:before="40" w:after="40" w:line="240" w:lineRule="auto"/>
              <w:jc w:val="left"/>
              <w:rPr>
                <w:rFonts w:cs="Times New Roman"/>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060</w:t>
            </w:r>
            <w:r w:rsidRPr="00694C51">
              <w:rPr>
                <w:rFonts w:cs="Times New Roman"/>
                <w:sz w:val="16"/>
                <w:szCs w:val="16"/>
              </w:rPr>
              <w:br/>
              <w:t>(0</w:t>
            </w:r>
            <w:r w:rsidR="00E63387">
              <w:rPr>
                <w:rFonts w:cs="Times New Roman"/>
                <w:sz w:val="16"/>
                <w:szCs w:val="16"/>
              </w:rPr>
              <w:t>,</w:t>
            </w:r>
            <w:r w:rsidRPr="00694C51">
              <w:rPr>
                <w:rFonts w:cs="Times New Roman"/>
                <w:sz w:val="16"/>
                <w:szCs w:val="16"/>
              </w:rPr>
              <w:t>047)</w:t>
            </w:r>
          </w:p>
        </w:tc>
        <w:tc>
          <w:tcPr>
            <w:tcW w:w="633" w:type="pct"/>
            <w:tcBorders>
              <w:top w:val="nil"/>
              <w:left w:val="nil"/>
              <w:right w:val="nil"/>
            </w:tcBorders>
            <w:shd w:val="clear" w:color="000000" w:fill="FFFFFF"/>
          </w:tcPr>
          <w:p w14:paraId="3C9EB582" w14:textId="1AD00D0D" w:rsidR="00694C51" w:rsidRPr="00694C51" w:rsidRDefault="00694C51" w:rsidP="00996DC5">
            <w:pPr>
              <w:snapToGrid w:val="0"/>
              <w:spacing w:before="40" w:after="40" w:line="240" w:lineRule="auto"/>
              <w:jc w:val="left"/>
              <w:rPr>
                <w:rFonts w:cs="Times New Roman"/>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095**</w:t>
            </w:r>
            <w:r w:rsidRPr="00694C51">
              <w:rPr>
                <w:rFonts w:cs="Times New Roman"/>
                <w:sz w:val="16"/>
                <w:szCs w:val="16"/>
              </w:rPr>
              <w:br/>
              <w:t>(0</w:t>
            </w:r>
            <w:r w:rsidR="00E63387">
              <w:rPr>
                <w:rFonts w:cs="Times New Roman"/>
                <w:sz w:val="16"/>
                <w:szCs w:val="16"/>
              </w:rPr>
              <w:t>,</w:t>
            </w:r>
            <w:r w:rsidRPr="00694C51">
              <w:rPr>
                <w:rFonts w:cs="Times New Roman"/>
                <w:sz w:val="16"/>
                <w:szCs w:val="16"/>
              </w:rPr>
              <w:t>045)</w:t>
            </w:r>
          </w:p>
        </w:tc>
        <w:tc>
          <w:tcPr>
            <w:tcW w:w="633" w:type="pct"/>
            <w:tcBorders>
              <w:top w:val="nil"/>
              <w:left w:val="nil"/>
              <w:right w:val="nil"/>
            </w:tcBorders>
            <w:shd w:val="clear" w:color="000000" w:fill="FFFFFF"/>
          </w:tcPr>
          <w:p w14:paraId="78DC75D7" w14:textId="74074F56" w:rsidR="00694C51" w:rsidRPr="00694C51" w:rsidRDefault="00694C51" w:rsidP="00996DC5">
            <w:pPr>
              <w:snapToGrid w:val="0"/>
              <w:spacing w:before="40" w:after="40" w:line="240" w:lineRule="auto"/>
              <w:jc w:val="left"/>
              <w:rPr>
                <w:rFonts w:cs="Times New Roman"/>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105**</w:t>
            </w:r>
            <w:r w:rsidRPr="00694C51">
              <w:rPr>
                <w:rFonts w:cs="Times New Roman"/>
                <w:sz w:val="16"/>
                <w:szCs w:val="16"/>
              </w:rPr>
              <w:br/>
              <w:t>(0</w:t>
            </w:r>
            <w:r w:rsidR="00E63387">
              <w:rPr>
                <w:rFonts w:cs="Times New Roman"/>
                <w:sz w:val="16"/>
                <w:szCs w:val="16"/>
              </w:rPr>
              <w:t>,</w:t>
            </w:r>
            <w:r w:rsidRPr="00694C51">
              <w:rPr>
                <w:rFonts w:cs="Times New Roman"/>
                <w:sz w:val="16"/>
                <w:szCs w:val="16"/>
              </w:rPr>
              <w:t>043)</w:t>
            </w:r>
          </w:p>
        </w:tc>
        <w:tc>
          <w:tcPr>
            <w:tcW w:w="633" w:type="pct"/>
            <w:tcBorders>
              <w:top w:val="nil"/>
              <w:left w:val="nil"/>
              <w:right w:val="nil"/>
            </w:tcBorders>
            <w:shd w:val="clear" w:color="000000" w:fill="FFFFFF"/>
          </w:tcPr>
          <w:p w14:paraId="40331E96" w14:textId="522B64E8" w:rsidR="00694C51" w:rsidRPr="00694C51" w:rsidRDefault="00694C51" w:rsidP="00996DC5">
            <w:pPr>
              <w:snapToGrid w:val="0"/>
              <w:spacing w:before="40" w:after="40" w:line="240" w:lineRule="auto"/>
              <w:jc w:val="left"/>
              <w:rPr>
                <w:rFonts w:cs="Times New Roman"/>
                <w:sz w:val="16"/>
                <w:szCs w:val="16"/>
              </w:rPr>
            </w:pPr>
            <w:r w:rsidRPr="00694C51">
              <w:rPr>
                <w:rFonts w:cs="Times New Roman"/>
                <w:sz w:val="16"/>
                <w:szCs w:val="16"/>
              </w:rPr>
              <w:t>0</w:t>
            </w:r>
            <w:r w:rsidR="00E63387">
              <w:rPr>
                <w:rFonts w:cs="Times New Roman"/>
                <w:sz w:val="16"/>
                <w:szCs w:val="16"/>
              </w:rPr>
              <w:t>,</w:t>
            </w:r>
            <w:r w:rsidRPr="00694C51">
              <w:rPr>
                <w:rFonts w:cs="Times New Roman"/>
                <w:sz w:val="16"/>
                <w:szCs w:val="16"/>
              </w:rPr>
              <w:t>205***</w:t>
            </w:r>
            <w:r w:rsidRPr="00694C51">
              <w:rPr>
                <w:rFonts w:cs="Times New Roman"/>
                <w:sz w:val="16"/>
                <w:szCs w:val="16"/>
              </w:rPr>
              <w:br/>
              <w:t>(0</w:t>
            </w:r>
            <w:r w:rsidR="00E63387">
              <w:rPr>
                <w:rFonts w:cs="Times New Roman"/>
                <w:sz w:val="16"/>
                <w:szCs w:val="16"/>
              </w:rPr>
              <w:t>,</w:t>
            </w:r>
            <w:r w:rsidRPr="00694C51">
              <w:rPr>
                <w:rFonts w:cs="Times New Roman"/>
                <w:sz w:val="16"/>
                <w:szCs w:val="16"/>
              </w:rPr>
              <w:t>034)</w:t>
            </w:r>
          </w:p>
        </w:tc>
      </w:tr>
      <w:tr w:rsidR="00694C51" w:rsidRPr="00FC4EB7" w14:paraId="4FFD92C3" w14:textId="77777777" w:rsidTr="00E80E78">
        <w:trPr>
          <w:trHeight w:val="20"/>
          <w:jc w:val="center"/>
        </w:trPr>
        <w:tc>
          <w:tcPr>
            <w:tcW w:w="1201" w:type="pct"/>
            <w:tcBorders>
              <w:top w:val="nil"/>
              <w:left w:val="nil"/>
              <w:right w:val="nil"/>
            </w:tcBorders>
            <w:shd w:val="clear" w:color="000000" w:fill="FFFFFF"/>
          </w:tcPr>
          <w:p w14:paraId="3C5F242C" w14:textId="3B258541" w:rsidR="00694C51" w:rsidRPr="000257B3" w:rsidRDefault="00694C51"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Hohe Bedeutung</w:t>
            </w:r>
            <w:r w:rsidR="00590D1D">
              <w:rPr>
                <w:color w:val="000000"/>
                <w:sz w:val="16"/>
                <w:szCs w:val="16"/>
              </w:rPr>
              <w:t xml:space="preserve"> </w:t>
            </w:r>
            <w:r>
              <w:rPr>
                <w:color w:val="000000"/>
                <w:sz w:val="16"/>
                <w:szCs w:val="16"/>
              </w:rPr>
              <w:t>(7–10)</w:t>
            </w:r>
            <w:r w:rsidR="00B31E5A">
              <w:rPr>
                <w:color w:val="000000"/>
                <w:sz w:val="16"/>
                <w:szCs w:val="16"/>
              </w:rPr>
              <w:t xml:space="preserve"> (Referenzgruppe)</w:t>
            </w:r>
          </w:p>
        </w:tc>
        <w:tc>
          <w:tcPr>
            <w:tcW w:w="633" w:type="pct"/>
            <w:tcBorders>
              <w:top w:val="nil"/>
              <w:left w:val="nil"/>
              <w:right w:val="nil"/>
            </w:tcBorders>
            <w:shd w:val="clear" w:color="000000" w:fill="FFFFFF"/>
            <w:noWrap/>
          </w:tcPr>
          <w:p w14:paraId="28FB85AD" w14:textId="69B50C5F" w:rsidR="00694C51" w:rsidRPr="00694C51" w:rsidRDefault="00694C51" w:rsidP="00996DC5">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69384CEF" w14:textId="77777777" w:rsidR="00694C51" w:rsidRPr="00694C51" w:rsidRDefault="00694C51" w:rsidP="00996DC5">
            <w:pPr>
              <w:snapToGrid w:val="0"/>
              <w:spacing w:before="40" w:after="40" w:line="240" w:lineRule="auto"/>
              <w:jc w:val="left"/>
              <w:rPr>
                <w:rFonts w:cs="Times New Roman"/>
                <w:sz w:val="16"/>
                <w:szCs w:val="16"/>
              </w:rPr>
            </w:pPr>
          </w:p>
        </w:tc>
        <w:tc>
          <w:tcPr>
            <w:tcW w:w="634" w:type="pct"/>
            <w:tcBorders>
              <w:top w:val="nil"/>
              <w:left w:val="nil"/>
              <w:right w:val="nil"/>
            </w:tcBorders>
            <w:shd w:val="clear" w:color="000000" w:fill="FFFFFF"/>
          </w:tcPr>
          <w:p w14:paraId="4AF6F834" w14:textId="77777777" w:rsidR="00694C51" w:rsidRPr="00694C51" w:rsidRDefault="00694C51" w:rsidP="00996DC5">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0EA41EA4" w14:textId="77777777" w:rsidR="00694C51" w:rsidRPr="00694C51" w:rsidRDefault="00694C51" w:rsidP="00996DC5">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2157D401" w14:textId="77777777" w:rsidR="00694C51" w:rsidRPr="00694C51" w:rsidRDefault="00694C51" w:rsidP="00996DC5">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54440195" w14:textId="3CA1AC32" w:rsidR="00694C51" w:rsidRPr="00694C51" w:rsidRDefault="00694C51" w:rsidP="00996DC5">
            <w:pPr>
              <w:snapToGrid w:val="0"/>
              <w:spacing w:before="40" w:after="40" w:line="240" w:lineRule="auto"/>
              <w:jc w:val="left"/>
              <w:rPr>
                <w:rFonts w:cs="Times New Roman"/>
                <w:sz w:val="16"/>
                <w:szCs w:val="16"/>
              </w:rPr>
            </w:pPr>
          </w:p>
        </w:tc>
      </w:tr>
      <w:tr w:rsidR="00F374E9" w:rsidRPr="00FC4EB7" w14:paraId="3D94098B" w14:textId="77777777" w:rsidTr="00F374E9">
        <w:trPr>
          <w:trHeight w:val="20"/>
          <w:jc w:val="center"/>
        </w:trPr>
        <w:tc>
          <w:tcPr>
            <w:tcW w:w="1201" w:type="pct"/>
            <w:tcBorders>
              <w:top w:val="nil"/>
              <w:left w:val="nil"/>
              <w:right w:val="nil"/>
            </w:tcBorders>
            <w:shd w:val="clear" w:color="000000" w:fill="FFFFFF"/>
          </w:tcPr>
          <w:p w14:paraId="4DF41051" w14:textId="77777777" w:rsidR="00F374E9" w:rsidRPr="00F906E9" w:rsidRDefault="00F374E9" w:rsidP="00F374E9">
            <w:pPr>
              <w:snapToGrid w:val="0"/>
              <w:spacing w:before="40" w:after="40" w:line="240" w:lineRule="auto"/>
              <w:jc w:val="left"/>
              <w:rPr>
                <w:b/>
                <w:bCs/>
                <w:color w:val="000000"/>
                <w:sz w:val="16"/>
                <w:szCs w:val="16"/>
              </w:rPr>
            </w:pPr>
            <w:r w:rsidRPr="00F906E9">
              <w:rPr>
                <w:b/>
                <w:bCs/>
                <w:color w:val="000000"/>
                <w:sz w:val="16"/>
                <w:szCs w:val="16"/>
              </w:rPr>
              <w:t>Innovationstätigkeit</w:t>
            </w:r>
          </w:p>
        </w:tc>
        <w:tc>
          <w:tcPr>
            <w:tcW w:w="633" w:type="pct"/>
            <w:tcBorders>
              <w:top w:val="nil"/>
              <w:left w:val="nil"/>
              <w:right w:val="nil"/>
            </w:tcBorders>
            <w:shd w:val="clear" w:color="000000" w:fill="FFFFFF"/>
            <w:noWrap/>
          </w:tcPr>
          <w:p w14:paraId="2722C639" w14:textId="7456BF37" w:rsidR="00F374E9" w:rsidRPr="00F374E9" w:rsidRDefault="00F374E9" w:rsidP="00F374E9">
            <w:pPr>
              <w:snapToGrid w:val="0"/>
              <w:spacing w:before="40" w:after="40" w:line="240" w:lineRule="auto"/>
              <w:jc w:val="left"/>
              <w:rPr>
                <w:rFonts w:cs="Times New Roman"/>
                <w:color w:val="000000"/>
                <w:sz w:val="16"/>
                <w:szCs w:val="16"/>
              </w:rPr>
            </w:pPr>
            <w:r w:rsidRPr="00F374E9">
              <w:rPr>
                <w:rFonts w:cs="Times New Roman"/>
                <w:sz w:val="16"/>
                <w:szCs w:val="16"/>
              </w:rPr>
              <w:t>-0</w:t>
            </w:r>
            <w:r w:rsidR="00E63387">
              <w:rPr>
                <w:rFonts w:cs="Times New Roman"/>
                <w:sz w:val="16"/>
                <w:szCs w:val="16"/>
              </w:rPr>
              <w:t>,</w:t>
            </w:r>
            <w:r w:rsidRPr="00F374E9">
              <w:rPr>
                <w:rFonts w:cs="Times New Roman"/>
                <w:sz w:val="16"/>
                <w:szCs w:val="16"/>
              </w:rPr>
              <w:t>016</w:t>
            </w:r>
            <w:r w:rsidRPr="00F374E9">
              <w:rPr>
                <w:rFonts w:cs="Times New Roman"/>
                <w:sz w:val="16"/>
                <w:szCs w:val="16"/>
              </w:rPr>
              <w:br/>
              <w:t>(0</w:t>
            </w:r>
            <w:r w:rsidR="00E63387">
              <w:rPr>
                <w:rFonts w:cs="Times New Roman"/>
                <w:sz w:val="16"/>
                <w:szCs w:val="16"/>
              </w:rPr>
              <w:t>,</w:t>
            </w:r>
            <w:r w:rsidRPr="00F374E9">
              <w:rPr>
                <w:rFonts w:cs="Times New Roman"/>
                <w:sz w:val="16"/>
                <w:szCs w:val="16"/>
              </w:rPr>
              <w:t>038)</w:t>
            </w:r>
          </w:p>
        </w:tc>
        <w:tc>
          <w:tcPr>
            <w:tcW w:w="633" w:type="pct"/>
            <w:tcBorders>
              <w:top w:val="nil"/>
              <w:left w:val="nil"/>
              <w:right w:val="nil"/>
            </w:tcBorders>
            <w:shd w:val="clear" w:color="000000" w:fill="FFFFFF"/>
          </w:tcPr>
          <w:p w14:paraId="170951CD" w14:textId="43AEB5A8" w:rsidR="00F374E9" w:rsidRPr="00F374E9" w:rsidRDefault="00F374E9" w:rsidP="00F374E9">
            <w:pPr>
              <w:snapToGrid w:val="0"/>
              <w:spacing w:before="40" w:after="40" w:line="240" w:lineRule="auto"/>
              <w:jc w:val="left"/>
              <w:rPr>
                <w:rFonts w:cs="Times New Roman"/>
                <w:color w:val="000000"/>
                <w:sz w:val="16"/>
                <w:szCs w:val="16"/>
              </w:rPr>
            </w:pPr>
            <w:r w:rsidRPr="00F374E9">
              <w:rPr>
                <w:rFonts w:cs="Times New Roman"/>
                <w:sz w:val="16"/>
                <w:szCs w:val="16"/>
              </w:rPr>
              <w:t>-0</w:t>
            </w:r>
            <w:r w:rsidR="00E63387">
              <w:rPr>
                <w:rFonts w:cs="Times New Roman"/>
                <w:sz w:val="16"/>
                <w:szCs w:val="16"/>
              </w:rPr>
              <w:t>,</w:t>
            </w:r>
            <w:r w:rsidRPr="00F374E9">
              <w:rPr>
                <w:rFonts w:cs="Times New Roman"/>
                <w:sz w:val="16"/>
                <w:szCs w:val="16"/>
              </w:rPr>
              <w:t>089**</w:t>
            </w:r>
            <w:r w:rsidRPr="00F374E9">
              <w:rPr>
                <w:rFonts w:cs="Times New Roman"/>
                <w:sz w:val="16"/>
                <w:szCs w:val="16"/>
              </w:rPr>
              <w:br/>
              <w:t>(0</w:t>
            </w:r>
            <w:r w:rsidR="00E63387">
              <w:rPr>
                <w:rFonts w:cs="Times New Roman"/>
                <w:sz w:val="16"/>
                <w:szCs w:val="16"/>
              </w:rPr>
              <w:t>,</w:t>
            </w:r>
            <w:r w:rsidRPr="00F374E9">
              <w:rPr>
                <w:rFonts w:cs="Times New Roman"/>
                <w:sz w:val="16"/>
                <w:szCs w:val="16"/>
              </w:rPr>
              <w:t>038)</w:t>
            </w:r>
          </w:p>
        </w:tc>
        <w:tc>
          <w:tcPr>
            <w:tcW w:w="634" w:type="pct"/>
            <w:tcBorders>
              <w:top w:val="nil"/>
              <w:left w:val="nil"/>
              <w:right w:val="nil"/>
            </w:tcBorders>
            <w:shd w:val="clear" w:color="000000" w:fill="FFFFFF"/>
          </w:tcPr>
          <w:p w14:paraId="3D3D29DF" w14:textId="60AC727E" w:rsidR="00F374E9" w:rsidRPr="00F374E9" w:rsidRDefault="00F374E9" w:rsidP="00F374E9">
            <w:pPr>
              <w:snapToGrid w:val="0"/>
              <w:spacing w:before="40" w:after="40" w:line="240" w:lineRule="auto"/>
              <w:jc w:val="left"/>
              <w:rPr>
                <w:rFonts w:cs="Times New Roman"/>
                <w:color w:val="000000"/>
                <w:sz w:val="16"/>
                <w:szCs w:val="16"/>
              </w:rPr>
            </w:pPr>
            <w:r w:rsidRPr="00F374E9">
              <w:rPr>
                <w:rFonts w:cs="Times New Roman"/>
                <w:sz w:val="16"/>
                <w:szCs w:val="16"/>
              </w:rPr>
              <w:t>0</w:t>
            </w:r>
            <w:r w:rsidR="00E63387">
              <w:rPr>
                <w:rFonts w:cs="Times New Roman"/>
                <w:sz w:val="16"/>
                <w:szCs w:val="16"/>
              </w:rPr>
              <w:t>,</w:t>
            </w:r>
            <w:r w:rsidRPr="00F374E9">
              <w:rPr>
                <w:rFonts w:cs="Times New Roman"/>
                <w:sz w:val="16"/>
                <w:szCs w:val="16"/>
              </w:rPr>
              <w:t>000</w:t>
            </w:r>
            <w:r w:rsidRPr="00F374E9">
              <w:rPr>
                <w:rFonts w:cs="Times New Roman"/>
                <w:sz w:val="16"/>
                <w:szCs w:val="16"/>
              </w:rPr>
              <w:br/>
              <w:t>(0</w:t>
            </w:r>
            <w:r w:rsidR="00E63387">
              <w:rPr>
                <w:rFonts w:cs="Times New Roman"/>
                <w:sz w:val="16"/>
                <w:szCs w:val="16"/>
              </w:rPr>
              <w:t>,</w:t>
            </w:r>
            <w:r w:rsidRPr="00F374E9">
              <w:rPr>
                <w:rFonts w:cs="Times New Roman"/>
                <w:sz w:val="16"/>
                <w:szCs w:val="16"/>
              </w:rPr>
              <w:t>039)</w:t>
            </w:r>
          </w:p>
        </w:tc>
        <w:tc>
          <w:tcPr>
            <w:tcW w:w="633" w:type="pct"/>
            <w:tcBorders>
              <w:top w:val="nil"/>
              <w:left w:val="nil"/>
              <w:right w:val="nil"/>
            </w:tcBorders>
            <w:shd w:val="clear" w:color="000000" w:fill="FFFFFF"/>
          </w:tcPr>
          <w:p w14:paraId="0A7BAB64" w14:textId="0A361BB5" w:rsidR="00F374E9" w:rsidRPr="00F374E9" w:rsidRDefault="00F374E9" w:rsidP="00F374E9">
            <w:pPr>
              <w:snapToGrid w:val="0"/>
              <w:spacing w:before="40" w:after="40" w:line="240" w:lineRule="auto"/>
              <w:jc w:val="left"/>
              <w:rPr>
                <w:rFonts w:cs="Times New Roman"/>
                <w:color w:val="000000"/>
                <w:sz w:val="16"/>
                <w:szCs w:val="16"/>
              </w:rPr>
            </w:pPr>
            <w:r w:rsidRPr="00F374E9">
              <w:rPr>
                <w:rFonts w:cs="Times New Roman"/>
                <w:sz w:val="16"/>
                <w:szCs w:val="16"/>
              </w:rPr>
              <w:t>0</w:t>
            </w:r>
            <w:r w:rsidR="00E63387">
              <w:rPr>
                <w:rFonts w:cs="Times New Roman"/>
                <w:sz w:val="16"/>
                <w:szCs w:val="16"/>
              </w:rPr>
              <w:t>,</w:t>
            </w:r>
            <w:r w:rsidRPr="00F374E9">
              <w:rPr>
                <w:rFonts w:cs="Times New Roman"/>
                <w:sz w:val="16"/>
                <w:szCs w:val="16"/>
              </w:rPr>
              <w:t>196***</w:t>
            </w:r>
            <w:r w:rsidRPr="00F374E9">
              <w:rPr>
                <w:rFonts w:cs="Times New Roman"/>
                <w:sz w:val="16"/>
                <w:szCs w:val="16"/>
              </w:rPr>
              <w:br/>
              <w:t>(0</w:t>
            </w:r>
            <w:r w:rsidR="00E63387">
              <w:rPr>
                <w:rFonts w:cs="Times New Roman"/>
                <w:sz w:val="16"/>
                <w:szCs w:val="16"/>
              </w:rPr>
              <w:t>,</w:t>
            </w:r>
            <w:r w:rsidRPr="00F374E9">
              <w:rPr>
                <w:rFonts w:cs="Times New Roman"/>
                <w:sz w:val="16"/>
                <w:szCs w:val="16"/>
              </w:rPr>
              <w:t>039)</w:t>
            </w:r>
          </w:p>
        </w:tc>
        <w:tc>
          <w:tcPr>
            <w:tcW w:w="633" w:type="pct"/>
            <w:tcBorders>
              <w:top w:val="nil"/>
              <w:left w:val="nil"/>
              <w:right w:val="nil"/>
            </w:tcBorders>
            <w:shd w:val="clear" w:color="000000" w:fill="FFFFFF"/>
          </w:tcPr>
          <w:p w14:paraId="0D0DBEAA" w14:textId="348A0473" w:rsidR="00F374E9" w:rsidRPr="00F374E9" w:rsidRDefault="00F374E9" w:rsidP="00F374E9">
            <w:pPr>
              <w:snapToGrid w:val="0"/>
              <w:spacing w:before="40" w:after="40" w:line="240" w:lineRule="auto"/>
              <w:jc w:val="left"/>
              <w:rPr>
                <w:rFonts w:cs="Times New Roman"/>
                <w:color w:val="000000"/>
                <w:sz w:val="16"/>
                <w:szCs w:val="16"/>
              </w:rPr>
            </w:pPr>
            <w:r w:rsidRPr="00F374E9">
              <w:rPr>
                <w:rFonts w:cs="Times New Roman"/>
                <w:sz w:val="16"/>
                <w:szCs w:val="16"/>
              </w:rPr>
              <w:t>0</w:t>
            </w:r>
            <w:r w:rsidR="00E63387">
              <w:rPr>
                <w:rFonts w:cs="Times New Roman"/>
                <w:sz w:val="16"/>
                <w:szCs w:val="16"/>
              </w:rPr>
              <w:t>,</w:t>
            </w:r>
            <w:r w:rsidRPr="00F374E9">
              <w:rPr>
                <w:rFonts w:cs="Times New Roman"/>
                <w:sz w:val="16"/>
                <w:szCs w:val="16"/>
              </w:rPr>
              <w:t>055</w:t>
            </w:r>
            <w:r w:rsidRPr="00F374E9">
              <w:rPr>
                <w:rFonts w:cs="Times New Roman"/>
                <w:sz w:val="16"/>
                <w:szCs w:val="16"/>
              </w:rPr>
              <w:br/>
              <w:t>(0</w:t>
            </w:r>
            <w:r w:rsidR="00E63387">
              <w:rPr>
                <w:rFonts w:cs="Times New Roman"/>
                <w:sz w:val="16"/>
                <w:szCs w:val="16"/>
              </w:rPr>
              <w:t>,</w:t>
            </w:r>
            <w:r w:rsidRPr="00F374E9">
              <w:rPr>
                <w:rFonts w:cs="Times New Roman"/>
                <w:sz w:val="16"/>
                <w:szCs w:val="16"/>
              </w:rPr>
              <w:t>035)</w:t>
            </w:r>
          </w:p>
        </w:tc>
        <w:tc>
          <w:tcPr>
            <w:tcW w:w="633" w:type="pct"/>
            <w:tcBorders>
              <w:top w:val="nil"/>
              <w:left w:val="nil"/>
              <w:right w:val="nil"/>
            </w:tcBorders>
            <w:shd w:val="clear" w:color="000000" w:fill="FFFFFF"/>
          </w:tcPr>
          <w:p w14:paraId="7C1B4787" w14:textId="443FF805" w:rsidR="00F374E9" w:rsidRPr="00F374E9" w:rsidRDefault="00F374E9" w:rsidP="00F374E9">
            <w:pPr>
              <w:snapToGrid w:val="0"/>
              <w:spacing w:before="40" w:after="40" w:line="240" w:lineRule="auto"/>
              <w:jc w:val="left"/>
              <w:rPr>
                <w:rFonts w:cs="Times New Roman"/>
                <w:color w:val="000000"/>
                <w:sz w:val="16"/>
                <w:szCs w:val="16"/>
              </w:rPr>
            </w:pPr>
            <w:r w:rsidRPr="00F374E9">
              <w:rPr>
                <w:rFonts w:cs="Times New Roman"/>
                <w:sz w:val="16"/>
                <w:szCs w:val="16"/>
              </w:rPr>
              <w:t>-0</w:t>
            </w:r>
            <w:r w:rsidR="00E63387">
              <w:rPr>
                <w:rFonts w:cs="Times New Roman"/>
                <w:sz w:val="16"/>
                <w:szCs w:val="16"/>
              </w:rPr>
              <w:t>,</w:t>
            </w:r>
            <w:r w:rsidRPr="00F374E9">
              <w:rPr>
                <w:rFonts w:cs="Times New Roman"/>
                <w:sz w:val="16"/>
                <w:szCs w:val="16"/>
              </w:rPr>
              <w:t>150***</w:t>
            </w:r>
            <w:r w:rsidRPr="00F374E9">
              <w:rPr>
                <w:rFonts w:cs="Times New Roman"/>
                <w:sz w:val="16"/>
                <w:szCs w:val="16"/>
              </w:rPr>
              <w:br/>
              <w:t>(0</w:t>
            </w:r>
            <w:r w:rsidR="00E63387">
              <w:rPr>
                <w:rFonts w:cs="Times New Roman"/>
                <w:sz w:val="16"/>
                <w:szCs w:val="16"/>
              </w:rPr>
              <w:t>,</w:t>
            </w:r>
            <w:r w:rsidRPr="00F374E9">
              <w:rPr>
                <w:rFonts w:cs="Times New Roman"/>
                <w:sz w:val="16"/>
                <w:szCs w:val="16"/>
              </w:rPr>
              <w:t>027)</w:t>
            </w:r>
          </w:p>
        </w:tc>
      </w:tr>
      <w:tr w:rsidR="00F374E9" w:rsidRPr="00FC4EB7" w14:paraId="6B07D54F" w14:textId="77777777" w:rsidTr="00F374E9">
        <w:trPr>
          <w:trHeight w:val="20"/>
          <w:jc w:val="center"/>
        </w:trPr>
        <w:tc>
          <w:tcPr>
            <w:tcW w:w="1201" w:type="pct"/>
            <w:tcBorders>
              <w:top w:val="nil"/>
              <w:left w:val="nil"/>
              <w:right w:val="nil"/>
            </w:tcBorders>
            <w:shd w:val="clear" w:color="000000" w:fill="FFFFFF"/>
          </w:tcPr>
          <w:p w14:paraId="733EEAF1" w14:textId="77777777" w:rsidR="00F374E9" w:rsidRPr="00F906E9" w:rsidRDefault="00F374E9" w:rsidP="00996DC5">
            <w:pPr>
              <w:snapToGrid w:val="0"/>
              <w:spacing w:before="40" w:after="40" w:line="240" w:lineRule="auto"/>
              <w:jc w:val="left"/>
              <w:rPr>
                <w:b/>
                <w:bCs/>
                <w:color w:val="000000"/>
                <w:sz w:val="16"/>
                <w:szCs w:val="16"/>
              </w:rPr>
            </w:pPr>
            <w:r w:rsidRPr="00F906E9">
              <w:rPr>
                <w:b/>
                <w:bCs/>
                <w:color w:val="000000"/>
                <w:sz w:val="16"/>
                <w:szCs w:val="16"/>
              </w:rPr>
              <w:t>Branche</w:t>
            </w:r>
          </w:p>
        </w:tc>
        <w:tc>
          <w:tcPr>
            <w:tcW w:w="3799" w:type="pct"/>
            <w:gridSpan w:val="6"/>
            <w:tcBorders>
              <w:top w:val="nil"/>
              <w:left w:val="nil"/>
              <w:right w:val="nil"/>
            </w:tcBorders>
            <w:shd w:val="clear" w:color="000000" w:fill="FFFFFF"/>
            <w:noWrap/>
          </w:tcPr>
          <w:p w14:paraId="4843C5CB" w14:textId="2EC20D85" w:rsidR="00F374E9" w:rsidRPr="00F374E9" w:rsidRDefault="00F374E9" w:rsidP="00F374E9">
            <w:pPr>
              <w:snapToGrid w:val="0"/>
              <w:spacing w:before="40" w:after="40" w:line="240" w:lineRule="auto"/>
              <w:jc w:val="center"/>
              <w:rPr>
                <w:i/>
                <w:iCs/>
                <w:color w:val="000000"/>
                <w:spacing w:val="-4"/>
                <w:sz w:val="16"/>
                <w:szCs w:val="16"/>
              </w:rPr>
            </w:pPr>
            <w:r w:rsidRPr="00F374E9">
              <w:rPr>
                <w:i/>
                <w:iCs/>
                <w:color w:val="000000"/>
                <w:spacing w:val="-4"/>
                <w:sz w:val="16"/>
                <w:szCs w:val="16"/>
              </w:rPr>
              <w:t xml:space="preserve">Variablen </w:t>
            </w:r>
            <w:r>
              <w:rPr>
                <w:i/>
                <w:iCs/>
                <w:color w:val="000000"/>
                <w:spacing w:val="-4"/>
                <w:sz w:val="16"/>
                <w:szCs w:val="16"/>
              </w:rPr>
              <w:t>berücksichtigt</w:t>
            </w:r>
          </w:p>
        </w:tc>
      </w:tr>
      <w:tr w:rsidR="00F374E9" w:rsidRPr="00FC4EB7" w14:paraId="5468F5C7" w14:textId="77777777" w:rsidTr="00F374E9">
        <w:trPr>
          <w:trHeight w:val="20"/>
          <w:jc w:val="center"/>
        </w:trPr>
        <w:tc>
          <w:tcPr>
            <w:tcW w:w="1201" w:type="pct"/>
            <w:tcBorders>
              <w:left w:val="nil"/>
              <w:bottom w:val="single" w:sz="6" w:space="0" w:color="auto"/>
              <w:right w:val="nil"/>
            </w:tcBorders>
            <w:shd w:val="clear" w:color="000000" w:fill="FFFFFF"/>
          </w:tcPr>
          <w:p w14:paraId="268F2C5D" w14:textId="77777777" w:rsidR="00F374E9" w:rsidRPr="00F906E9" w:rsidRDefault="00F374E9" w:rsidP="00996DC5">
            <w:pPr>
              <w:snapToGrid w:val="0"/>
              <w:spacing w:before="40" w:after="40" w:line="240" w:lineRule="auto"/>
              <w:jc w:val="left"/>
              <w:rPr>
                <w:b/>
                <w:bCs/>
                <w:color w:val="000000"/>
                <w:sz w:val="16"/>
                <w:szCs w:val="16"/>
              </w:rPr>
            </w:pPr>
            <w:r w:rsidRPr="00F906E9">
              <w:rPr>
                <w:b/>
                <w:bCs/>
                <w:color w:val="000000"/>
                <w:sz w:val="16"/>
                <w:szCs w:val="16"/>
              </w:rPr>
              <w:t>Land</w:t>
            </w:r>
          </w:p>
        </w:tc>
        <w:tc>
          <w:tcPr>
            <w:tcW w:w="3799" w:type="pct"/>
            <w:gridSpan w:val="6"/>
            <w:tcBorders>
              <w:left w:val="nil"/>
              <w:bottom w:val="single" w:sz="6" w:space="0" w:color="auto"/>
              <w:right w:val="nil"/>
            </w:tcBorders>
            <w:shd w:val="clear" w:color="000000" w:fill="FFFFFF"/>
            <w:noWrap/>
            <w:vAlign w:val="center"/>
          </w:tcPr>
          <w:p w14:paraId="3A8D28F4" w14:textId="21E94798" w:rsidR="00F374E9" w:rsidRPr="00FC4EB7" w:rsidRDefault="00F374E9" w:rsidP="00F374E9">
            <w:pPr>
              <w:snapToGrid w:val="0"/>
              <w:spacing w:before="40" w:after="40" w:line="240" w:lineRule="auto"/>
              <w:jc w:val="center"/>
              <w:rPr>
                <w:color w:val="000000"/>
                <w:sz w:val="16"/>
                <w:szCs w:val="16"/>
              </w:rPr>
            </w:pPr>
            <w:r w:rsidRPr="00F374E9">
              <w:rPr>
                <w:i/>
                <w:iCs/>
                <w:color w:val="000000"/>
                <w:spacing w:val="-4"/>
                <w:sz w:val="16"/>
                <w:szCs w:val="16"/>
              </w:rPr>
              <w:t xml:space="preserve">Variablen </w:t>
            </w:r>
            <w:r>
              <w:rPr>
                <w:i/>
                <w:iCs/>
                <w:color w:val="000000"/>
                <w:spacing w:val="-4"/>
                <w:sz w:val="16"/>
                <w:szCs w:val="16"/>
              </w:rPr>
              <w:t>berücksichtigt</w:t>
            </w:r>
          </w:p>
        </w:tc>
      </w:tr>
      <w:tr w:rsidR="007A5325" w:rsidRPr="00FC4EB7" w14:paraId="2669C1C2" w14:textId="77777777" w:rsidTr="00E80E78">
        <w:trPr>
          <w:trHeight w:val="20"/>
          <w:jc w:val="center"/>
        </w:trPr>
        <w:tc>
          <w:tcPr>
            <w:tcW w:w="1201" w:type="pct"/>
            <w:tcBorders>
              <w:top w:val="single" w:sz="6" w:space="0" w:color="auto"/>
              <w:left w:val="nil"/>
              <w:right w:val="nil"/>
            </w:tcBorders>
            <w:shd w:val="clear" w:color="000000" w:fill="FFFFFF"/>
          </w:tcPr>
          <w:p w14:paraId="3F115BB9" w14:textId="701AE2D4" w:rsidR="007A5325" w:rsidRPr="00F906E9" w:rsidRDefault="00BB7665" w:rsidP="00996DC5">
            <w:pPr>
              <w:snapToGrid w:val="0"/>
              <w:spacing w:before="40" w:after="40" w:line="240" w:lineRule="auto"/>
              <w:jc w:val="left"/>
              <w:rPr>
                <w:b/>
                <w:bCs/>
                <w:color w:val="000000"/>
                <w:sz w:val="16"/>
                <w:szCs w:val="16"/>
              </w:rPr>
            </w:pPr>
            <w:r>
              <w:rPr>
                <w:b/>
                <w:bCs/>
                <w:color w:val="000000"/>
                <w:sz w:val="16"/>
                <w:szCs w:val="16"/>
              </w:rPr>
              <w:t>N</w:t>
            </w:r>
          </w:p>
        </w:tc>
        <w:tc>
          <w:tcPr>
            <w:tcW w:w="633" w:type="pct"/>
            <w:tcBorders>
              <w:top w:val="single" w:sz="6" w:space="0" w:color="auto"/>
              <w:left w:val="nil"/>
              <w:right w:val="nil"/>
            </w:tcBorders>
            <w:shd w:val="clear" w:color="000000" w:fill="FFFFFF"/>
            <w:noWrap/>
          </w:tcPr>
          <w:p w14:paraId="17F8A053" w14:textId="259298D2" w:rsidR="007A5325" w:rsidRPr="00FC4EB7" w:rsidRDefault="00B31E5A" w:rsidP="00996DC5">
            <w:pPr>
              <w:snapToGrid w:val="0"/>
              <w:spacing w:before="40" w:after="40" w:line="240" w:lineRule="auto"/>
              <w:jc w:val="left"/>
              <w:rPr>
                <w:color w:val="000000"/>
                <w:sz w:val="16"/>
                <w:szCs w:val="16"/>
              </w:rPr>
            </w:pPr>
            <w:r w:rsidRPr="00B31E5A">
              <w:rPr>
                <w:color w:val="000000"/>
                <w:sz w:val="16"/>
                <w:szCs w:val="16"/>
              </w:rPr>
              <w:t>12</w:t>
            </w:r>
            <w:r>
              <w:rPr>
                <w:color w:val="000000"/>
                <w:sz w:val="16"/>
                <w:szCs w:val="16"/>
              </w:rPr>
              <w:t>.</w:t>
            </w:r>
            <w:r w:rsidRPr="00B31E5A">
              <w:rPr>
                <w:color w:val="000000"/>
                <w:sz w:val="16"/>
                <w:szCs w:val="16"/>
              </w:rPr>
              <w:t>578</w:t>
            </w:r>
          </w:p>
        </w:tc>
        <w:tc>
          <w:tcPr>
            <w:tcW w:w="633" w:type="pct"/>
            <w:tcBorders>
              <w:top w:val="single" w:sz="6" w:space="0" w:color="auto"/>
              <w:left w:val="nil"/>
              <w:right w:val="nil"/>
            </w:tcBorders>
            <w:shd w:val="clear" w:color="000000" w:fill="FFFFFF"/>
          </w:tcPr>
          <w:p w14:paraId="382B5B02" w14:textId="77777777" w:rsidR="007A5325" w:rsidRPr="00FC4EB7" w:rsidRDefault="007A5325" w:rsidP="00996DC5">
            <w:pPr>
              <w:snapToGrid w:val="0"/>
              <w:spacing w:before="40" w:after="40" w:line="240" w:lineRule="auto"/>
              <w:jc w:val="left"/>
              <w:rPr>
                <w:color w:val="000000"/>
                <w:sz w:val="16"/>
                <w:szCs w:val="16"/>
              </w:rPr>
            </w:pPr>
          </w:p>
        </w:tc>
        <w:tc>
          <w:tcPr>
            <w:tcW w:w="634" w:type="pct"/>
            <w:tcBorders>
              <w:top w:val="single" w:sz="6" w:space="0" w:color="auto"/>
              <w:left w:val="nil"/>
              <w:right w:val="nil"/>
            </w:tcBorders>
            <w:shd w:val="clear" w:color="000000" w:fill="FFFFFF"/>
          </w:tcPr>
          <w:p w14:paraId="724F20CF" w14:textId="77777777" w:rsidR="007A5325" w:rsidRPr="00FC4EB7" w:rsidRDefault="007A5325" w:rsidP="00996DC5">
            <w:pPr>
              <w:snapToGrid w:val="0"/>
              <w:spacing w:before="40" w:after="40" w:line="240" w:lineRule="auto"/>
              <w:jc w:val="left"/>
              <w:rPr>
                <w:color w:val="000000"/>
                <w:sz w:val="16"/>
                <w:szCs w:val="16"/>
              </w:rPr>
            </w:pPr>
          </w:p>
        </w:tc>
        <w:tc>
          <w:tcPr>
            <w:tcW w:w="633" w:type="pct"/>
            <w:tcBorders>
              <w:top w:val="single" w:sz="6" w:space="0" w:color="auto"/>
              <w:left w:val="nil"/>
              <w:right w:val="nil"/>
            </w:tcBorders>
            <w:shd w:val="clear" w:color="000000" w:fill="FFFFFF"/>
          </w:tcPr>
          <w:p w14:paraId="60AA912B" w14:textId="77777777" w:rsidR="007A5325" w:rsidRPr="00FC4EB7" w:rsidRDefault="007A5325" w:rsidP="00996DC5">
            <w:pPr>
              <w:snapToGrid w:val="0"/>
              <w:spacing w:before="40" w:after="40" w:line="240" w:lineRule="auto"/>
              <w:jc w:val="left"/>
              <w:rPr>
                <w:color w:val="000000"/>
                <w:sz w:val="16"/>
                <w:szCs w:val="16"/>
              </w:rPr>
            </w:pPr>
          </w:p>
        </w:tc>
        <w:tc>
          <w:tcPr>
            <w:tcW w:w="633" w:type="pct"/>
            <w:tcBorders>
              <w:top w:val="single" w:sz="6" w:space="0" w:color="auto"/>
              <w:left w:val="nil"/>
              <w:right w:val="nil"/>
            </w:tcBorders>
            <w:shd w:val="clear" w:color="000000" w:fill="FFFFFF"/>
          </w:tcPr>
          <w:p w14:paraId="0A901516" w14:textId="77777777" w:rsidR="007A5325" w:rsidRPr="00FC4EB7" w:rsidRDefault="007A5325" w:rsidP="00996DC5">
            <w:pPr>
              <w:snapToGrid w:val="0"/>
              <w:spacing w:before="40" w:after="40" w:line="240" w:lineRule="auto"/>
              <w:jc w:val="left"/>
              <w:rPr>
                <w:color w:val="000000"/>
                <w:sz w:val="16"/>
                <w:szCs w:val="16"/>
              </w:rPr>
            </w:pPr>
          </w:p>
        </w:tc>
        <w:tc>
          <w:tcPr>
            <w:tcW w:w="633" w:type="pct"/>
            <w:tcBorders>
              <w:top w:val="single" w:sz="6" w:space="0" w:color="auto"/>
              <w:left w:val="nil"/>
              <w:right w:val="nil"/>
            </w:tcBorders>
            <w:shd w:val="clear" w:color="000000" w:fill="FFFFFF"/>
          </w:tcPr>
          <w:p w14:paraId="5485A723" w14:textId="77777777" w:rsidR="007A5325" w:rsidRPr="00FC4EB7" w:rsidRDefault="007A5325" w:rsidP="00996DC5">
            <w:pPr>
              <w:snapToGrid w:val="0"/>
              <w:spacing w:before="40" w:after="40" w:line="240" w:lineRule="auto"/>
              <w:jc w:val="left"/>
              <w:rPr>
                <w:color w:val="000000"/>
                <w:sz w:val="16"/>
                <w:szCs w:val="16"/>
              </w:rPr>
            </w:pPr>
          </w:p>
        </w:tc>
      </w:tr>
      <w:tr w:rsidR="007A5325" w:rsidRPr="00FC4EB7" w14:paraId="22E07ABC" w14:textId="77777777" w:rsidTr="00E80E78">
        <w:trPr>
          <w:trHeight w:val="20"/>
          <w:jc w:val="center"/>
        </w:trPr>
        <w:tc>
          <w:tcPr>
            <w:tcW w:w="1201" w:type="pct"/>
            <w:tcBorders>
              <w:left w:val="nil"/>
              <w:right w:val="nil"/>
            </w:tcBorders>
            <w:shd w:val="clear" w:color="000000" w:fill="FFFFFF"/>
          </w:tcPr>
          <w:p w14:paraId="4D192D64" w14:textId="302EDA88" w:rsidR="007A5325" w:rsidRPr="00F906E9" w:rsidRDefault="00BB7665" w:rsidP="00996DC5">
            <w:pPr>
              <w:snapToGrid w:val="0"/>
              <w:spacing w:before="40" w:after="40" w:line="240" w:lineRule="auto"/>
              <w:jc w:val="left"/>
              <w:rPr>
                <w:b/>
                <w:bCs/>
                <w:color w:val="000000"/>
                <w:sz w:val="16"/>
                <w:szCs w:val="16"/>
              </w:rPr>
            </w:pPr>
            <w:r>
              <w:rPr>
                <w:b/>
                <w:bCs/>
                <w:color w:val="000000"/>
                <w:sz w:val="16"/>
                <w:szCs w:val="16"/>
              </w:rPr>
              <w:t>Log-Likelihood</w:t>
            </w:r>
          </w:p>
        </w:tc>
        <w:tc>
          <w:tcPr>
            <w:tcW w:w="633" w:type="pct"/>
            <w:tcBorders>
              <w:left w:val="nil"/>
              <w:right w:val="nil"/>
            </w:tcBorders>
            <w:shd w:val="clear" w:color="000000" w:fill="FFFFFF"/>
            <w:noWrap/>
          </w:tcPr>
          <w:p w14:paraId="59EF232D" w14:textId="3D975571" w:rsidR="007A5325" w:rsidRPr="00FC4EB7" w:rsidRDefault="00370A7E" w:rsidP="00996DC5">
            <w:pPr>
              <w:snapToGrid w:val="0"/>
              <w:spacing w:before="40" w:after="40" w:line="240" w:lineRule="auto"/>
              <w:jc w:val="left"/>
              <w:rPr>
                <w:color w:val="000000"/>
                <w:sz w:val="16"/>
                <w:szCs w:val="16"/>
              </w:rPr>
            </w:pPr>
            <w:r>
              <w:rPr>
                <w:color w:val="000000"/>
                <w:sz w:val="16"/>
                <w:szCs w:val="16"/>
              </w:rPr>
              <w:t>-</w:t>
            </w:r>
            <w:r w:rsidRPr="00370A7E">
              <w:rPr>
                <w:color w:val="000000"/>
                <w:sz w:val="16"/>
                <w:szCs w:val="16"/>
              </w:rPr>
              <w:t>23978</w:t>
            </w:r>
            <w:r>
              <w:rPr>
                <w:color w:val="000000"/>
                <w:sz w:val="16"/>
                <w:szCs w:val="16"/>
              </w:rPr>
              <w:t>,1</w:t>
            </w:r>
          </w:p>
        </w:tc>
        <w:tc>
          <w:tcPr>
            <w:tcW w:w="633" w:type="pct"/>
            <w:tcBorders>
              <w:left w:val="nil"/>
              <w:right w:val="nil"/>
            </w:tcBorders>
            <w:shd w:val="clear" w:color="000000" w:fill="FFFFFF"/>
          </w:tcPr>
          <w:p w14:paraId="46256AFC" w14:textId="77777777" w:rsidR="007A5325" w:rsidRPr="00FC4EB7" w:rsidRDefault="007A5325" w:rsidP="00996DC5">
            <w:pPr>
              <w:snapToGrid w:val="0"/>
              <w:spacing w:before="40" w:after="40" w:line="240" w:lineRule="auto"/>
              <w:jc w:val="left"/>
              <w:rPr>
                <w:color w:val="000000"/>
                <w:sz w:val="16"/>
                <w:szCs w:val="16"/>
              </w:rPr>
            </w:pPr>
          </w:p>
        </w:tc>
        <w:tc>
          <w:tcPr>
            <w:tcW w:w="634" w:type="pct"/>
            <w:tcBorders>
              <w:left w:val="nil"/>
              <w:right w:val="nil"/>
            </w:tcBorders>
            <w:shd w:val="clear" w:color="000000" w:fill="FFFFFF"/>
          </w:tcPr>
          <w:p w14:paraId="24862622" w14:textId="77777777" w:rsidR="007A5325" w:rsidRPr="00FC4EB7" w:rsidRDefault="007A5325" w:rsidP="00996DC5">
            <w:pPr>
              <w:snapToGrid w:val="0"/>
              <w:spacing w:before="40" w:after="40" w:line="240" w:lineRule="auto"/>
              <w:jc w:val="left"/>
              <w:rPr>
                <w:color w:val="000000"/>
                <w:sz w:val="16"/>
                <w:szCs w:val="16"/>
              </w:rPr>
            </w:pPr>
          </w:p>
        </w:tc>
        <w:tc>
          <w:tcPr>
            <w:tcW w:w="633" w:type="pct"/>
            <w:tcBorders>
              <w:left w:val="nil"/>
              <w:right w:val="nil"/>
            </w:tcBorders>
            <w:shd w:val="clear" w:color="000000" w:fill="FFFFFF"/>
          </w:tcPr>
          <w:p w14:paraId="49719EFF" w14:textId="77777777" w:rsidR="007A5325" w:rsidRPr="00FC4EB7" w:rsidRDefault="007A5325" w:rsidP="00996DC5">
            <w:pPr>
              <w:snapToGrid w:val="0"/>
              <w:spacing w:before="40" w:after="40" w:line="240" w:lineRule="auto"/>
              <w:jc w:val="left"/>
              <w:rPr>
                <w:color w:val="000000"/>
                <w:sz w:val="16"/>
                <w:szCs w:val="16"/>
              </w:rPr>
            </w:pPr>
          </w:p>
        </w:tc>
        <w:tc>
          <w:tcPr>
            <w:tcW w:w="633" w:type="pct"/>
            <w:tcBorders>
              <w:left w:val="nil"/>
              <w:right w:val="nil"/>
            </w:tcBorders>
            <w:shd w:val="clear" w:color="000000" w:fill="FFFFFF"/>
          </w:tcPr>
          <w:p w14:paraId="26ED82C4" w14:textId="77777777" w:rsidR="007A5325" w:rsidRPr="00FC4EB7" w:rsidRDefault="007A5325" w:rsidP="00996DC5">
            <w:pPr>
              <w:snapToGrid w:val="0"/>
              <w:spacing w:before="40" w:after="40" w:line="240" w:lineRule="auto"/>
              <w:jc w:val="left"/>
              <w:rPr>
                <w:color w:val="000000"/>
                <w:sz w:val="16"/>
                <w:szCs w:val="16"/>
              </w:rPr>
            </w:pPr>
          </w:p>
        </w:tc>
        <w:tc>
          <w:tcPr>
            <w:tcW w:w="633" w:type="pct"/>
            <w:tcBorders>
              <w:left w:val="nil"/>
              <w:right w:val="nil"/>
            </w:tcBorders>
            <w:shd w:val="clear" w:color="000000" w:fill="FFFFFF"/>
          </w:tcPr>
          <w:p w14:paraId="00BE62C9" w14:textId="77777777" w:rsidR="007A5325" w:rsidRPr="00FC4EB7" w:rsidRDefault="007A5325" w:rsidP="00996DC5">
            <w:pPr>
              <w:snapToGrid w:val="0"/>
              <w:spacing w:before="40" w:after="40" w:line="240" w:lineRule="auto"/>
              <w:jc w:val="left"/>
              <w:rPr>
                <w:color w:val="000000"/>
                <w:sz w:val="16"/>
                <w:szCs w:val="16"/>
              </w:rPr>
            </w:pPr>
          </w:p>
        </w:tc>
      </w:tr>
      <w:tr w:rsidR="007A5325" w:rsidRPr="00FC4EB7" w14:paraId="5E5256F4" w14:textId="77777777" w:rsidTr="00E80E78">
        <w:trPr>
          <w:trHeight w:val="20"/>
          <w:jc w:val="center"/>
        </w:trPr>
        <w:tc>
          <w:tcPr>
            <w:tcW w:w="1201" w:type="pct"/>
            <w:tcBorders>
              <w:left w:val="nil"/>
              <w:bottom w:val="single" w:sz="8" w:space="0" w:color="auto"/>
              <w:right w:val="nil"/>
            </w:tcBorders>
            <w:shd w:val="clear" w:color="000000" w:fill="FFFFFF"/>
          </w:tcPr>
          <w:p w14:paraId="21729535" w14:textId="42EA56D0" w:rsidR="007A5325" w:rsidRPr="00BB7665" w:rsidRDefault="00BB7665" w:rsidP="00996DC5">
            <w:pPr>
              <w:snapToGrid w:val="0"/>
              <w:spacing w:before="40" w:after="40" w:line="240" w:lineRule="auto"/>
              <w:jc w:val="left"/>
              <w:rPr>
                <w:b/>
                <w:bCs/>
                <w:color w:val="000000"/>
                <w:sz w:val="16"/>
                <w:szCs w:val="16"/>
              </w:rPr>
            </w:pPr>
            <w:r>
              <w:rPr>
                <w:b/>
                <w:bCs/>
                <w:color w:val="000000"/>
                <w:sz w:val="16"/>
                <w:szCs w:val="16"/>
              </w:rPr>
              <w:t xml:space="preserve">Walds </w:t>
            </w:r>
            <w:r w:rsidRPr="00BB7665">
              <w:rPr>
                <w:rFonts w:cs="Times New Roman"/>
                <w:b/>
                <w:bCs/>
                <w:sz w:val="16"/>
                <w:szCs w:val="16"/>
              </w:rPr>
              <w:t>χ</w:t>
            </w:r>
            <w:r w:rsidRPr="00BB7665">
              <w:rPr>
                <w:rFonts w:cs="Times New Roman"/>
                <w:b/>
                <w:bCs/>
                <w:sz w:val="16"/>
                <w:szCs w:val="16"/>
                <w:vertAlign w:val="superscript"/>
              </w:rPr>
              <w:t>2</w:t>
            </w:r>
            <w:r>
              <w:rPr>
                <w:rFonts w:cs="Times New Roman"/>
                <w:b/>
                <w:bCs/>
                <w:sz w:val="16"/>
                <w:szCs w:val="16"/>
                <w:vertAlign w:val="superscript"/>
              </w:rPr>
              <w:t xml:space="preserve"> </w:t>
            </w:r>
            <w:r>
              <w:rPr>
                <w:rFonts w:cs="Times New Roman"/>
                <w:b/>
                <w:bCs/>
                <w:sz w:val="16"/>
                <w:szCs w:val="16"/>
              </w:rPr>
              <w:t>(300)</w:t>
            </w:r>
          </w:p>
        </w:tc>
        <w:tc>
          <w:tcPr>
            <w:tcW w:w="633" w:type="pct"/>
            <w:tcBorders>
              <w:left w:val="nil"/>
              <w:bottom w:val="single" w:sz="8" w:space="0" w:color="auto"/>
              <w:right w:val="nil"/>
            </w:tcBorders>
            <w:shd w:val="clear" w:color="000000" w:fill="FFFFFF"/>
            <w:noWrap/>
          </w:tcPr>
          <w:p w14:paraId="43D2CD39" w14:textId="5F3564A1" w:rsidR="007A5325" w:rsidRPr="00FC4EB7" w:rsidRDefault="00BB7665" w:rsidP="00996DC5">
            <w:pPr>
              <w:snapToGrid w:val="0"/>
              <w:spacing w:before="40" w:after="40" w:line="240" w:lineRule="auto"/>
              <w:jc w:val="left"/>
              <w:rPr>
                <w:color w:val="000000"/>
                <w:sz w:val="16"/>
                <w:szCs w:val="16"/>
              </w:rPr>
            </w:pPr>
            <w:r>
              <w:rPr>
                <w:color w:val="000000"/>
                <w:sz w:val="16"/>
                <w:szCs w:val="16"/>
              </w:rPr>
              <w:t>3887</w:t>
            </w:r>
            <w:r w:rsidR="00370A7E">
              <w:rPr>
                <w:color w:val="000000"/>
                <w:sz w:val="16"/>
                <w:szCs w:val="16"/>
              </w:rPr>
              <w:t>,2</w:t>
            </w:r>
          </w:p>
        </w:tc>
        <w:tc>
          <w:tcPr>
            <w:tcW w:w="633" w:type="pct"/>
            <w:tcBorders>
              <w:left w:val="nil"/>
              <w:bottom w:val="single" w:sz="8" w:space="0" w:color="auto"/>
              <w:right w:val="nil"/>
            </w:tcBorders>
            <w:shd w:val="clear" w:color="000000" w:fill="FFFFFF"/>
          </w:tcPr>
          <w:p w14:paraId="0917DBAD" w14:textId="77777777" w:rsidR="007A5325" w:rsidRPr="00FC4EB7" w:rsidRDefault="007A5325" w:rsidP="00996DC5">
            <w:pPr>
              <w:snapToGrid w:val="0"/>
              <w:spacing w:before="40" w:after="40" w:line="240" w:lineRule="auto"/>
              <w:jc w:val="left"/>
              <w:rPr>
                <w:color w:val="000000"/>
                <w:sz w:val="16"/>
                <w:szCs w:val="16"/>
              </w:rPr>
            </w:pPr>
          </w:p>
        </w:tc>
        <w:tc>
          <w:tcPr>
            <w:tcW w:w="634" w:type="pct"/>
            <w:tcBorders>
              <w:left w:val="nil"/>
              <w:bottom w:val="single" w:sz="8" w:space="0" w:color="auto"/>
              <w:right w:val="nil"/>
            </w:tcBorders>
            <w:shd w:val="clear" w:color="000000" w:fill="FFFFFF"/>
          </w:tcPr>
          <w:p w14:paraId="735338C3" w14:textId="77777777" w:rsidR="007A5325" w:rsidRPr="00FC4EB7" w:rsidRDefault="007A5325" w:rsidP="00996DC5">
            <w:pPr>
              <w:snapToGrid w:val="0"/>
              <w:spacing w:before="40" w:after="40" w:line="240" w:lineRule="auto"/>
              <w:jc w:val="left"/>
              <w:rPr>
                <w:color w:val="000000"/>
                <w:sz w:val="16"/>
                <w:szCs w:val="16"/>
              </w:rPr>
            </w:pPr>
          </w:p>
        </w:tc>
        <w:tc>
          <w:tcPr>
            <w:tcW w:w="633" w:type="pct"/>
            <w:tcBorders>
              <w:left w:val="nil"/>
              <w:bottom w:val="single" w:sz="8" w:space="0" w:color="auto"/>
              <w:right w:val="nil"/>
            </w:tcBorders>
            <w:shd w:val="clear" w:color="000000" w:fill="FFFFFF"/>
          </w:tcPr>
          <w:p w14:paraId="5AB58487" w14:textId="77777777" w:rsidR="007A5325" w:rsidRPr="00FC4EB7" w:rsidRDefault="007A5325" w:rsidP="00996DC5">
            <w:pPr>
              <w:snapToGrid w:val="0"/>
              <w:spacing w:before="40" w:after="40" w:line="240" w:lineRule="auto"/>
              <w:jc w:val="left"/>
              <w:rPr>
                <w:color w:val="000000"/>
                <w:sz w:val="16"/>
                <w:szCs w:val="16"/>
              </w:rPr>
            </w:pPr>
          </w:p>
        </w:tc>
        <w:tc>
          <w:tcPr>
            <w:tcW w:w="633" w:type="pct"/>
            <w:tcBorders>
              <w:left w:val="nil"/>
              <w:bottom w:val="single" w:sz="8" w:space="0" w:color="auto"/>
              <w:right w:val="nil"/>
            </w:tcBorders>
            <w:shd w:val="clear" w:color="000000" w:fill="FFFFFF"/>
          </w:tcPr>
          <w:p w14:paraId="00AA1A45" w14:textId="77777777" w:rsidR="007A5325" w:rsidRPr="00FC4EB7" w:rsidRDefault="007A5325" w:rsidP="00996DC5">
            <w:pPr>
              <w:snapToGrid w:val="0"/>
              <w:spacing w:before="40" w:after="40" w:line="240" w:lineRule="auto"/>
              <w:jc w:val="left"/>
              <w:rPr>
                <w:color w:val="000000"/>
                <w:sz w:val="16"/>
                <w:szCs w:val="16"/>
              </w:rPr>
            </w:pPr>
          </w:p>
        </w:tc>
        <w:tc>
          <w:tcPr>
            <w:tcW w:w="633" w:type="pct"/>
            <w:tcBorders>
              <w:left w:val="nil"/>
              <w:bottom w:val="single" w:sz="8" w:space="0" w:color="auto"/>
              <w:right w:val="nil"/>
            </w:tcBorders>
            <w:shd w:val="clear" w:color="000000" w:fill="FFFFFF"/>
          </w:tcPr>
          <w:p w14:paraId="18BE79C6" w14:textId="77777777" w:rsidR="007A5325" w:rsidRPr="00FC4EB7" w:rsidRDefault="007A5325" w:rsidP="00996DC5">
            <w:pPr>
              <w:snapToGrid w:val="0"/>
              <w:spacing w:before="40" w:after="40" w:line="240" w:lineRule="auto"/>
              <w:jc w:val="left"/>
              <w:rPr>
                <w:color w:val="000000"/>
                <w:sz w:val="16"/>
                <w:szCs w:val="16"/>
              </w:rPr>
            </w:pPr>
          </w:p>
        </w:tc>
      </w:tr>
    </w:tbl>
    <w:p w14:paraId="338FE1B9" w14:textId="461784DF" w:rsidR="008F3D22" w:rsidRPr="0092115E" w:rsidRDefault="008F3D22" w:rsidP="008F3D22">
      <w:pPr>
        <w:spacing w:after="0"/>
        <w:rPr>
          <w:sz w:val="16"/>
          <w:szCs w:val="14"/>
        </w:rPr>
      </w:pPr>
      <w:r w:rsidRPr="0092115E">
        <w:rPr>
          <w:sz w:val="16"/>
          <w:szCs w:val="14"/>
        </w:rPr>
        <w:t xml:space="preserve">Multivariates Probit Model; </w:t>
      </w:r>
      <w:r w:rsidR="0092115E" w:rsidRPr="0092115E">
        <w:rPr>
          <w:sz w:val="16"/>
          <w:szCs w:val="14"/>
        </w:rPr>
        <w:t>Standardfehler sind in Klammern</w:t>
      </w:r>
      <w:r w:rsidR="0092115E">
        <w:rPr>
          <w:sz w:val="16"/>
          <w:szCs w:val="14"/>
        </w:rPr>
        <w:t xml:space="preserve"> angegeben</w:t>
      </w:r>
      <w:r w:rsidRPr="0092115E">
        <w:rPr>
          <w:sz w:val="16"/>
          <w:szCs w:val="14"/>
        </w:rPr>
        <w:t>; Wald-Test:   ***p &lt; 0,01   **p &lt; 0,05   *p &lt; 0,1</w:t>
      </w:r>
    </w:p>
    <w:p w14:paraId="36B3B7CC" w14:textId="77777777" w:rsidR="007A5325" w:rsidRPr="0092115E" w:rsidRDefault="007A5325" w:rsidP="007A5325">
      <w:pPr>
        <w:spacing w:after="0"/>
      </w:pPr>
    </w:p>
    <w:p w14:paraId="723DAC74" w14:textId="796E88BD" w:rsidR="000F36CE" w:rsidRDefault="000F36CE" w:rsidP="001A4E15">
      <w:pPr>
        <w:pStyle w:val="berschrift2"/>
        <w:numPr>
          <w:ilvl w:val="0"/>
          <w:numId w:val="6"/>
        </w:numPr>
        <w:spacing w:before="0" w:after="120" w:line="240" w:lineRule="auto"/>
        <w:ind w:left="425" w:hanging="425"/>
      </w:pPr>
      <w:bookmarkStart w:id="56" w:name="_Toc88425841"/>
      <w:r>
        <w:t>Weitere Regressionsergebnisse</w:t>
      </w:r>
      <w:bookmarkEnd w:id="56"/>
    </w:p>
    <w:p w14:paraId="34A8B999" w14:textId="66731076" w:rsidR="00B11C93" w:rsidRPr="00B11C93" w:rsidRDefault="00867442" w:rsidP="00234455">
      <w:pPr>
        <w:spacing w:after="120"/>
      </w:pPr>
      <w:r>
        <w:t xml:space="preserve">Darüber hinaus ergeben sich mehrere Kontrollvariablen, welche einen statistisch signifikanten Effekt auf die einzelnen Finanzierungsmuster haben. </w:t>
      </w:r>
      <w:r w:rsidR="005D1430">
        <w:t xml:space="preserve">So </w:t>
      </w:r>
      <w:r w:rsidR="00AB6F0A">
        <w:t xml:space="preserve">sind junge Unternehmen (Unternehmensalter &lt; 2 Jahre) </w:t>
      </w:r>
      <w:r w:rsidR="00B31521">
        <w:t>seltener</w:t>
      </w:r>
      <w:r w:rsidR="00AB6F0A">
        <w:t xml:space="preserve"> </w:t>
      </w:r>
      <w:r w:rsidR="00837BA9">
        <w:t xml:space="preserve">finanziert </w:t>
      </w:r>
      <w:r w:rsidR="00B31521">
        <w:t>durch</w:t>
      </w:r>
      <w:r w:rsidR="00AB6F0A">
        <w:t xml:space="preserve"> „Flexible Schuldenfinanzier</w:t>
      </w:r>
      <w:r w:rsidR="00315FB9">
        <w:t>ung</w:t>
      </w:r>
      <w:r w:rsidR="00AB6F0A">
        <w:t>“</w:t>
      </w:r>
      <w:r w:rsidR="00B31521">
        <w:t xml:space="preserve"> als Unternehmen, die schon seit mehr als neun Jahren existieren (</w:t>
      </w:r>
      <m:oMath>
        <m:r>
          <w:rPr>
            <w:rFonts w:ascii="Cambria Math" w:hAnsi="Cambria Math"/>
          </w:rPr>
          <m:t>β=-0,562;</m:t>
        </m:r>
        <m:sSub>
          <m:sSubPr>
            <m:ctrlPr>
              <w:rPr>
                <w:rFonts w:ascii="Cambria Math" w:hAnsi="Cambria Math"/>
                <w:i/>
              </w:rPr>
            </m:ctrlPr>
          </m:sSubPr>
          <m:e>
            <m:r>
              <w:rPr>
                <w:rFonts w:ascii="Cambria Math" w:hAnsi="Cambria Math"/>
              </w:rPr>
              <m:t>p</m:t>
            </m:r>
          </m:e>
          <m:sub>
            <m:r>
              <w:rPr>
                <w:rFonts w:ascii="Cambria Math" w:hAnsi="Cambria Math"/>
              </w:rPr>
              <m:t>β</m:t>
            </m:r>
          </m:sub>
        </m:sSub>
        <m:r>
          <w:rPr>
            <w:rFonts w:ascii="Cambria Math" w:hAnsi="Cambria Math"/>
          </w:rPr>
          <m:t>&lt;0,01</m:t>
        </m:r>
      </m:oMath>
      <w:r w:rsidR="00B31521">
        <w:t>).</w:t>
      </w:r>
      <w:r w:rsidR="00EF275A">
        <w:t xml:space="preserve"> Bezogen auf die Gesellschafterstruktur ist auffällig, dass </w:t>
      </w:r>
      <w:r w:rsidR="00837BA9">
        <w:t xml:space="preserve">Unternehmen, </w:t>
      </w:r>
      <w:r w:rsidR="006D2847">
        <w:t xml:space="preserve">bei denen </w:t>
      </w:r>
      <w:r w:rsidR="00B47CF0">
        <w:t xml:space="preserve">größten Anteileigner </w:t>
      </w:r>
      <w:r w:rsidR="003C515E">
        <w:t>Venture Capitalists / Business Angels (</w:t>
      </w:r>
      <m:oMath>
        <m:r>
          <w:rPr>
            <w:rFonts w:ascii="Cambria Math" w:hAnsi="Cambria Math"/>
          </w:rPr>
          <m:t>β=-0,548;</m:t>
        </m:r>
        <m:sSub>
          <m:sSubPr>
            <m:ctrlPr>
              <w:rPr>
                <w:rFonts w:ascii="Cambria Math" w:hAnsi="Cambria Math"/>
                <w:i/>
              </w:rPr>
            </m:ctrlPr>
          </m:sSubPr>
          <m:e>
            <m:r>
              <w:rPr>
                <w:rFonts w:ascii="Cambria Math" w:hAnsi="Cambria Math"/>
              </w:rPr>
              <m:t>p</m:t>
            </m:r>
          </m:e>
          <m:sub>
            <m:r>
              <w:rPr>
                <w:rFonts w:ascii="Cambria Math" w:hAnsi="Cambria Math"/>
              </w:rPr>
              <m:t>β</m:t>
            </m:r>
          </m:sub>
        </m:sSub>
        <m:r>
          <w:rPr>
            <w:rFonts w:ascii="Cambria Math" w:hAnsi="Cambria Math"/>
          </w:rPr>
          <m:t>&lt;0,01</m:t>
        </m:r>
      </m:oMath>
      <w:r w:rsidR="003C515E">
        <w:t>) und Familien / Entrepreneure (</w:t>
      </w:r>
      <m:oMath>
        <m:r>
          <w:rPr>
            <w:rFonts w:ascii="Cambria Math" w:hAnsi="Cambria Math"/>
          </w:rPr>
          <m:t>β=-0,226;</m:t>
        </m:r>
        <m:sSub>
          <m:sSubPr>
            <m:ctrlPr>
              <w:rPr>
                <w:rFonts w:ascii="Cambria Math" w:hAnsi="Cambria Math"/>
                <w:i/>
              </w:rPr>
            </m:ctrlPr>
          </m:sSubPr>
          <m:e>
            <m:r>
              <w:rPr>
                <w:rFonts w:ascii="Cambria Math" w:hAnsi="Cambria Math"/>
              </w:rPr>
              <m:t>p</m:t>
            </m:r>
          </m:e>
          <m:sub>
            <m:r>
              <w:rPr>
                <w:rFonts w:ascii="Cambria Math" w:hAnsi="Cambria Math"/>
              </w:rPr>
              <m:t>β</m:t>
            </m:r>
          </m:sub>
        </m:sSub>
        <m:r>
          <w:rPr>
            <w:rFonts w:ascii="Cambria Math" w:hAnsi="Cambria Math"/>
          </w:rPr>
          <m:t>&lt;0,01</m:t>
        </m:r>
      </m:oMath>
      <w:r w:rsidR="003C515E">
        <w:t xml:space="preserve">) sind, </w:t>
      </w:r>
      <w:r w:rsidR="003C515E">
        <w:lastRenderedPageBreak/>
        <w:t xml:space="preserve">seltener Innenfinanzierung nutzen als </w:t>
      </w:r>
      <w:r w:rsidR="00070C8D">
        <w:t>Unternehmen, bei denen die größten Anteilseigner öffentliche Aktionäre sind. Verglichen dazu sind Einzelunternehmen häufiger durch Darlehen finanziert</w:t>
      </w:r>
      <w:r w:rsidR="00070C8D" w:rsidRPr="00726C9B">
        <w:t xml:space="preserve"> </w:t>
      </w:r>
      <w:r w:rsidR="00070C8D">
        <w:t>(</w:t>
      </w:r>
      <m:oMath>
        <m:r>
          <w:rPr>
            <w:rFonts w:ascii="Cambria Math" w:hAnsi="Cambria Math"/>
          </w:rPr>
          <m:t>β=0,356;</m:t>
        </m:r>
        <m:sSub>
          <m:sSubPr>
            <m:ctrlPr>
              <w:rPr>
                <w:rFonts w:ascii="Cambria Math" w:hAnsi="Cambria Math"/>
                <w:i/>
              </w:rPr>
            </m:ctrlPr>
          </m:sSubPr>
          <m:e>
            <m:r>
              <w:rPr>
                <w:rFonts w:ascii="Cambria Math" w:hAnsi="Cambria Math"/>
              </w:rPr>
              <m:t>p</m:t>
            </m:r>
          </m:e>
          <m:sub>
            <m:r>
              <w:rPr>
                <w:rFonts w:ascii="Cambria Math" w:hAnsi="Cambria Math"/>
              </w:rPr>
              <m:t>β</m:t>
            </m:r>
          </m:sub>
        </m:sSub>
        <m:r>
          <w:rPr>
            <w:rFonts w:ascii="Cambria Math" w:hAnsi="Cambria Math"/>
          </w:rPr>
          <m:t>&lt;0,01</m:t>
        </m:r>
      </m:oMath>
      <w:r w:rsidR="00070C8D">
        <w:t>). Des Weiteren ist es wahrscheinlicher, dass Unternehmen, die</w:t>
      </w:r>
      <w:r w:rsidR="00070C8D" w:rsidRPr="00AD14ED">
        <w:t xml:space="preserve">in den letzten zwölf Monaten ein deutlich verbessertes Produkt </w:t>
      </w:r>
      <w:r w:rsidR="00070C8D">
        <w:t>/</w:t>
      </w:r>
      <w:r w:rsidR="00070C8D" w:rsidRPr="00AD14ED">
        <w:t xml:space="preserve"> Service veröffentlicht</w:t>
      </w:r>
      <w:r w:rsidR="00070C8D">
        <w:t xml:space="preserve"> haben, Zuschüsse erhalten (</w:t>
      </w:r>
      <m:oMath>
        <m:r>
          <w:rPr>
            <w:rFonts w:ascii="Cambria Math" w:hAnsi="Cambria Math"/>
          </w:rPr>
          <m:t>β=0,196;</m:t>
        </m:r>
        <m:sSub>
          <m:sSubPr>
            <m:ctrlPr>
              <w:rPr>
                <w:rFonts w:ascii="Cambria Math" w:hAnsi="Cambria Math"/>
                <w:i/>
              </w:rPr>
            </m:ctrlPr>
          </m:sSubPr>
          <m:e>
            <m:r>
              <w:rPr>
                <w:rFonts w:ascii="Cambria Math" w:hAnsi="Cambria Math"/>
              </w:rPr>
              <m:t>p</m:t>
            </m:r>
          </m:e>
          <m:sub>
            <m:r>
              <w:rPr>
                <w:rFonts w:ascii="Cambria Math" w:hAnsi="Cambria Math"/>
              </w:rPr>
              <m:t>β</m:t>
            </m:r>
          </m:sub>
        </m:sSub>
        <m:r>
          <w:rPr>
            <w:rFonts w:ascii="Cambria Math" w:hAnsi="Cambria Math"/>
          </w:rPr>
          <m:t>&lt;0,01</m:t>
        </m:r>
      </m:oMath>
      <w:r w:rsidR="00070C8D">
        <w:t>). Gleichzeitig weisen diese Unternehmen seltener das Finanzierungsmuster „Innenfinanzierung“ auf (</w:t>
      </w:r>
      <m:oMath>
        <m:r>
          <w:rPr>
            <w:rFonts w:ascii="Cambria Math" w:hAnsi="Cambria Math"/>
          </w:rPr>
          <m:t>β=-0,150;</m:t>
        </m:r>
        <m:sSub>
          <m:sSubPr>
            <m:ctrlPr>
              <w:rPr>
                <w:rFonts w:ascii="Cambria Math" w:hAnsi="Cambria Math"/>
                <w:i/>
              </w:rPr>
            </m:ctrlPr>
          </m:sSubPr>
          <m:e>
            <m:r>
              <w:rPr>
                <w:rFonts w:ascii="Cambria Math" w:hAnsi="Cambria Math"/>
              </w:rPr>
              <m:t>p</m:t>
            </m:r>
          </m:e>
          <m:sub>
            <m:r>
              <w:rPr>
                <w:rFonts w:ascii="Cambria Math" w:hAnsi="Cambria Math"/>
              </w:rPr>
              <m:t>β</m:t>
            </m:r>
          </m:sub>
        </m:sSub>
        <m:r>
          <w:rPr>
            <w:rFonts w:ascii="Cambria Math" w:hAnsi="Cambria Math"/>
          </w:rPr>
          <m:t>&lt;0,01</m:t>
        </m:r>
      </m:oMath>
      <w:r w:rsidR="00070C8D">
        <w:t>).</w:t>
      </w:r>
    </w:p>
    <w:p w14:paraId="3F57D3E3" w14:textId="1ACB8891" w:rsidR="00E22291" w:rsidRDefault="0062710A" w:rsidP="001A4E15">
      <w:pPr>
        <w:pStyle w:val="berschrift2"/>
        <w:numPr>
          <w:ilvl w:val="0"/>
          <w:numId w:val="6"/>
        </w:numPr>
        <w:spacing w:after="120" w:line="240" w:lineRule="auto"/>
        <w:ind w:left="425" w:hanging="425"/>
      </w:pPr>
      <w:bookmarkStart w:id="57" w:name="_Toc88425842"/>
      <w:r>
        <w:t xml:space="preserve">Ergebnisse der </w:t>
      </w:r>
      <w:r w:rsidR="000F36CE">
        <w:t>Robustheitstests</w:t>
      </w:r>
      <w:bookmarkEnd w:id="57"/>
    </w:p>
    <w:p w14:paraId="3834E8CC" w14:textId="3526A1D5" w:rsidR="004140A0" w:rsidRDefault="00FD0756" w:rsidP="00234455">
      <w:pPr>
        <w:spacing w:after="120"/>
      </w:pPr>
      <w:r>
        <w:t xml:space="preserve">Die Ergebnisse der Robustheitstests sind in Anhang </w:t>
      </w:r>
      <w:r w:rsidR="001426B1">
        <w:t>B</w:t>
      </w:r>
      <w:r>
        <w:t>.</w:t>
      </w:r>
      <w:r w:rsidR="00F16B55">
        <w:t>4</w:t>
      </w:r>
      <w:r>
        <w:t xml:space="preserve"> und </w:t>
      </w:r>
      <w:r w:rsidR="001426B1">
        <w:t>B</w:t>
      </w:r>
      <w:r>
        <w:t>.</w:t>
      </w:r>
      <w:r w:rsidR="00F16B55">
        <w:t>5</w:t>
      </w:r>
      <w:r>
        <w:t xml:space="preserve"> aufgeführt.</w:t>
      </w:r>
      <w:r w:rsidR="00936202">
        <w:t xml:space="preserve"> </w:t>
      </w:r>
      <w:r w:rsidR="001D3BAE">
        <w:t>Im Einklang mit den Hauptergebnissen bestätigen die</w:t>
      </w:r>
      <w:r w:rsidR="00936202">
        <w:t xml:space="preserve"> </w:t>
      </w:r>
      <w:r w:rsidR="00936202" w:rsidRPr="00936202">
        <w:t>unabhängige</w:t>
      </w:r>
      <w:r w:rsidR="003E7080">
        <w:t>n</w:t>
      </w:r>
      <w:r w:rsidR="00936202" w:rsidRPr="00936202">
        <w:t xml:space="preserve"> univariaten logistischen Regressionen</w:t>
      </w:r>
      <w:r w:rsidR="003E7080">
        <w:t xml:space="preserve"> </w:t>
      </w:r>
      <w:r w:rsidR="001D3BAE">
        <w:t>alle Hypothesen</w:t>
      </w:r>
      <w:r w:rsidR="003E29CB">
        <w:t xml:space="preserve"> durch die Vorzeichen der Koeffizienten der unabhängigen Variablen und durch die Ergebnisse der </w:t>
      </w:r>
      <m:oMath>
        <m:r>
          <w:rPr>
            <w:rFonts w:ascii="Cambria Math" w:hAnsi="Cambria Math"/>
          </w:rPr>
          <m:t>t</m:t>
        </m:r>
      </m:oMath>
      <w:r w:rsidR="003E29CB">
        <w:t xml:space="preserve">-Tests. </w:t>
      </w:r>
      <w:r w:rsidR="00070C8D">
        <w:t xml:space="preserve">Zusätzlich deutet die multinomiale logistische Regression mit der Referenzgruppe „Innen-finanzierung“ darauf hin, dass Kleinstunternehmen eher dem Cluster „Innenfinanzierung“ zugehören, verglichen mit den anderen Finanzierungsmustern. Konkret ist das Verhältnis dafür, dass ein Kleinstunternehmen „Darlehens-finanzierung“ ausweist verglichen mit „Innenfinanzierung“, gleich der Odds-Ratio </w:t>
      </w:r>
      <m:oMath>
        <m:sSub>
          <m:sSubPr>
            <m:ctrlPr>
              <w:rPr>
                <w:rFonts w:ascii="Cambria Math" w:hAnsi="Cambria Math"/>
                <w:i/>
              </w:rPr>
            </m:ctrlPr>
          </m:sSubPr>
          <m:e>
            <m:r>
              <w:rPr>
                <w:rFonts w:ascii="Cambria Math" w:hAnsi="Cambria Math"/>
              </w:rPr>
              <m:t>OR</m:t>
            </m:r>
          </m:e>
          <m:sub>
            <m:r>
              <w:rPr>
                <w:rFonts w:ascii="Cambria Math" w:hAnsi="Cambria Math"/>
              </w:rPr>
              <m:t>H1</m:t>
            </m:r>
          </m:sub>
        </m:sSub>
        <m:r>
          <w:rPr>
            <w:rFonts w:ascii="Cambria Math" w:hAnsi="Cambria Math"/>
          </w:rPr>
          <m:t>=0,22</m:t>
        </m:r>
      </m:oMath>
      <w:r w:rsidR="00070C8D">
        <w:t>. Analog dazu lassen sich für die anderen Finanzierungsmuster die Odds-Ratios interpretieren: „Flexible Schuldenfinanzierung“ (</w:t>
      </w:r>
      <m:oMath>
        <m:sSub>
          <m:sSubPr>
            <m:ctrlPr>
              <w:rPr>
                <w:rFonts w:ascii="Cambria Math" w:hAnsi="Cambria Math"/>
                <w:i/>
              </w:rPr>
            </m:ctrlPr>
          </m:sSubPr>
          <m:e>
            <m:r>
              <w:rPr>
                <w:rFonts w:ascii="Cambria Math" w:hAnsi="Cambria Math"/>
              </w:rPr>
              <m:t>OR</m:t>
            </m:r>
          </m:e>
          <m:sub>
            <m:r>
              <w:rPr>
                <w:rFonts w:ascii="Cambria Math" w:hAnsi="Cambria Math"/>
              </w:rPr>
              <m:t>H2</m:t>
            </m:r>
          </m:sub>
        </m:sSub>
        <m:r>
          <w:rPr>
            <w:rFonts w:ascii="Cambria Math" w:hAnsi="Cambria Math"/>
          </w:rPr>
          <m:t>=0,77</m:t>
        </m:r>
      </m:oMath>
      <w:r w:rsidR="00070C8D">
        <w:t>), „Finanzierung durch Lieferantenkredite“ (</w:t>
      </w:r>
      <m:oMath>
        <m:sSub>
          <m:sSubPr>
            <m:ctrlPr>
              <w:rPr>
                <w:rFonts w:ascii="Cambria Math" w:hAnsi="Cambria Math"/>
                <w:i/>
              </w:rPr>
            </m:ctrlPr>
          </m:sSubPr>
          <m:e>
            <m:r>
              <w:rPr>
                <w:rFonts w:ascii="Cambria Math" w:hAnsi="Cambria Math"/>
              </w:rPr>
              <m:t>OR</m:t>
            </m:r>
          </m:e>
          <m:sub>
            <m:r>
              <w:rPr>
                <w:rFonts w:ascii="Cambria Math" w:hAnsi="Cambria Math"/>
              </w:rPr>
              <m:t>H3</m:t>
            </m:r>
          </m:sub>
        </m:sSub>
        <m:r>
          <w:rPr>
            <w:rFonts w:ascii="Cambria Math" w:hAnsi="Cambria Math"/>
          </w:rPr>
          <m:t>=0,29</m:t>
        </m:r>
      </m:oMath>
      <w:r w:rsidR="00070C8D">
        <w:t>), "Staatlich subventionierte Finanzierung" (</w:t>
      </w:r>
      <m:oMath>
        <m:sSub>
          <m:sSubPr>
            <m:ctrlPr>
              <w:rPr>
                <w:rFonts w:ascii="Cambria Math" w:hAnsi="Cambria Math"/>
                <w:i/>
              </w:rPr>
            </m:ctrlPr>
          </m:sSubPr>
          <m:e>
            <m:r>
              <w:rPr>
                <w:rFonts w:ascii="Cambria Math" w:hAnsi="Cambria Math"/>
              </w:rPr>
              <m:t>OR</m:t>
            </m:r>
          </m:e>
          <m:sub>
            <m:r>
              <w:rPr>
                <w:rFonts w:ascii="Cambria Math" w:hAnsi="Cambria Math"/>
              </w:rPr>
              <m:t>H4</m:t>
            </m:r>
          </m:sub>
        </m:sSub>
        <m:r>
          <w:rPr>
            <w:rFonts w:ascii="Cambria Math" w:hAnsi="Cambria Math"/>
          </w:rPr>
          <m:t>=0,19</m:t>
        </m:r>
      </m:oMath>
      <w:r w:rsidR="00070C8D">
        <w:t>), „Asset-basierte Finanzierung“ (</w:t>
      </w:r>
      <m:oMath>
        <m:sSub>
          <m:sSubPr>
            <m:ctrlPr>
              <w:rPr>
                <w:rFonts w:ascii="Cambria Math" w:hAnsi="Cambria Math"/>
                <w:i/>
              </w:rPr>
            </m:ctrlPr>
          </m:sSubPr>
          <m:e>
            <m:r>
              <w:rPr>
                <w:rFonts w:ascii="Cambria Math" w:hAnsi="Cambria Math"/>
              </w:rPr>
              <m:t>OR</m:t>
            </m:r>
          </m:e>
          <m:sub>
            <m:r>
              <w:rPr>
                <w:rFonts w:ascii="Cambria Math" w:hAnsi="Cambria Math"/>
              </w:rPr>
              <m:t>H5</m:t>
            </m:r>
          </m:sub>
        </m:sSub>
        <m:r>
          <w:rPr>
            <w:rFonts w:ascii="Cambria Math" w:hAnsi="Cambria Math"/>
          </w:rPr>
          <m:t>=0,30</m:t>
        </m:r>
      </m:oMath>
      <w:r w:rsidR="00070C8D">
        <w:t>).</w:t>
      </w:r>
    </w:p>
    <w:p w14:paraId="218266FC" w14:textId="77777777" w:rsidR="004140A0" w:rsidRDefault="004140A0">
      <w:pPr>
        <w:spacing w:line="276" w:lineRule="auto"/>
        <w:jc w:val="left"/>
      </w:pPr>
      <w:r>
        <w:br w:type="page"/>
      </w:r>
    </w:p>
    <w:p w14:paraId="4F0792D2" w14:textId="6B0D81FC" w:rsidR="00AD16F9" w:rsidRDefault="006937CA" w:rsidP="001A4E15">
      <w:pPr>
        <w:pStyle w:val="berschrift1"/>
        <w:numPr>
          <w:ilvl w:val="0"/>
          <w:numId w:val="2"/>
        </w:numPr>
      </w:pPr>
      <w:bookmarkStart w:id="58" w:name="_Toc88425843"/>
      <w:bookmarkStart w:id="59" w:name="_Ref88428884"/>
      <w:bookmarkStart w:id="60" w:name="_Ref88429227"/>
      <w:r>
        <w:lastRenderedPageBreak/>
        <w:t>Diskussion der Ergebnisse</w:t>
      </w:r>
      <w:bookmarkEnd w:id="58"/>
      <w:bookmarkEnd w:id="59"/>
      <w:bookmarkEnd w:id="60"/>
    </w:p>
    <w:p w14:paraId="77CCC779" w14:textId="0D538CA6" w:rsidR="00E22291" w:rsidRDefault="00E22291" w:rsidP="001A4E15">
      <w:pPr>
        <w:pStyle w:val="berschrift2"/>
        <w:numPr>
          <w:ilvl w:val="0"/>
          <w:numId w:val="5"/>
        </w:numPr>
        <w:spacing w:after="120" w:line="240" w:lineRule="auto"/>
        <w:ind w:left="425" w:hanging="425"/>
      </w:pPr>
      <w:bookmarkStart w:id="61" w:name="_Toc88425844"/>
      <w:r>
        <w:t>Interpretation der Ergebnisse</w:t>
      </w:r>
      <w:bookmarkEnd w:id="61"/>
    </w:p>
    <w:p w14:paraId="385CA878" w14:textId="39395FEE" w:rsidR="009F221A" w:rsidRDefault="00F864E7" w:rsidP="00234455">
      <w:pPr>
        <w:spacing w:after="120"/>
      </w:pPr>
      <w:r>
        <w:t xml:space="preserve">Die Ergebnisse der Analyse deuten darauf hin, dass </w:t>
      </w:r>
      <w:r w:rsidR="009E0126">
        <w:t xml:space="preserve">sich </w:t>
      </w:r>
      <w:r>
        <w:t xml:space="preserve">die Finanzierungsmuster von Kleinstunternehmen im Vergleich zu kleinen und mittleren </w:t>
      </w:r>
      <w:r w:rsidR="009435A7">
        <w:t>signifikant unterscheiden.</w:t>
      </w:r>
      <w:r w:rsidR="00F865A5">
        <w:t xml:space="preserve"> So verwenden Kleinstunternehmen eher Innenfinanzierung und flexible Schuldenfinanzierung als Darlehen, Lieferantenkredite, Zuschüsse </w:t>
      </w:r>
      <w:r w:rsidR="002952BB">
        <w:t>und</w:t>
      </w:r>
      <w:r w:rsidR="00F865A5">
        <w:t xml:space="preserve"> Asset-basierte Finanzierungsformen. Dies steht im Einklang mit den </w:t>
      </w:r>
      <w:r w:rsidR="002952BB">
        <w:t xml:space="preserve">aufgestellten Hypothesen sowie mit </w:t>
      </w:r>
      <w:r w:rsidR="009E0126">
        <w:t xml:space="preserve">der </w:t>
      </w:r>
      <w:r w:rsidR="002952BB">
        <w:t>vorherige</w:t>
      </w:r>
      <w:r w:rsidR="009E0126">
        <w:t>n</w:t>
      </w:r>
      <w:r w:rsidR="002952BB">
        <w:t xml:space="preserve"> </w:t>
      </w:r>
      <w:r w:rsidR="00574E25">
        <w:t>Literatur</w:t>
      </w:r>
      <w:r w:rsidR="00F91A4B">
        <w:t xml:space="preserve"> bezüglich der Finanzierung von KMUs</w:t>
      </w:r>
      <w:r w:rsidR="002952BB">
        <w:t>.</w:t>
      </w:r>
      <w:r w:rsidR="002952BB">
        <w:rPr>
          <w:rStyle w:val="Funotenzeichen"/>
        </w:rPr>
        <w:footnoteReference w:id="105"/>
      </w:r>
    </w:p>
    <w:p w14:paraId="57140BA2" w14:textId="7645C54C" w:rsidR="005870CC" w:rsidRPr="003A21E4" w:rsidRDefault="002B00C8" w:rsidP="00CD5E28">
      <w:pPr>
        <w:spacing w:after="120"/>
      </w:pPr>
      <w:r>
        <w:t xml:space="preserve">Die Erkenntnis, dass Kleinstunternehmen flexible Schuldenfinanzierung kurzfristiger Natur vor langfristigen Bankdarlehen bevorzugen, </w:t>
      </w:r>
      <w:r w:rsidR="00C050DD">
        <w:t>stellt einen wesentlichen Unterschied zu Masiak et al. (2019) dar. Während die restlichen</w:t>
      </w:r>
      <w:r w:rsidR="00342184">
        <w:t xml:space="preserve"> Ergebnisse</w:t>
      </w:r>
      <w:r w:rsidR="00C050DD">
        <w:t xml:space="preserve"> übereinstimmen, </w:t>
      </w:r>
      <w:r w:rsidR="00502CDD">
        <w:t xml:space="preserve">konnte dort </w:t>
      </w:r>
      <w:r w:rsidR="00342184">
        <w:t xml:space="preserve">aufgrund der anderen Clusterzuordnung </w:t>
      </w:r>
      <w:r w:rsidR="006C3548">
        <w:t xml:space="preserve">die Hypothese, dass </w:t>
      </w:r>
      <w:r w:rsidR="006C3548" w:rsidRPr="006C3548">
        <w:rPr>
          <w:spacing w:val="-2"/>
        </w:rPr>
        <w:t>Kleinstunternehmen seltener das Finanzierungsmuster „Schuldenfinanzierung“</w:t>
      </w:r>
      <w:r w:rsidR="006C3548">
        <w:t xml:space="preserve"> aufweisen, nicht </w:t>
      </w:r>
      <w:r w:rsidR="00502CDD">
        <w:t>bestätigt werden</w:t>
      </w:r>
      <w:r w:rsidR="006C3548">
        <w:t xml:space="preserve">. </w:t>
      </w:r>
      <w:r w:rsidR="00502CDD">
        <w:t xml:space="preserve">Moritz et al. (2019: 305 f.) argumentieren, dass </w:t>
      </w:r>
      <w:r w:rsidR="00F65913">
        <w:t xml:space="preserve">Kleinstunternehmen </w:t>
      </w:r>
      <w:r w:rsidR="003E6422">
        <w:t>durch den hohen bürokratischen Aufwand</w:t>
      </w:r>
      <w:r w:rsidR="00F65913">
        <w:t xml:space="preserve"> beim Beantragen von Bankfinanzierung höhere nachfrageseitige Kosten </w:t>
      </w:r>
      <w:r w:rsidR="003E6422">
        <w:t>bei begrenzten Ressourcen</w:t>
      </w:r>
      <w:r w:rsidR="00372601" w:rsidRPr="00372601">
        <w:t xml:space="preserve"> </w:t>
      </w:r>
      <w:r w:rsidR="00372601">
        <w:t>entstehen</w:t>
      </w:r>
      <w:r w:rsidR="00F65913">
        <w:t xml:space="preserve">. Allerdings besteht dort das zugrundeliegende Cluster „Schuldenfinanzierung“ größtenteils aus Kreditlinien, Überziehung von Bankkonten und Kreditkarten (82,2%), während </w:t>
      </w:r>
      <w:r w:rsidR="00EB641B">
        <w:t>Bankdarlehen nur 45,2% ausmachen.</w:t>
      </w:r>
      <w:r w:rsidR="00EB641B">
        <w:rPr>
          <w:rStyle w:val="Funotenzeichen"/>
        </w:rPr>
        <w:footnoteReference w:id="106"/>
      </w:r>
      <w:r w:rsidR="00EB641B">
        <w:t xml:space="preserve"> Die Begründung </w:t>
      </w:r>
      <w:r w:rsidR="00FA7D09">
        <w:t>durch den hohen Aufwand trifft nicht</w:t>
      </w:r>
      <w:r w:rsidR="007B7E8B">
        <w:t xml:space="preserve"> zwingend</w:t>
      </w:r>
      <w:r w:rsidR="00FA7D09">
        <w:t xml:space="preserve"> bei den flexiblen Schuldenfinanzierungsformen zu</w:t>
      </w:r>
      <w:r w:rsidR="007B7E8B">
        <w:t xml:space="preserve"> und bezieht sich eher auf Darlehensanträge</w:t>
      </w:r>
      <w:r w:rsidR="00FA7D09">
        <w:t xml:space="preserve">, </w:t>
      </w:r>
      <w:r w:rsidR="007B7E8B">
        <w:t xml:space="preserve">jedoch wird der Unterschied zwischen den beiden Finanzierungsquellen in der Analyse vernachlässigt. </w:t>
      </w:r>
      <w:r w:rsidR="00AB0973">
        <w:t>Die</w:t>
      </w:r>
      <w:r w:rsidR="00D9145D">
        <w:t>se Diskrepanz</w:t>
      </w:r>
      <w:r w:rsidR="00AB0973">
        <w:t xml:space="preserve"> liefert einen Erklärungsansatz für </w:t>
      </w:r>
      <w:r w:rsidR="00CD5E28">
        <w:t>die nicht bestätigte Hypothese und untermauert</w:t>
      </w:r>
      <w:r w:rsidR="005870CC" w:rsidRPr="005870CC">
        <w:t xml:space="preserve"> die Wichtigkeit der Unterscheidung zwischen den Finanzierungsmuster </w:t>
      </w:r>
      <w:r w:rsidR="003A21E4">
        <w:t>„</w:t>
      </w:r>
      <w:r w:rsidR="005870CC" w:rsidRPr="005870CC">
        <w:t>Flexible Schulden</w:t>
      </w:r>
      <w:r w:rsidR="00422133">
        <w:t>-</w:t>
      </w:r>
      <w:r w:rsidR="005870CC" w:rsidRPr="005870CC">
        <w:t>finanzierung</w:t>
      </w:r>
      <w:r w:rsidR="003A21E4">
        <w:t>“</w:t>
      </w:r>
      <w:r w:rsidR="005870CC" w:rsidRPr="005870CC">
        <w:t xml:space="preserve"> und </w:t>
      </w:r>
      <w:r w:rsidR="003A21E4">
        <w:t>„</w:t>
      </w:r>
      <w:r w:rsidR="005870CC" w:rsidRPr="005870CC">
        <w:t>Darlehensfinanzierung</w:t>
      </w:r>
      <w:r w:rsidR="003A21E4">
        <w:t>“</w:t>
      </w:r>
      <w:r w:rsidR="005870CC" w:rsidRPr="005870CC">
        <w:t>.</w:t>
      </w:r>
      <w:r w:rsidR="003A21E4">
        <w:t xml:space="preserve"> Die Erkenntnis steht zusätzlich im Einklang mit </w:t>
      </w:r>
      <w:r w:rsidR="00574E25">
        <w:t>vorherigen Veröffentlichungen, welche die Schwierigkeiten bei Darlehensanträgen für kleinere Unternehmen beobachtet haben.</w:t>
      </w:r>
      <w:r w:rsidR="00574E25">
        <w:rPr>
          <w:rStyle w:val="Funotenzeichen"/>
        </w:rPr>
        <w:footnoteReference w:id="107"/>
      </w:r>
      <w:r w:rsidR="00574E25">
        <w:t xml:space="preserve"> Außerdem</w:t>
      </w:r>
      <w:r w:rsidR="003A21E4">
        <w:t xml:space="preserve"> </w:t>
      </w:r>
      <w:r w:rsidR="003F6D62">
        <w:t>korrespondier</w:t>
      </w:r>
      <w:r w:rsidR="00422133">
        <w:t xml:space="preserve">en die Ergebnisse </w:t>
      </w:r>
      <w:r w:rsidR="003A21E4">
        <w:t xml:space="preserve">mit der </w:t>
      </w:r>
      <w:r w:rsidR="003A21E4">
        <w:rPr>
          <w:szCs w:val="24"/>
        </w:rPr>
        <w:t>Pecking-Order-Theorie</w:t>
      </w:r>
      <w:r w:rsidR="003F6D62">
        <w:rPr>
          <w:szCs w:val="24"/>
        </w:rPr>
        <w:t xml:space="preserve">, dass kleinere </w:t>
      </w:r>
      <w:r w:rsidR="003F6D62">
        <w:rPr>
          <w:szCs w:val="24"/>
        </w:rPr>
        <w:lastRenderedPageBreak/>
        <w:t>Unternehmen</w:t>
      </w:r>
      <w:r w:rsidR="00422133">
        <w:rPr>
          <w:szCs w:val="24"/>
        </w:rPr>
        <w:t xml:space="preserve"> Innenfinanzierung gegenüber Schuldenfinanzierung und</w:t>
      </w:r>
      <w:r w:rsidR="003F6D62">
        <w:rPr>
          <w:szCs w:val="24"/>
        </w:rPr>
        <w:t xml:space="preserve"> kurzfristige Schulden</w:t>
      </w:r>
      <w:r w:rsidR="00422133">
        <w:rPr>
          <w:szCs w:val="24"/>
        </w:rPr>
        <w:t xml:space="preserve"> </w:t>
      </w:r>
      <w:r w:rsidR="003F6D62">
        <w:rPr>
          <w:szCs w:val="24"/>
        </w:rPr>
        <w:t>gegenüber langfristigen Schulden bevorzugen</w:t>
      </w:r>
      <w:r w:rsidR="003A21E4">
        <w:rPr>
          <w:szCs w:val="24"/>
        </w:rPr>
        <w:t>.</w:t>
      </w:r>
      <w:r w:rsidR="00BF648D" w:rsidRPr="00BF648D">
        <w:rPr>
          <w:rStyle w:val="Funotenzeichen"/>
          <w:szCs w:val="24"/>
        </w:rPr>
        <w:t xml:space="preserve"> </w:t>
      </w:r>
      <w:r w:rsidR="00BF648D">
        <w:rPr>
          <w:rStyle w:val="Funotenzeichen"/>
          <w:szCs w:val="24"/>
        </w:rPr>
        <w:footnoteReference w:id="108"/>
      </w:r>
    </w:p>
    <w:p w14:paraId="05E377A2" w14:textId="6CBF8682" w:rsidR="00B32E7D" w:rsidRPr="005E3B8F" w:rsidRDefault="005E3B8F" w:rsidP="00234455">
      <w:pPr>
        <w:spacing w:after="120"/>
      </w:pPr>
      <w:r w:rsidRPr="005E3B8F">
        <w:t>Dass Kleinstunternehmen seltener durch Sub</w:t>
      </w:r>
      <w:r>
        <w:t xml:space="preserve">ventionen </w:t>
      </w:r>
      <w:r w:rsidR="00401199">
        <w:t>finanziert</w:t>
      </w:r>
      <w:r w:rsidR="002154EC">
        <w:t xml:space="preserve"> sind</w:t>
      </w:r>
      <w:r>
        <w:t xml:space="preserve">, </w:t>
      </w:r>
      <w:r w:rsidR="002154EC">
        <w:t>resultiert möglicherweise aus der in Daskalakis et al. (2013) festgestellten Informationslücke bezüglich der Verfügbarkeit von Zuschüssen.</w:t>
      </w:r>
      <w:r w:rsidR="002154EC">
        <w:rPr>
          <w:rStyle w:val="Funotenzeichen"/>
        </w:rPr>
        <w:footnoteReference w:id="109"/>
      </w:r>
    </w:p>
    <w:p w14:paraId="0BA87694" w14:textId="3FF42748" w:rsidR="00F60156" w:rsidRDefault="007B7604" w:rsidP="00234455">
      <w:pPr>
        <w:spacing w:after="120"/>
      </w:pPr>
      <w:r>
        <w:t xml:space="preserve">Außerdem deutet eine seltenere Nutzung von Lieferantenkrediten und </w:t>
      </w:r>
      <w:r w:rsidR="00CB70A7">
        <w:t>A</w:t>
      </w:r>
      <w:r>
        <w:t xml:space="preserve">sset-basierten Finanzierungsformen sowie die häufigere Verwendung von Innenfinanzierung darauf hin, dass Kleinstunternehmen Komplikationen beim Erlangen externer Finanzierung haben. Die höhere Informationsasymmetrie und die damit einhergehenden Probleme wie Moral Hazard und adverse Selektion haben zur Folge, </w:t>
      </w:r>
      <w:r w:rsidR="00A416DE">
        <w:t xml:space="preserve">dass Kleinstunternehmen </w:t>
      </w:r>
      <w:r w:rsidR="00960C77">
        <w:t xml:space="preserve">auf höhere Kosten und häufigere Ablehnung bei verschiedenen externen Finanzierungsquellen </w:t>
      </w:r>
      <w:r>
        <w:t>stoßen</w:t>
      </w:r>
      <w:r w:rsidR="00960C77">
        <w:t>.</w:t>
      </w:r>
      <w:r w:rsidR="00937340">
        <w:rPr>
          <w:rStyle w:val="Funotenzeichen"/>
        </w:rPr>
        <w:footnoteReference w:id="110"/>
      </w:r>
      <w:r w:rsidR="00980652">
        <w:t xml:space="preserve"> Dieser Zusammenhang wird durch die Ergebnisse </w:t>
      </w:r>
      <w:r>
        <w:t>unterstützt</w:t>
      </w:r>
      <w:r w:rsidR="00980652">
        <w:t>.</w:t>
      </w:r>
    </w:p>
    <w:p w14:paraId="41ED3710" w14:textId="4A8FCEF5" w:rsidR="00BD0E88" w:rsidRDefault="00BD0E88" w:rsidP="00234455">
      <w:pPr>
        <w:spacing w:after="120"/>
      </w:pPr>
      <w:r>
        <w:t xml:space="preserve">Ferner sind statistisch signifikante Erkenntnisse basierend auf den Kontrollvariablen zu finden. So </w:t>
      </w:r>
      <w:r w:rsidR="004E37B3">
        <w:t>nutzen jüngere Unternehmen seltener flexible Schuldenfinanzierung als Ältere. Dies steht im Einklang mit Chavis et al. (2011), wonach bei kleineren Unternehmen die Verwendung von informeller Finanzierung im Laufe der Zeit durch Bankenfinanzierung substituiert wird</w:t>
      </w:r>
      <w:r w:rsidR="001E078A">
        <w:t xml:space="preserve">. </w:t>
      </w:r>
      <w:r w:rsidR="00607054">
        <w:t xml:space="preserve">So spielen Informationsasymmetrien </w:t>
      </w:r>
      <w:r w:rsidR="00046B07">
        <w:t>bei jüngeren Unternehmen eine größere Rolle</w:t>
      </w:r>
      <w:r w:rsidR="004E37B3">
        <w:t>.</w:t>
      </w:r>
      <w:r w:rsidR="004E37B3">
        <w:rPr>
          <w:rStyle w:val="Funotenzeichen"/>
        </w:rPr>
        <w:footnoteReference w:id="111"/>
      </w:r>
    </w:p>
    <w:p w14:paraId="2C947184" w14:textId="77777777" w:rsidR="00D1305C" w:rsidRDefault="00607054" w:rsidP="00234455">
      <w:pPr>
        <w:spacing w:after="120"/>
      </w:pPr>
      <w:r>
        <w:t>Außerdem nutzen Unternehmen,</w:t>
      </w:r>
      <w:r w:rsidRPr="00A51DFF">
        <w:t xml:space="preserve"> </w:t>
      </w:r>
      <w:r>
        <w:t>bei denen die</w:t>
      </w:r>
      <w:r w:rsidRPr="00A51DFF">
        <w:t xml:space="preserve"> größten Anteileigner Venture Capitalists / Business Angels und Familien / Entrepreneure sind, seltener Innenfinanzierung</w:t>
      </w:r>
      <w:r>
        <w:t xml:space="preserve">. Es ist intuitiv, dass VC / BAs Eigenkapital einbringen während im Falle von Familien / Entrepreneuren informelle Finanzierungsquellen, wie etwa </w:t>
      </w:r>
      <w:r w:rsidRPr="00D172F3">
        <w:t>Darlehen von Freunden und Familie, zugehörigen Unternehmen oder Anteilseignern</w:t>
      </w:r>
      <w:r>
        <w:t xml:space="preserve"> häufiger verwenden werden. Durch die seltene Verwendung dieser Finanzierungsquellen konnte dieser konkrete Zusammenhang nicht explizit überprüft werden, stellt jedoch einen Ausblick für die künftige Forschung dar.</w:t>
      </w:r>
      <w:r w:rsidR="00D1305C">
        <w:t xml:space="preserve"> </w:t>
      </w:r>
    </w:p>
    <w:p w14:paraId="34ADC692" w14:textId="6AC1EC55" w:rsidR="00321033" w:rsidRPr="00F8601C" w:rsidRDefault="0092429D" w:rsidP="00234455">
      <w:pPr>
        <w:spacing w:after="120"/>
        <w:rPr>
          <w:rFonts w:ascii="AdvOT46dcae81" w:hAnsi="AdvOT46dcae81" w:hint="eastAsia"/>
          <w:color w:val="000000"/>
          <w:sz w:val="20"/>
          <w:szCs w:val="20"/>
        </w:rPr>
      </w:pPr>
      <w:r>
        <w:lastRenderedPageBreak/>
        <w:t xml:space="preserve">Zusätzlich </w:t>
      </w:r>
      <w:r w:rsidR="00A87FBB">
        <w:t>ist es auffällig, dass</w:t>
      </w:r>
      <w:r w:rsidR="00321033">
        <w:t xml:space="preserve"> Unternehmen</w:t>
      </w:r>
      <w:r>
        <w:t>, die ein in den letzten zwölf Monaten ein deutlich verbessertes Produkt / Service veröffentlicht haben, häufiger Zuschüsse erhalten und seltener innenfinanziert sind.</w:t>
      </w:r>
      <w:r w:rsidR="00A87FBB">
        <w:t xml:space="preserve"> </w:t>
      </w:r>
      <w:r w:rsidR="005100D0">
        <w:t>Es liegt nahe, dass solche Unternehmen einen hohen Bedarf an Forschungs- und Entwicklungsinvestitionen haben, welcher nicht durch interne Mittel gedeckt werden kann.</w:t>
      </w:r>
      <w:r w:rsidR="00C74FDC">
        <w:t xml:space="preserve"> Dazu werden innovative Unternehmen häufig durch die öffentliche Hand subventioniert aufgrund der fehlenden Anreize des privaten Sektors.</w:t>
      </w:r>
      <w:r w:rsidR="00C74FDC">
        <w:rPr>
          <w:rStyle w:val="Funotenzeichen"/>
        </w:rPr>
        <w:footnoteReference w:id="112"/>
      </w:r>
    </w:p>
    <w:p w14:paraId="060D6239" w14:textId="1A56A6BB" w:rsidR="00E22291" w:rsidRPr="00AD16F9" w:rsidRDefault="00E22291" w:rsidP="001A4E15">
      <w:pPr>
        <w:pStyle w:val="berschrift2"/>
        <w:numPr>
          <w:ilvl w:val="0"/>
          <w:numId w:val="5"/>
        </w:numPr>
        <w:spacing w:after="120" w:line="240" w:lineRule="auto"/>
        <w:ind w:left="425" w:hanging="425"/>
      </w:pPr>
      <w:bookmarkStart w:id="62" w:name="_Toc88425845"/>
      <w:r>
        <w:t>Limitationen und Ausblick</w:t>
      </w:r>
      <w:bookmarkEnd w:id="62"/>
    </w:p>
    <w:p w14:paraId="43674BB6" w14:textId="1A382692" w:rsidR="00A42B91" w:rsidRDefault="00A42B91" w:rsidP="00234455">
      <w:pPr>
        <w:spacing w:after="120"/>
      </w:pPr>
      <w:r>
        <w:t xml:space="preserve">Aufgrund der Natur einer Umfrage als Möglichkeit der Datenerhebung, ergeben sich Schwierigkeiten durch mögliche Verzerrungen in der Beantwortung der Umfrage. In Anbetracht der freiwilligen Teilnahme der befragten Unternehmen, somit auch der möglichen Aussagekraft dieser Teilnahme und der nicht-Kontrollierbarkeit der Antworten kann keine Aussage über die Genauigkeit der Ergebnisse getroffen werden. Zudem erfolgt durch die Umfrage keine Angabe über die Höhe und die Häufigkeit der Finanzierungsquellen der einzelnen Unternehmen. </w:t>
      </w:r>
    </w:p>
    <w:p w14:paraId="6CD05344" w14:textId="3725B827" w:rsidR="00A42B91" w:rsidRDefault="006C3E31" w:rsidP="00234455">
      <w:pPr>
        <w:spacing w:after="120"/>
      </w:pPr>
      <w:r>
        <w:t>Des Weiteren</w:t>
      </w:r>
      <w:r w:rsidR="00A42B91">
        <w:t xml:space="preserve"> umfasst die Analyse lediglich Finanzierungsquellen der letzten sechs Monate und ist damit gegebenenfalls nicht repräsentativ für die langfristige Finanzierungs</w:t>
      </w:r>
      <w:r w:rsidR="00F47753">
        <w:t>muster</w:t>
      </w:r>
      <w:r w:rsidR="00A42B91">
        <w:t xml:space="preserve"> der Unternehmen und beinhalten eventuelle kurzfristige mikro- und makroökonomische Beeinflussungen. Für eine Aussage hierüber, müsste die Analyse einen längeren Zeitraum umfassen. Ebenfalls </w:t>
      </w:r>
      <w:r w:rsidR="00422FBE">
        <w:t>unterscheidet sich die Verteilung nach Unternehmensgröße in der Stichprobe signifikant von der Grundgesamtheit, was in der Analyse nicht berücksichtigt wurde</w:t>
      </w:r>
      <w:r w:rsidR="00A42B91">
        <w:t>.</w:t>
      </w:r>
      <w:r w:rsidR="00A42B91">
        <w:rPr>
          <w:rStyle w:val="Funotenzeichen"/>
        </w:rPr>
        <w:footnoteReference w:id="113"/>
      </w:r>
      <w:r w:rsidR="00A42B91">
        <w:t xml:space="preserve"> </w:t>
      </w:r>
    </w:p>
    <w:p w14:paraId="0F1742DB" w14:textId="2D25E49D" w:rsidR="00A42B91" w:rsidRDefault="00A42B91" w:rsidP="00234455">
      <w:pPr>
        <w:spacing w:after="120"/>
      </w:pPr>
      <w:r>
        <w:t xml:space="preserve">Bezogen speziell auf die Methodik zur Beantwortung der Forschungsfrage stellt die Clusterzuordnung eine Limitation dar, da </w:t>
      </w:r>
      <w:r w:rsidR="00E31557">
        <w:t>die Erkenntnisse der Regression</w:t>
      </w:r>
      <w:r w:rsidR="00FD735B">
        <w:t xml:space="preserve"> </w:t>
      </w:r>
      <w:r w:rsidR="00E31557">
        <w:t xml:space="preserve">auf der Methodik der Clusteranalyse </w:t>
      </w:r>
      <w:r>
        <w:t xml:space="preserve">beruht. </w:t>
      </w:r>
      <w:r w:rsidR="00E31557">
        <w:t>So entsteht unter anderem durch eine unterschiedliche</w:t>
      </w:r>
      <w:r>
        <w:t xml:space="preserve"> Anzahl der Cluster eine andere Clusterzuordnung, </w:t>
      </w:r>
      <w:r w:rsidR="00FD735B">
        <w:t xml:space="preserve">die wiederum </w:t>
      </w:r>
      <w:r>
        <w:t xml:space="preserve">andere </w:t>
      </w:r>
      <w:r w:rsidR="00E31557">
        <w:t>Forschungse</w:t>
      </w:r>
      <w:r>
        <w:t xml:space="preserve">rgebnisse hervorrufen kann, wie </w:t>
      </w:r>
      <w:r w:rsidR="00F47753">
        <w:t>im Vergleich mit Masiak et a</w:t>
      </w:r>
      <w:r w:rsidR="008C7403">
        <w:t>l</w:t>
      </w:r>
      <w:r w:rsidR="00F47753">
        <w:t>. (</w:t>
      </w:r>
      <w:r w:rsidR="008C7403">
        <w:t>2019</w:t>
      </w:r>
      <w:r w:rsidR="00F47753">
        <w:t>)</w:t>
      </w:r>
      <w:r w:rsidR="008C7403">
        <w:t xml:space="preserve"> und Moritz et al. (2016)</w:t>
      </w:r>
      <w:r>
        <w:t xml:space="preserve"> sichtbar wird.</w:t>
      </w:r>
    </w:p>
    <w:p w14:paraId="0A6C7572" w14:textId="77777777" w:rsidR="00A42B91" w:rsidRDefault="00A42B91" w:rsidP="00234455">
      <w:pPr>
        <w:spacing w:after="120"/>
      </w:pPr>
      <w:r>
        <w:t xml:space="preserve">Ein Ausblick für die künftige Forschung wäre eine Analyse der Bilanzen einzelner Unternehmen, um Aufschluss über die Häufigkeit, Höhe, als auch die relative </w:t>
      </w:r>
      <w:r>
        <w:lastRenderedPageBreak/>
        <w:t xml:space="preserve">Wichtigkeit der jeweiligen Finanzierungsquellen unter Berücksichtigung der Unternehmensgröße zu erhalten. </w:t>
      </w:r>
    </w:p>
    <w:p w14:paraId="7DE25E7E" w14:textId="3F2DEA7C" w:rsidR="00A42B91" w:rsidRDefault="00A42B91" w:rsidP="00234455">
      <w:pPr>
        <w:spacing w:after="120"/>
      </w:pPr>
      <w:r>
        <w:t>Um die Stabilität der Finanzierungsmuster in der langen Frist zu analysieren, könnten Paneldaten untersucht werden</w:t>
      </w:r>
      <w:r w:rsidR="001328B0">
        <w:t xml:space="preserve">, die </w:t>
      </w:r>
      <w:r>
        <w:t>zudem Einflüsse wie das Alter der Unternehmen inkorporiere</w:t>
      </w:r>
      <w:r w:rsidR="008B28FE">
        <w:t xml:space="preserve">n, ähnlich wie in </w:t>
      </w:r>
      <w:r w:rsidR="001328B0">
        <w:t>Chavis et al. (2011)</w:t>
      </w:r>
      <w:r w:rsidR="008B28FE">
        <w:t>.</w:t>
      </w:r>
      <w:r w:rsidR="001C5567">
        <w:t xml:space="preserve"> </w:t>
      </w:r>
      <w:r w:rsidR="00D73CD3">
        <w:t>So können Substitutionseffekte und sonstige Änderungen im Finanzierungsverhalten im Zusammenhang mit unter anderem</w:t>
      </w:r>
      <w:r w:rsidR="00F75AE5">
        <w:t xml:space="preserve"> </w:t>
      </w:r>
      <w:r w:rsidR="00D73CD3">
        <w:t>Unternehmensgröße und -alter analysiert werden.</w:t>
      </w:r>
    </w:p>
    <w:p w14:paraId="704FFDEF" w14:textId="289A46FC" w:rsidR="00A42B91" w:rsidRDefault="00A42B91" w:rsidP="00234455">
      <w:pPr>
        <w:spacing w:after="120"/>
      </w:pPr>
      <w:r>
        <w:t xml:space="preserve">Ein weiterer möglicher Ausblick für die künftige Forschung ist die globale Ausweitung der Umfrage. Für eine Validität der Ergebnisse bezogen auf die Finanzierung von Kleinstunternehmen im Vergleich zu kleinen und mittleren Unternehmen in ihrer Gesamtheit, müsste die Umfrage global ausgeweitet werden, da diese Finanzierungsquellen länderabhängig sein könnten. Beispielsweise stellen </w:t>
      </w:r>
      <w:r w:rsidRPr="008D0349">
        <w:t xml:space="preserve">Mikrokredite in </w:t>
      </w:r>
      <w:r w:rsidR="006D29FB" w:rsidRPr="008D0349">
        <w:t>Schwellenländern</w:t>
      </w:r>
      <w:r w:rsidRPr="008D0349">
        <w:t xml:space="preserve"> eine wichtige Finanzierungsquelle dar</w:t>
      </w:r>
      <w:r w:rsidR="006D29FB" w:rsidRPr="008D0349">
        <w:t xml:space="preserve"> und</w:t>
      </w:r>
      <w:r w:rsidR="00EF5D03" w:rsidRPr="008D0349">
        <w:t xml:space="preserve"> </w:t>
      </w:r>
      <w:r w:rsidR="008D0349" w:rsidRPr="008D0349">
        <w:t>entwickel</w:t>
      </w:r>
      <w:r w:rsidR="008D0349">
        <w:t>n sich auch zunehmend</w:t>
      </w:r>
      <w:r w:rsidR="00EF5D03">
        <w:t xml:space="preserve"> in Europa</w:t>
      </w:r>
      <w:r w:rsidR="006D29FB">
        <w:t>.</w:t>
      </w:r>
      <w:r w:rsidR="006D29FB">
        <w:rPr>
          <w:rStyle w:val="Funotenzeichen"/>
        </w:rPr>
        <w:footnoteReference w:id="114"/>
      </w:r>
      <w:r w:rsidR="006D29FB">
        <w:t xml:space="preserve"> Diese</w:t>
      </w:r>
      <w:r>
        <w:t xml:space="preserve"> </w:t>
      </w:r>
      <w:r w:rsidR="006D29FB">
        <w:t>werden jedoch</w:t>
      </w:r>
      <w:r>
        <w:t xml:space="preserve"> in der SAFE Umfrage nicht gesondert analysiert. Für die mögliche Ausweitung der Umfrage, als auch für den vorliegenden SAFE Datensatz wird weiterführend empfohlen länderspezifische makroökonomische Kontrollvariablen in die Regression einzuführen, um für die Heterogenität der Länderentwicklungen zu kontrollieren.</w:t>
      </w:r>
    </w:p>
    <w:p w14:paraId="47CDA4E6" w14:textId="21C879D7" w:rsidR="00A42B91" w:rsidRDefault="00A42B91" w:rsidP="005D71DE">
      <w:pPr>
        <w:spacing w:after="120"/>
      </w:pPr>
      <w:r>
        <w:t xml:space="preserve">Die COVID-19 Pandemie hat neue Forschungsstränge in diversen Disziplinen eröffnet, mitunter die Möglichkeit der Erforschung der Anforderungen der Pandemie an die Liquidität von Unternehmen jeglicher Größe. Wie bereits im </w:t>
      </w:r>
      <w:hyperlink r:id="rId12" w:anchor="_Datenquelle_und_Aufbau" w:history="1">
        <w:r w:rsidRPr="00D25E82">
          <w:t xml:space="preserve">Abschnitt </w:t>
        </w:r>
      </w:hyperlink>
      <w:r w:rsidR="002E3109">
        <w:fldChar w:fldCharType="begin"/>
      </w:r>
      <w:r w:rsidR="002E3109">
        <w:instrText xml:space="preserve"> REF _Ref88426015 \r \h </w:instrText>
      </w:r>
      <w:r w:rsidR="002E3109">
        <w:fldChar w:fldCharType="separate"/>
      </w:r>
      <w:r w:rsidR="00285390">
        <w:t>3.1</w:t>
      </w:r>
      <w:r w:rsidR="002E3109">
        <w:fldChar w:fldCharType="end"/>
      </w:r>
      <w:r>
        <w:t xml:space="preserve"> erwähnt, werden in der Literatur unter anderem bereits die Finanzierungsmaßnahmen während der Pandemie und die politischen Interventionen zur Stabilisierung der Wirtschaft diskutiert.</w:t>
      </w:r>
      <w:r>
        <w:rPr>
          <w:rStyle w:val="Funotenzeichen"/>
        </w:rPr>
        <w:footnoteReference w:id="115"/>
      </w:r>
      <w:r>
        <w:t xml:space="preserve"> Ein Vorschlag für die künftige Forschung wäre der Fokus auf die Finanzierungsmuster der KMUs über die gesamte, </w:t>
      </w:r>
      <w:r w:rsidR="000451EF">
        <w:t xml:space="preserve">gegenwärtig </w:t>
      </w:r>
      <w:r>
        <w:t xml:space="preserve">noch andauernde, Länge der Pandemie, um die Möglichkeiten der Auswirkungen auf Unternehmen dieser Größe und die staatlichen Maßnahmen und deren Effektivität zu erläutern. </w:t>
      </w:r>
      <w:r w:rsidRPr="005D71DE">
        <w:t>Dies wäre</w:t>
      </w:r>
      <w:r w:rsidR="005D71DE" w:rsidRPr="005D71DE">
        <w:t xml:space="preserve"> gerade im Hinblick auf den Ursprung der Krise interessant, da diese im Vergleich</w:t>
      </w:r>
      <w:r w:rsidR="00EF4B07">
        <w:t xml:space="preserve"> </w:t>
      </w:r>
      <w:r w:rsidR="005D71DE" w:rsidRPr="005D71DE">
        <w:t xml:space="preserve">zu vorherigen </w:t>
      </w:r>
      <w:r w:rsidR="00EF4B07" w:rsidRPr="005D71DE">
        <w:t>Kr</w:t>
      </w:r>
      <w:r w:rsidR="00EF4B07">
        <w:t>i</w:t>
      </w:r>
      <w:r w:rsidR="00EF4B07" w:rsidRPr="005D71DE">
        <w:t>sen</w:t>
      </w:r>
      <w:r w:rsidR="005D71DE" w:rsidRPr="005D71DE">
        <w:t xml:space="preserve"> nicht im</w:t>
      </w:r>
      <w:r w:rsidRPr="005D71DE">
        <w:t xml:space="preserve"> Finanzsektor </w:t>
      </w:r>
      <w:r w:rsidR="005D71DE" w:rsidRPr="005D71DE">
        <w:t>entstand</w:t>
      </w:r>
      <w:r w:rsidRPr="005D71DE">
        <w:t>.</w:t>
      </w:r>
      <w:r w:rsidRPr="005D71DE">
        <w:rPr>
          <w:rStyle w:val="Funotenzeichen"/>
        </w:rPr>
        <w:footnoteReference w:id="116"/>
      </w:r>
      <w:r w:rsidRPr="005D71DE">
        <w:t xml:space="preserve"> Es würde ebenfalls</w:t>
      </w:r>
      <w:r>
        <w:t xml:space="preserve">, aufgrund der </w:t>
      </w:r>
      <w:r w:rsidR="00D25E82">
        <w:lastRenderedPageBreak/>
        <w:t>p</w:t>
      </w:r>
      <w:r>
        <w:t>hasenartigen Entwicklung der Pandemie, die kurz- und langfristigen Reaktionen der Unternehmen auf konkrete Maßnahmen aufzeigen können.</w:t>
      </w:r>
    </w:p>
    <w:p w14:paraId="63637117" w14:textId="5FA89D77" w:rsidR="00234455" w:rsidRDefault="006937CA" w:rsidP="001A4E15">
      <w:pPr>
        <w:pStyle w:val="berschrift1"/>
        <w:numPr>
          <w:ilvl w:val="0"/>
          <w:numId w:val="2"/>
        </w:numPr>
      </w:pPr>
      <w:bookmarkStart w:id="63" w:name="_Toc88425846"/>
      <w:r>
        <w:t>Zusammenfassung und Fazit</w:t>
      </w:r>
      <w:bookmarkEnd w:id="63"/>
    </w:p>
    <w:p w14:paraId="44CB3C44" w14:textId="36B3CFEE" w:rsidR="000E136D" w:rsidRDefault="00EB1007" w:rsidP="00C046A2">
      <w:pPr>
        <w:spacing w:after="120"/>
      </w:pPr>
      <w:r>
        <w:t xml:space="preserve">Im Verlauf dieser Arbeit wurden die Unterschiede der Finanzierungsmuster von Kleinstunternehmen im Vergleich </w:t>
      </w:r>
      <w:r w:rsidR="00345F6D">
        <w:t>zu</w:t>
      </w:r>
      <w:r>
        <w:t xml:space="preserve"> kleinen und mittleren Unternehmen untersucht</w:t>
      </w:r>
      <w:r w:rsidR="000E136D">
        <w:t>.</w:t>
      </w:r>
    </w:p>
    <w:p w14:paraId="24582F15" w14:textId="74B09EAF" w:rsidR="00A34A72" w:rsidRDefault="000E136D" w:rsidP="00C046A2">
      <w:pPr>
        <w:spacing w:after="120"/>
      </w:pPr>
      <w:r>
        <w:t xml:space="preserve">Dabei wurden zunächst in Kapitel </w:t>
      </w:r>
      <w:r>
        <w:fldChar w:fldCharType="begin"/>
      </w:r>
      <w:r>
        <w:instrText xml:space="preserve"> REF _Ref88428095 \r \h </w:instrText>
      </w:r>
      <w:r w:rsidR="00C046A2">
        <w:instrText xml:space="preserve"> \* MERGEFORMAT </w:instrText>
      </w:r>
      <w:r>
        <w:fldChar w:fldCharType="separate"/>
      </w:r>
      <w:r w:rsidR="00285390">
        <w:t>2</w:t>
      </w:r>
      <w:r>
        <w:fldChar w:fldCharType="end"/>
      </w:r>
      <w:r>
        <w:t xml:space="preserve"> </w:t>
      </w:r>
      <w:r w:rsidR="00345F6D">
        <w:t>in einer Literaturübersicht die Merkmale von Kleinstunternehmen sowie die bisherige Literatur</w:t>
      </w:r>
      <w:r>
        <w:t xml:space="preserve"> </w:t>
      </w:r>
      <w:r w:rsidR="00C046A2">
        <w:t xml:space="preserve">zu deren Finanzierung dargestellt. So </w:t>
      </w:r>
      <w:r w:rsidR="00A34A72">
        <w:t>werden</w:t>
      </w:r>
      <w:r w:rsidR="00C046A2">
        <w:t xml:space="preserve"> diese</w:t>
      </w:r>
      <w:r w:rsidR="0069465C">
        <w:t xml:space="preserve"> durch höhere Informationsasymmetrien</w:t>
      </w:r>
      <w:r w:rsidR="00C046A2">
        <w:t xml:space="preserve"> häufig</w:t>
      </w:r>
      <w:r w:rsidR="00A34A72">
        <w:t>er bei Darlehensanträgen abgelehnt und verzichten oftmals</w:t>
      </w:r>
      <w:r w:rsidR="0029460C">
        <w:t xml:space="preserve"> externe Finanzierungsquellen.</w:t>
      </w:r>
      <w:r w:rsidR="00C046A2">
        <w:t xml:space="preserve"> </w:t>
      </w:r>
    </w:p>
    <w:p w14:paraId="471F1085" w14:textId="30A841AA" w:rsidR="00F3361B" w:rsidRDefault="00A34A72" w:rsidP="00C046A2">
      <w:pPr>
        <w:spacing w:after="120"/>
      </w:pPr>
      <w:r>
        <w:t xml:space="preserve">In Kapitel </w:t>
      </w:r>
      <w:r>
        <w:fldChar w:fldCharType="begin"/>
      </w:r>
      <w:r>
        <w:instrText xml:space="preserve"> REF _Ref88428379 \r \h </w:instrText>
      </w:r>
      <w:r>
        <w:fldChar w:fldCharType="separate"/>
      </w:r>
      <w:r w:rsidR="00285390">
        <w:t>3</w:t>
      </w:r>
      <w:r>
        <w:fldChar w:fldCharType="end"/>
      </w:r>
      <w:r>
        <w:t xml:space="preserve"> wurden der SAFE Datensatz, die Clusteranalyse und die Regressionsanalyse ausführlich dargestellt. </w:t>
      </w:r>
      <w:r w:rsidR="00F3361B">
        <w:t>Hierbei ist zu beachten, dass das verwendete Distanzmaß und die Bestimmung der optimalen Clusterzahl von der Methodik in Masiak et al. (2019) abweichen.</w:t>
      </w:r>
    </w:p>
    <w:p w14:paraId="62A1A958" w14:textId="1115AACE" w:rsidR="00F3361B" w:rsidRPr="006A49A1" w:rsidRDefault="00F3361B" w:rsidP="00C046A2">
      <w:pPr>
        <w:spacing w:after="120"/>
        <w:rPr>
          <w:spacing w:val="-2"/>
        </w:rPr>
      </w:pPr>
      <w:r w:rsidRPr="006A49A1">
        <w:rPr>
          <w:spacing w:val="-2"/>
        </w:rPr>
        <w:t xml:space="preserve">Kapitel </w:t>
      </w:r>
      <w:r w:rsidRPr="006A49A1">
        <w:rPr>
          <w:spacing w:val="-2"/>
        </w:rPr>
        <w:fldChar w:fldCharType="begin"/>
      </w:r>
      <w:r w:rsidRPr="006A49A1">
        <w:rPr>
          <w:spacing w:val="-2"/>
        </w:rPr>
        <w:instrText xml:space="preserve"> REF _Ref88428683 \r \h </w:instrText>
      </w:r>
      <w:r w:rsidR="006A49A1">
        <w:rPr>
          <w:spacing w:val="-2"/>
        </w:rPr>
        <w:instrText xml:space="preserve"> \* MERGEFORMAT </w:instrText>
      </w:r>
      <w:r w:rsidRPr="006A49A1">
        <w:rPr>
          <w:spacing w:val="-2"/>
        </w:rPr>
      </w:r>
      <w:r w:rsidRPr="006A49A1">
        <w:rPr>
          <w:spacing w:val="-2"/>
        </w:rPr>
        <w:fldChar w:fldCharType="separate"/>
      </w:r>
      <w:r w:rsidR="00285390">
        <w:rPr>
          <w:spacing w:val="-2"/>
        </w:rPr>
        <w:t>4</w:t>
      </w:r>
      <w:r w:rsidRPr="006A49A1">
        <w:rPr>
          <w:spacing w:val="-2"/>
        </w:rPr>
        <w:fldChar w:fldCharType="end"/>
      </w:r>
      <w:r w:rsidRPr="006A49A1">
        <w:rPr>
          <w:spacing w:val="-2"/>
        </w:rPr>
        <w:t xml:space="preserve"> zeigt</w:t>
      </w:r>
      <w:r w:rsidR="002E0B15" w:rsidRPr="006A49A1">
        <w:rPr>
          <w:spacing w:val="-2"/>
        </w:rPr>
        <w:t>e</w:t>
      </w:r>
      <w:r w:rsidRPr="006A49A1">
        <w:rPr>
          <w:spacing w:val="-2"/>
        </w:rPr>
        <w:t xml:space="preserve"> die Ergebnisse der Clusteranalyse. Aus den Clustern wurden Finanzierungsmuster abgeleitet, die wiederum die Grundlage für die Hypothesen bildeten. Durch die unterschiedliche Clusterzuordnung bei den Finanzierungsmuster</w:t>
      </w:r>
      <w:r w:rsidR="00227B76" w:rsidRPr="006A49A1">
        <w:rPr>
          <w:spacing w:val="-2"/>
        </w:rPr>
        <w:t>n</w:t>
      </w:r>
      <w:r w:rsidRPr="006A49A1">
        <w:rPr>
          <w:spacing w:val="-2"/>
        </w:rPr>
        <w:t xml:space="preserve"> „Flexible Schuldenfinanzierung“ und „Darlehensfinanzierung“ wurden darauf aufbauend auch abweichende Hypothesen </w:t>
      </w:r>
      <w:r w:rsidR="006A49A1" w:rsidRPr="006A49A1">
        <w:rPr>
          <w:spacing w:val="-2"/>
        </w:rPr>
        <w:t>formuliert</w:t>
      </w:r>
      <w:r w:rsidRPr="006A49A1">
        <w:rPr>
          <w:spacing w:val="-2"/>
        </w:rPr>
        <w:t xml:space="preserve"> im Vergleich zu Masiak et al. (2019).</w:t>
      </w:r>
    </w:p>
    <w:p w14:paraId="6BB936EC" w14:textId="2F5CBB67" w:rsidR="00266C3F" w:rsidRDefault="00F3361B" w:rsidP="00C046A2">
      <w:pPr>
        <w:spacing w:after="120"/>
      </w:pPr>
      <w:r>
        <w:t xml:space="preserve">Die Ergebnisse der Regressionsanalyse </w:t>
      </w:r>
      <w:r w:rsidR="002E0B15">
        <w:t>wurden</w:t>
      </w:r>
      <w:r>
        <w:t xml:space="preserve"> in Kapitel </w:t>
      </w:r>
      <w:r>
        <w:fldChar w:fldCharType="begin"/>
      </w:r>
      <w:r>
        <w:instrText xml:space="preserve"> REF _Ref88428676 \r \h </w:instrText>
      </w:r>
      <w:r>
        <w:fldChar w:fldCharType="separate"/>
      </w:r>
      <w:r w:rsidR="00285390">
        <w:t>5</w:t>
      </w:r>
      <w:r>
        <w:fldChar w:fldCharType="end"/>
      </w:r>
      <w:r>
        <w:t xml:space="preserve"> dargestellt.</w:t>
      </w:r>
      <w:r w:rsidR="00227B76">
        <w:t xml:space="preserve"> Diese</w:t>
      </w:r>
      <w:r w:rsidR="000458E6">
        <w:t xml:space="preserve"> haben alle Hypothesen unterstützt und</w:t>
      </w:r>
      <w:r w:rsidR="00227B76">
        <w:t xml:space="preserve"> deuteten darauf hin, dass </w:t>
      </w:r>
      <w:r w:rsidR="000458E6">
        <w:t>Kleinstunternehmen eher Innenfinanzierung und flexible Schuldenfinanzierung</w:t>
      </w:r>
      <w:r w:rsidR="00266C3F">
        <w:t xml:space="preserve"> verwenden</w:t>
      </w:r>
      <w:r w:rsidR="000458E6">
        <w:t xml:space="preserve"> als Darlehen, Lieferantenkredite, Zuschüsse und Asset-basierte Finanzierungsformen. </w:t>
      </w:r>
    </w:p>
    <w:p w14:paraId="60BE31CE" w14:textId="4D626394" w:rsidR="00266C3F" w:rsidRDefault="00266C3F" w:rsidP="00C046A2">
      <w:pPr>
        <w:spacing w:after="120"/>
      </w:pPr>
      <w:r w:rsidRPr="00261966">
        <w:rPr>
          <w:spacing w:val="-2"/>
        </w:rPr>
        <w:t xml:space="preserve">Die Interpretation dieser Erkenntnisse erfolgte in Kapitel </w:t>
      </w:r>
      <w:r w:rsidRPr="00261966">
        <w:rPr>
          <w:spacing w:val="-2"/>
        </w:rPr>
        <w:fldChar w:fldCharType="begin"/>
      </w:r>
      <w:r w:rsidRPr="00261966">
        <w:rPr>
          <w:spacing w:val="-2"/>
        </w:rPr>
        <w:instrText xml:space="preserve"> REF _Ref88428884 \r \h </w:instrText>
      </w:r>
      <w:r w:rsidR="00261966">
        <w:rPr>
          <w:spacing w:val="-2"/>
        </w:rPr>
        <w:instrText xml:space="preserve"> \* MERGEFORMAT </w:instrText>
      </w:r>
      <w:r w:rsidRPr="00261966">
        <w:rPr>
          <w:spacing w:val="-2"/>
        </w:rPr>
      </w:r>
      <w:r w:rsidRPr="00261966">
        <w:rPr>
          <w:spacing w:val="-2"/>
        </w:rPr>
        <w:fldChar w:fldCharType="separate"/>
      </w:r>
      <w:r w:rsidR="00285390">
        <w:rPr>
          <w:spacing w:val="-2"/>
        </w:rPr>
        <w:t>6</w:t>
      </w:r>
      <w:r w:rsidRPr="00261966">
        <w:rPr>
          <w:spacing w:val="-2"/>
        </w:rPr>
        <w:fldChar w:fldCharType="end"/>
      </w:r>
      <w:r w:rsidRPr="00261966">
        <w:rPr>
          <w:spacing w:val="-2"/>
        </w:rPr>
        <w:t>. Dort wurden die Unterschiede</w:t>
      </w:r>
      <w:r>
        <w:t xml:space="preserve"> </w:t>
      </w:r>
      <w:r w:rsidRPr="00261966">
        <w:rPr>
          <w:spacing w:val="-2"/>
        </w:rPr>
        <w:t xml:space="preserve">zu Masiak et al. (2019) diskutiert und </w:t>
      </w:r>
      <w:r w:rsidR="006A49A1" w:rsidRPr="00261966">
        <w:rPr>
          <w:spacing w:val="-2"/>
        </w:rPr>
        <w:t>Verbindungen zur bestehenden Literatur hergestellt.</w:t>
      </w:r>
    </w:p>
    <w:p w14:paraId="3BC6B5F1" w14:textId="1E206E8A" w:rsidR="00241989" w:rsidRPr="00E22291" w:rsidRDefault="00266C3F" w:rsidP="00C046A2">
      <w:pPr>
        <w:spacing w:after="120"/>
      </w:pPr>
      <w:r>
        <w:t>Zusammenfassend</w:t>
      </w:r>
      <w:r w:rsidR="006A49A1">
        <w:t xml:space="preserve"> wurde durch das Forschungsvorhaben gezeigt, dass sich die Finanzierungsmuster der Kleinstunternehmen signifikant von kleinen und mittleren Unternehmen unterscheiden. Durch höhere Informationsasymmetrien stoßen Kleinstunternehmen häufiger auf Schwierigkeiten in der externen Finanzierung und greifen häufiger auf interne Mittel zurück. Zudem konnte gezeigt werden, dass Kleinstunternehmen </w:t>
      </w:r>
      <w:r w:rsidR="006A31A0">
        <w:t xml:space="preserve">häufiger </w:t>
      </w:r>
      <w:r w:rsidR="006A31A0" w:rsidRPr="006A31A0">
        <w:t xml:space="preserve">Kreditlinien, Überziehung von Bankkonten und Kreditkarten </w:t>
      </w:r>
      <w:r w:rsidR="006A31A0">
        <w:t>in Anspruch nehmen und seltener Darlehensfinanzierung verwenden.</w:t>
      </w:r>
      <w:r w:rsidR="00241989" w:rsidRPr="00E22291">
        <w:br w:type="page"/>
      </w:r>
    </w:p>
    <w:p w14:paraId="686E7A36" w14:textId="0BE095AD" w:rsidR="007742F4" w:rsidRPr="0003126D" w:rsidRDefault="007742F4" w:rsidP="007742F4">
      <w:pPr>
        <w:pStyle w:val="berschrift1"/>
        <w:numPr>
          <w:ilvl w:val="0"/>
          <w:numId w:val="0"/>
        </w:numPr>
        <w:rPr>
          <w:lang w:val="en-US"/>
        </w:rPr>
      </w:pPr>
      <w:bookmarkStart w:id="64" w:name="_Toc88425847"/>
      <w:r w:rsidRPr="0003126D">
        <w:rPr>
          <w:lang w:val="en-US"/>
        </w:rPr>
        <w:lastRenderedPageBreak/>
        <w:t>Literaturverzeichnis</w:t>
      </w:r>
      <w:bookmarkEnd w:id="64"/>
    </w:p>
    <w:p w14:paraId="01F7BA77" w14:textId="77777777" w:rsidR="00B00121" w:rsidRPr="00B00121" w:rsidRDefault="007742F4" w:rsidP="00B00121">
      <w:pPr>
        <w:pStyle w:val="Literaturverzeichnis"/>
        <w:rPr>
          <w:lang w:val="en-US"/>
        </w:rPr>
      </w:pPr>
      <w:r w:rsidRPr="008F61A3">
        <w:fldChar w:fldCharType="begin"/>
      </w:r>
      <w:r w:rsidR="00B00121">
        <w:rPr>
          <w:lang w:val="en-US"/>
        </w:rPr>
        <w:instrText xml:space="preserve"> ADDIN ZOTERO_BIBL {"uncited":[],"omitted":[],"custom":[]} CSL_BIBLIOGRAPHY </w:instrText>
      </w:r>
      <w:r w:rsidRPr="008F61A3">
        <w:fldChar w:fldCharType="separate"/>
      </w:r>
      <w:r w:rsidR="00B00121" w:rsidRPr="00B00121">
        <w:rPr>
          <w:lang w:val="en-US"/>
        </w:rPr>
        <w:t>Abdulsaleh, A.M. / Worthington, A.C. (2013): Small and Medium-Sized Enterprises Financing: A Review of Literature. In: International Journal of Business and Management 8(14), 36–54. DOI: 10.5539/ijbm.v8n14p36.</w:t>
      </w:r>
    </w:p>
    <w:p w14:paraId="17B92354" w14:textId="77777777" w:rsidR="00B00121" w:rsidRPr="00B00121" w:rsidRDefault="00B00121" w:rsidP="00B00121">
      <w:pPr>
        <w:pStyle w:val="Literaturverzeichnis"/>
        <w:rPr>
          <w:lang w:val="en-US"/>
        </w:rPr>
      </w:pPr>
      <w:r w:rsidRPr="00B00121">
        <w:rPr>
          <w:lang w:val="en-US"/>
        </w:rPr>
        <w:t>Abu-Jamous, B. et al. (2015): Integrative Cluster Analysis in Bioinformatics: Nandi/Integrative Cluster Analysis in Bioinformatics. 1. Auflage, John Wiley &amp; Sons, Ltd, Chichester, UK. DOI: 10.1002/9781118906545.</w:t>
      </w:r>
    </w:p>
    <w:p w14:paraId="348D02EE" w14:textId="77777777" w:rsidR="00B00121" w:rsidRDefault="00B00121" w:rsidP="00B00121">
      <w:pPr>
        <w:pStyle w:val="Literaturverzeichnis"/>
      </w:pPr>
      <w:r w:rsidRPr="00B00121">
        <w:rPr>
          <w:lang w:val="en-US"/>
        </w:rPr>
        <w:t xml:space="preserve">Baas, T. / Schrooten, M. (2006): Relationship Banking and SMEs: A Theoretical Analysis. </w:t>
      </w:r>
      <w:r>
        <w:t>In: Small Business Economics 27(2), 127–137.</w:t>
      </w:r>
    </w:p>
    <w:p w14:paraId="20B62B9C" w14:textId="77777777" w:rsidR="00B00121" w:rsidRPr="00B00121" w:rsidRDefault="00B00121" w:rsidP="00B00121">
      <w:pPr>
        <w:pStyle w:val="Literaturverzeichnis"/>
        <w:rPr>
          <w:lang w:val="en-US"/>
        </w:rPr>
      </w:pPr>
      <w:r>
        <w:t xml:space="preserve">Backhaus, K. et al. (2018): Multivariate Analysemethoden: Eine anwendungsorientierte Einführung. 1. Auflage, Springer, Berlin. </w:t>
      </w:r>
      <w:r w:rsidRPr="00B00121">
        <w:rPr>
          <w:lang w:val="en-US"/>
        </w:rPr>
        <w:t>DOI: 10.1007/978-3-662-56655-8.</w:t>
      </w:r>
    </w:p>
    <w:p w14:paraId="07B3B1EA" w14:textId="77777777" w:rsidR="00B00121" w:rsidRPr="00B00121" w:rsidRDefault="00B00121" w:rsidP="00B00121">
      <w:pPr>
        <w:pStyle w:val="Literaturverzeichnis"/>
        <w:rPr>
          <w:lang w:val="en-US"/>
        </w:rPr>
      </w:pPr>
      <w:r w:rsidRPr="00B00121">
        <w:rPr>
          <w:lang w:val="en-US"/>
        </w:rPr>
        <w:t xml:space="preserve">Beck, T. (2008): Financing patterns around the world: Are small </w:t>
      </w:r>
      <w:r>
        <w:t>ﬁ</w:t>
      </w:r>
      <w:r w:rsidRPr="00B00121">
        <w:rPr>
          <w:lang w:val="en-US"/>
        </w:rPr>
        <w:t>rms different? In: Journal of Financial Economics 89, 467–487.</w:t>
      </w:r>
    </w:p>
    <w:p w14:paraId="13BD1C9D" w14:textId="77777777" w:rsidR="00B00121" w:rsidRPr="00B00121" w:rsidRDefault="00B00121" w:rsidP="00B00121">
      <w:pPr>
        <w:pStyle w:val="Literaturverzeichnis"/>
        <w:rPr>
          <w:lang w:val="en-US"/>
        </w:rPr>
      </w:pPr>
      <w:r w:rsidRPr="00B00121">
        <w:rPr>
          <w:lang w:val="en-US"/>
        </w:rPr>
        <w:t>Berger, A.N. / Udell, G.F. (1998): The economics of small business finance: The roles of private equity and debt markets in the financial growth cycle. In: Journal of banking &amp; finance 22(6), 613–673. DOI: 10.1016/S0378-4266(98)00038-7.</w:t>
      </w:r>
    </w:p>
    <w:p w14:paraId="58FF7083" w14:textId="77777777" w:rsidR="00B00121" w:rsidRPr="00B00121" w:rsidRDefault="00B00121" w:rsidP="00B00121">
      <w:pPr>
        <w:pStyle w:val="Literaturverzeichnis"/>
        <w:rPr>
          <w:lang w:val="en-US"/>
        </w:rPr>
      </w:pPr>
      <w:r w:rsidRPr="00B00121">
        <w:rPr>
          <w:lang w:val="en-US"/>
        </w:rPr>
        <w:t>Blashfield, R.K. (1976): Mixture Model Tests of Cluster Analysis: Accuracy of Four Agglomerative Hierarchical Methods. In: Psychological Bulletin 83(3), 377–388.</w:t>
      </w:r>
    </w:p>
    <w:p w14:paraId="5A8C3FFF" w14:textId="77777777" w:rsidR="00B00121" w:rsidRPr="00B00121" w:rsidRDefault="00B00121" w:rsidP="00B00121">
      <w:pPr>
        <w:pStyle w:val="Literaturverzeichnis"/>
        <w:rPr>
          <w:lang w:val="en-US"/>
        </w:rPr>
      </w:pPr>
      <w:r w:rsidRPr="00B00121">
        <w:rPr>
          <w:lang w:val="en-US"/>
        </w:rPr>
        <w:t>Block, J.H. (2012): R&amp;D investments in family and founder firms: An agency perspective. In: Journal of Business Venturing 27(2), 248–265. DOI: 10.1016/j.jbusvent.2010.09.003.</w:t>
      </w:r>
    </w:p>
    <w:p w14:paraId="517FF918" w14:textId="77777777" w:rsidR="00B00121" w:rsidRPr="00B00121" w:rsidRDefault="00B00121" w:rsidP="00B00121">
      <w:pPr>
        <w:pStyle w:val="Literaturverzeichnis"/>
        <w:rPr>
          <w:lang w:val="en-US"/>
        </w:rPr>
      </w:pPr>
      <w:r w:rsidRPr="00B00121">
        <w:rPr>
          <w:lang w:val="en-US"/>
        </w:rPr>
        <w:t>Bradley, M. et al. (1984): On the Existence of an Optimal Capital Structure: Theory and Evidence. In: The Journal of Finance 39(2), 857–878.</w:t>
      </w:r>
    </w:p>
    <w:p w14:paraId="3583F74B" w14:textId="77777777" w:rsidR="00B00121" w:rsidRPr="00B00121" w:rsidRDefault="00B00121" w:rsidP="00B00121">
      <w:pPr>
        <w:pStyle w:val="Literaturverzeichnis"/>
        <w:rPr>
          <w:lang w:val="en-US"/>
        </w:rPr>
      </w:pPr>
      <w:r w:rsidRPr="00B00121">
        <w:rPr>
          <w:lang w:val="en-US"/>
        </w:rPr>
        <w:t>Cappellari, L. / Jenkins, S.P. (2003): Multivariate Probit Regression using Simulated Maximum Likelihood. In: The Stata Journal: Promoting communications on statistics and Stata 3(3), 278–294. DOI: 10.1177/1536867X0300300305.</w:t>
      </w:r>
    </w:p>
    <w:p w14:paraId="22B2CF77" w14:textId="77777777" w:rsidR="00B00121" w:rsidRPr="00B00121" w:rsidRDefault="00B00121" w:rsidP="00B00121">
      <w:pPr>
        <w:pStyle w:val="Literaturverzeichnis"/>
        <w:rPr>
          <w:lang w:val="en-US"/>
        </w:rPr>
      </w:pPr>
      <w:r w:rsidRPr="00B00121">
        <w:rPr>
          <w:lang w:val="en-US"/>
        </w:rPr>
        <w:t>Casey, E. / O’Toole, C.M. (2014): Bank lending constraints, trade credit and alternative financing during the financial crisis: Evidence from European SMEs. In: Journal of Corporate Finance 27, 173–193. DOI: 10.1016/j.jcorpfin.2014.05.001.</w:t>
      </w:r>
    </w:p>
    <w:p w14:paraId="40CDCC31" w14:textId="77777777" w:rsidR="00B00121" w:rsidRPr="00B00121" w:rsidRDefault="00B00121" w:rsidP="00B00121">
      <w:pPr>
        <w:pStyle w:val="Literaturverzeichnis"/>
        <w:rPr>
          <w:lang w:val="en-US"/>
        </w:rPr>
      </w:pPr>
      <w:r w:rsidRPr="00B00121">
        <w:rPr>
          <w:lang w:val="en-US"/>
        </w:rPr>
        <w:t>Charrad, M. et al. (2014): NbClust: An R Package for Determining the Relevant Number of Clusters in a Data Set. In: Journal of Statistical Software 61(6), 1–36. DOI: 10.18637/jss.v061.i06.</w:t>
      </w:r>
    </w:p>
    <w:p w14:paraId="321F43FA" w14:textId="77777777" w:rsidR="00B00121" w:rsidRPr="00B00121" w:rsidRDefault="00B00121" w:rsidP="00B00121">
      <w:pPr>
        <w:pStyle w:val="Literaturverzeichnis"/>
        <w:rPr>
          <w:lang w:val="en-US"/>
        </w:rPr>
      </w:pPr>
      <w:r w:rsidRPr="00B00121">
        <w:rPr>
          <w:lang w:val="en-US"/>
        </w:rPr>
        <w:t>Chavis, L.W. et al. (2011): The Impact of the Business Environment on Young Firm Financing. In: The World Bank Economic Review 25(3), 486–507. DOI: 10.1093/wber/lhr045.</w:t>
      </w:r>
    </w:p>
    <w:p w14:paraId="747F8EEE" w14:textId="77777777" w:rsidR="00B00121" w:rsidRPr="00B00121" w:rsidRDefault="00B00121" w:rsidP="00B00121">
      <w:pPr>
        <w:pStyle w:val="Literaturverzeichnis"/>
        <w:rPr>
          <w:lang w:val="en-US"/>
        </w:rPr>
      </w:pPr>
      <w:r w:rsidRPr="00B00121">
        <w:rPr>
          <w:lang w:val="en-US"/>
        </w:rPr>
        <w:t>Chib, S. / Greenberg, E. (1998): Analysis of multivariate probit models. In: Biometrika 85(2), 347–361. DOI: 10.1093/biomet/85.2.347.</w:t>
      </w:r>
    </w:p>
    <w:p w14:paraId="5C9B3ABE" w14:textId="77777777" w:rsidR="00B00121" w:rsidRPr="00B00121" w:rsidRDefault="00B00121" w:rsidP="00B00121">
      <w:pPr>
        <w:pStyle w:val="Literaturverzeichnis"/>
        <w:rPr>
          <w:lang w:val="en-US"/>
        </w:rPr>
      </w:pPr>
      <w:r w:rsidRPr="00B00121">
        <w:rPr>
          <w:lang w:val="en-US"/>
        </w:rPr>
        <w:lastRenderedPageBreak/>
        <w:t>Chittenden, F. et al. (1996): Small firm growth, access to capital markets and financial structure: Review of issues and an empirical investigation. In: Small Business Economics 8(1), 59–67. DOI: 10.1007/BF00391976.</w:t>
      </w:r>
    </w:p>
    <w:p w14:paraId="4A2975A5" w14:textId="77777777" w:rsidR="00B00121" w:rsidRPr="00B00121" w:rsidRDefault="00B00121" w:rsidP="00B00121">
      <w:pPr>
        <w:pStyle w:val="Literaturverzeichnis"/>
        <w:rPr>
          <w:lang w:val="en-US"/>
        </w:rPr>
      </w:pPr>
      <w:r w:rsidRPr="00B00121">
        <w:rPr>
          <w:lang w:val="en-US"/>
        </w:rPr>
        <w:t>Cressy, R. / Olofsson, C. (1997): European SME Financing: An Overview. In: Small Business Economics 9, 87–96.</w:t>
      </w:r>
    </w:p>
    <w:p w14:paraId="339326FD" w14:textId="77777777" w:rsidR="00B00121" w:rsidRPr="00B00121" w:rsidRDefault="00B00121" w:rsidP="00B00121">
      <w:pPr>
        <w:pStyle w:val="Literaturverzeichnis"/>
        <w:rPr>
          <w:lang w:val="en-US"/>
        </w:rPr>
      </w:pPr>
      <w:r w:rsidRPr="00B00121">
        <w:rPr>
          <w:lang w:val="en-US"/>
        </w:rPr>
        <w:t>Daskalakis, N. et al. (2013): Financing practices and preferences for micro and small firms. In: Journal of Small Business and Enterprise Development 20(1), 80–101. DOI: 10.1108/14626001311298420.</w:t>
      </w:r>
    </w:p>
    <w:p w14:paraId="2F4B8EE7" w14:textId="77777777" w:rsidR="00B00121" w:rsidRPr="00B00121" w:rsidRDefault="00B00121" w:rsidP="00B00121">
      <w:pPr>
        <w:pStyle w:val="Literaturverzeichnis"/>
        <w:rPr>
          <w:lang w:val="en-US"/>
        </w:rPr>
      </w:pPr>
      <w:r w:rsidRPr="00B00121">
        <w:rPr>
          <w:lang w:val="en-US"/>
        </w:rPr>
        <w:t>Degryse, H. et al. (2012): The impact of firm and industry characteristics on small firms’ capital structure. In: Small Business Economics 38(4), 431–447. DOI: 10.1007/s11187-010-9281-8.</w:t>
      </w:r>
    </w:p>
    <w:p w14:paraId="00B60957" w14:textId="77777777" w:rsidR="00B00121" w:rsidRPr="00B00121" w:rsidRDefault="00B00121" w:rsidP="00B00121">
      <w:pPr>
        <w:pStyle w:val="Literaturverzeichnis"/>
        <w:rPr>
          <w:lang w:val="en-US"/>
        </w:rPr>
      </w:pPr>
      <w:r w:rsidRPr="00B00121">
        <w:rPr>
          <w:lang w:val="en-US"/>
        </w:rPr>
        <w:t>Didier, T. et al. (2021): Financing firms in hibernation during the COVID-19 pandemic. In: Journal of Financial Stability 53, 100837. DOI: 10.1016/j.jfs.2020.100837.</w:t>
      </w:r>
    </w:p>
    <w:p w14:paraId="629104C7" w14:textId="77777777" w:rsidR="00B00121" w:rsidRPr="00B00121" w:rsidRDefault="00B00121" w:rsidP="00B00121">
      <w:pPr>
        <w:pStyle w:val="Literaturverzeichnis"/>
        <w:rPr>
          <w:lang w:val="en-US"/>
        </w:rPr>
      </w:pPr>
      <w:r w:rsidRPr="00B00121">
        <w:rPr>
          <w:lang w:val="en-US"/>
        </w:rPr>
        <w:t>Dillon, W.R. / Goldstein, M. (1984): Multivariate analysis : methods and applications. 1. Auflage, John Wiley &amp; Sons, New York.</w:t>
      </w:r>
    </w:p>
    <w:p w14:paraId="70712CA5" w14:textId="77777777" w:rsidR="00B00121" w:rsidRDefault="00B00121" w:rsidP="00B00121">
      <w:pPr>
        <w:pStyle w:val="Literaturverzeichnis"/>
      </w:pPr>
      <w:r w:rsidRPr="00B00121">
        <w:rPr>
          <w:lang w:val="en-US"/>
        </w:rPr>
        <w:t xml:space="preserve">Dimitriadou, E. et al. (2002): An examination of indexes for determining the number of clusters in binary data sets. </w:t>
      </w:r>
      <w:r>
        <w:t>In: Psychometrika 67(1), 137–159. DOI: 10.1007/BF02294713.</w:t>
      </w:r>
    </w:p>
    <w:p w14:paraId="7599116B" w14:textId="77777777" w:rsidR="008140F4" w:rsidRDefault="008140F4" w:rsidP="008140F4">
      <w:pPr>
        <w:spacing w:line="276" w:lineRule="auto"/>
      </w:pPr>
      <w:r>
        <w:t>Europäische Kommission (2012): Mitteilung der Kommission an das Europäische Parlament, den Europäischen Wirtschafts- und Sozialausschuss und den Ausschuss der Regionen – „</w:t>
      </w:r>
      <w:r w:rsidRPr="00B060EB">
        <w:t>Eine KMU-Strategie für ein nachhaltiges und digitales Europ</w:t>
      </w:r>
      <w:r>
        <w:t>a“ COM(2020) 103 final.</w:t>
      </w:r>
    </w:p>
    <w:p w14:paraId="0C3E24FE" w14:textId="77777777" w:rsidR="008140F4" w:rsidRDefault="008140F4" w:rsidP="008140F4">
      <w:pPr>
        <w:spacing w:line="276" w:lineRule="auto"/>
      </w:pPr>
      <w:r w:rsidRPr="003D6B75">
        <w:t xml:space="preserve">Europäische Kommission (2019): 2019 SBA Fact Sheet &amp; Scoreboard. </w:t>
      </w:r>
      <w:r w:rsidRPr="004A7C10">
        <w:t>Zu</w:t>
      </w:r>
      <w:r>
        <w:t xml:space="preserve">gegriffen am 12.11.2021, </w:t>
      </w:r>
      <w:hyperlink r:id="rId13" w:history="1">
        <w:r w:rsidRPr="008140F4">
          <w:t>https://ec.europa.eu/docsroom/documents/38662/attachments/1/translations/en/renditions/native</w:t>
        </w:r>
      </w:hyperlink>
    </w:p>
    <w:p w14:paraId="04A2D384" w14:textId="6A78B6A2" w:rsidR="008140F4" w:rsidRDefault="008140F4" w:rsidP="008140F4">
      <w:pPr>
        <w:spacing w:line="276" w:lineRule="auto"/>
      </w:pPr>
      <w:r w:rsidRPr="007F4F1D">
        <w:rPr>
          <w:lang w:val="en-US"/>
        </w:rPr>
        <w:t xml:space="preserve">Europäische Zentralbank (2021): Survey on the Access to Finance of Enterprises. Methodological Information on the Survey and User Guide for the Anonymised Micro Dataset. </w:t>
      </w:r>
      <w:r w:rsidRPr="004A7C10">
        <w:t>Zu</w:t>
      </w:r>
      <w:r>
        <w:t xml:space="preserve">gegriffen am 12.11.2021, </w:t>
      </w:r>
      <w:hyperlink r:id="rId14" w:history="1">
        <w:r w:rsidRPr="008140F4">
          <w:t>https://www.ecb.europa.eu/stats/pdf/surveys/sme/methodological_information_survey_and_user_guide.pdf</w:t>
        </w:r>
      </w:hyperlink>
    </w:p>
    <w:p w14:paraId="40CA9FE4" w14:textId="03E85F76" w:rsidR="00B00121" w:rsidRPr="00B00121" w:rsidRDefault="00B00121" w:rsidP="00B00121">
      <w:pPr>
        <w:pStyle w:val="Literaturverzeichnis"/>
        <w:rPr>
          <w:lang w:val="en-US"/>
        </w:rPr>
      </w:pPr>
      <w:r>
        <w:t xml:space="preserve">Fahrmeir, L. et al. (2009): Regression: Modelle, Methoden und Anwendungen. </w:t>
      </w:r>
      <w:r w:rsidRPr="00B00121">
        <w:rPr>
          <w:lang w:val="en-US"/>
        </w:rPr>
        <w:t>1. Auflage, Springer, Berlin. DOI: 10.1007/978-3-642-01837-4.</w:t>
      </w:r>
    </w:p>
    <w:p w14:paraId="3864C1AC" w14:textId="77777777" w:rsidR="00B00121" w:rsidRPr="00B00121" w:rsidRDefault="00B00121" w:rsidP="00B00121">
      <w:pPr>
        <w:pStyle w:val="Literaturverzeichnis"/>
        <w:rPr>
          <w:lang w:val="en-US"/>
        </w:rPr>
      </w:pPr>
      <w:r w:rsidRPr="00B00121">
        <w:rPr>
          <w:lang w:val="en-US"/>
        </w:rPr>
        <w:t>Finch, H. (2005): Comparison of Distance Measures in Cluster Analysis with Dichotomous Data. In: Journal of Data Science 3(1), 85–100. DOI: 10.6339/JDS.2005.03(1).192.</w:t>
      </w:r>
    </w:p>
    <w:p w14:paraId="0C66C724" w14:textId="77777777" w:rsidR="00B00121" w:rsidRPr="00B00121" w:rsidRDefault="00B00121" w:rsidP="00B00121">
      <w:pPr>
        <w:pStyle w:val="Literaturverzeichnis"/>
        <w:rPr>
          <w:lang w:val="en-US"/>
        </w:rPr>
      </w:pPr>
      <w:r w:rsidRPr="00B00121">
        <w:rPr>
          <w:lang w:val="en-US"/>
        </w:rPr>
        <w:t>Forcella, D. / Hudon, M. (2016): Green Microfinance in Europe. In: Journal of Business Ethics 135(3), 445–459. DOI: 10.1007/s10551-014-2452-9.</w:t>
      </w:r>
    </w:p>
    <w:p w14:paraId="5DF279E2" w14:textId="77777777" w:rsidR="00B00121" w:rsidRPr="00B00121" w:rsidRDefault="00B00121" w:rsidP="00B00121">
      <w:pPr>
        <w:pStyle w:val="Literaturverzeichnis"/>
        <w:rPr>
          <w:lang w:val="en-US"/>
        </w:rPr>
      </w:pPr>
      <w:r w:rsidRPr="00B00121">
        <w:rPr>
          <w:lang w:val="en-US"/>
        </w:rPr>
        <w:lastRenderedPageBreak/>
        <w:t>Gelman, A. (2007): Struggles with Survey Weighting and Regression Modeling. In: Statistical Science 22(2), 153–164. DOI: 10.1214/088342306000000691.</w:t>
      </w:r>
    </w:p>
    <w:p w14:paraId="3A3AA9B8" w14:textId="77777777" w:rsidR="00B00121" w:rsidRPr="00B00121" w:rsidRDefault="00B00121" w:rsidP="00B00121">
      <w:pPr>
        <w:pStyle w:val="Literaturverzeichnis"/>
        <w:rPr>
          <w:lang w:val="en-US"/>
        </w:rPr>
      </w:pPr>
      <w:r w:rsidRPr="00B00121">
        <w:rPr>
          <w:lang w:val="en-US"/>
        </w:rPr>
        <w:t>Gherhes, C. et al. (2016): Distinguishing micro-businesses from SMEs: a systematic review of growth constraints. In: Journal of Small Business and Enterprise Development 23(4), 939–963. DOI: 10.1108/JSBED-05-2016-0075.</w:t>
      </w:r>
    </w:p>
    <w:p w14:paraId="778DD0C8" w14:textId="77777777" w:rsidR="00B00121" w:rsidRPr="00B00121" w:rsidRDefault="00B00121" w:rsidP="00B00121">
      <w:pPr>
        <w:pStyle w:val="Literaturverzeichnis"/>
        <w:rPr>
          <w:lang w:val="en-US"/>
        </w:rPr>
      </w:pPr>
      <w:r w:rsidRPr="00B00121">
        <w:rPr>
          <w:lang w:val="en-US"/>
        </w:rPr>
        <w:t>Greene, W.H. (2003): Econometric analysis. 5. Auflage, Prentice Hall, Upper Saddle River, N.J.</w:t>
      </w:r>
    </w:p>
    <w:p w14:paraId="168F79CD" w14:textId="77777777" w:rsidR="00B00121" w:rsidRPr="00B00121" w:rsidRDefault="00B00121" w:rsidP="00B00121">
      <w:pPr>
        <w:pStyle w:val="Literaturverzeichnis"/>
        <w:rPr>
          <w:lang w:val="en-US"/>
        </w:rPr>
      </w:pPr>
      <w:r w:rsidRPr="00B00121">
        <w:rPr>
          <w:lang w:val="en-US"/>
        </w:rPr>
        <w:t>Hall, G. et al. (2000): Industry Effects on the Determinants of Unquoted SMEs’ Capital Structure. In: International Journal of the Economics of Business 7(3), 297–312. DOI: 10.1080/13571510050197203.</w:t>
      </w:r>
    </w:p>
    <w:p w14:paraId="19406BBE" w14:textId="77777777" w:rsidR="00B00121" w:rsidRPr="00B00121" w:rsidRDefault="00B00121" w:rsidP="00B00121">
      <w:pPr>
        <w:pStyle w:val="Literaturverzeichnis"/>
        <w:rPr>
          <w:lang w:val="en-US"/>
        </w:rPr>
      </w:pPr>
      <w:r w:rsidRPr="00B00121">
        <w:rPr>
          <w:lang w:val="en-US"/>
        </w:rPr>
        <w:t>Hands, S. / Everitt, B. (1987): A Monte Carlo study of the recovery of cluster structure in binary data by hierarchical clustering techniques. In: Multivariate Behavioral Research 22(2), 235–243. DOI: 10.1207/s15327906mbr2202_6.</w:t>
      </w:r>
    </w:p>
    <w:p w14:paraId="57720953" w14:textId="77777777" w:rsidR="00B00121" w:rsidRPr="00B00121" w:rsidRDefault="00B00121" w:rsidP="00B00121">
      <w:pPr>
        <w:pStyle w:val="Literaturverzeichnis"/>
        <w:rPr>
          <w:lang w:val="en-US"/>
        </w:rPr>
      </w:pPr>
      <w:r w:rsidRPr="00B00121">
        <w:rPr>
          <w:lang w:val="en-US"/>
        </w:rPr>
        <w:t>Hill, R.S. (1980): A Stopping Rule for Partitioning Dendrograms. In: Botanical Gazette 141(3), 321–324. DOI: 10.1086/337163.</w:t>
      </w:r>
    </w:p>
    <w:p w14:paraId="4CDCA2EC" w14:textId="77777777" w:rsidR="00B00121" w:rsidRPr="00B00121" w:rsidRDefault="00B00121" w:rsidP="00B00121">
      <w:pPr>
        <w:pStyle w:val="Literaturverzeichnis"/>
        <w:rPr>
          <w:lang w:val="en-US"/>
        </w:rPr>
      </w:pPr>
      <w:r w:rsidRPr="00B00121">
        <w:rPr>
          <w:lang w:val="en-US"/>
        </w:rPr>
        <w:t>Holton, S. et al. (2014): Firm credit in the euro area: a tale of three crises. In: Applied Economics 46(2), 190–211. DOI: 10.1080/00036846.2013.824547.</w:t>
      </w:r>
    </w:p>
    <w:p w14:paraId="4763158B" w14:textId="77777777" w:rsidR="00B00121" w:rsidRPr="00B00121" w:rsidRDefault="00B00121" w:rsidP="00B00121">
      <w:pPr>
        <w:pStyle w:val="Literaturverzeichnis"/>
        <w:rPr>
          <w:lang w:val="en-US"/>
        </w:rPr>
      </w:pPr>
      <w:r w:rsidRPr="00B00121">
        <w:rPr>
          <w:lang w:val="en-US"/>
        </w:rPr>
        <w:t>Howell, S.T. (2017): Financing Innovation: Evidence from R&amp;D Grants. In: American Economic Review 107(4), 1136–1164. DOI: 10.1257/aer.20150808.</w:t>
      </w:r>
    </w:p>
    <w:p w14:paraId="3F3E5F38" w14:textId="77777777" w:rsidR="00B00121" w:rsidRPr="00B00121" w:rsidRDefault="00B00121" w:rsidP="00B00121">
      <w:pPr>
        <w:pStyle w:val="Literaturverzeichnis"/>
        <w:rPr>
          <w:lang w:val="en-US"/>
        </w:rPr>
      </w:pPr>
      <w:r w:rsidRPr="00B00121">
        <w:rPr>
          <w:lang w:val="en-US"/>
        </w:rPr>
        <w:t>Howorth, C.A. (2001): Small Firms’ Demand for Finance: A Research Note. In: International small business journal 19(4), 78–86. DOI: 10.1177/0266242601194005.</w:t>
      </w:r>
    </w:p>
    <w:p w14:paraId="56D7CC7F" w14:textId="77777777" w:rsidR="00B00121" w:rsidRPr="00B00121" w:rsidRDefault="00B00121" w:rsidP="00B00121">
      <w:pPr>
        <w:pStyle w:val="Literaturverzeichnis"/>
        <w:rPr>
          <w:lang w:val="en-US"/>
        </w:rPr>
      </w:pPr>
      <w:r w:rsidRPr="00B00121">
        <w:rPr>
          <w:lang w:val="en-US"/>
        </w:rPr>
        <w:t>Hutchinson, R.W. (1995): The capital structure and investment decisions of the small owner-managed firm: Some exploratory issues. In: Small Business Economics 7(3), 231–239. DOI: 10.1007/BF01135368.</w:t>
      </w:r>
    </w:p>
    <w:p w14:paraId="2FCD0638" w14:textId="77777777" w:rsidR="00B00121" w:rsidRPr="00B00121" w:rsidRDefault="00B00121" w:rsidP="00B00121">
      <w:pPr>
        <w:pStyle w:val="Literaturverzeichnis"/>
        <w:rPr>
          <w:lang w:val="en-US"/>
        </w:rPr>
      </w:pPr>
      <w:r w:rsidRPr="00B00121">
        <w:rPr>
          <w:lang w:val="en-US"/>
        </w:rPr>
        <w:t>Kaufman, L. / Rousseeuw, P.J. (2005): Finding groups in data: an introduction to cluster analysis. 2. Auflage, Wiley, Hoboken, N.J.</w:t>
      </w:r>
    </w:p>
    <w:p w14:paraId="67746344" w14:textId="77777777" w:rsidR="00B00121" w:rsidRPr="00B00121" w:rsidRDefault="00B00121" w:rsidP="00B00121">
      <w:pPr>
        <w:pStyle w:val="Literaturverzeichnis"/>
        <w:rPr>
          <w:lang w:val="en-US"/>
        </w:rPr>
      </w:pPr>
      <w:r w:rsidRPr="00B00121">
        <w:rPr>
          <w:lang w:val="en-US"/>
        </w:rPr>
        <w:t>Ketchen, D.J. / Shook, C.L. (1996): The Application of Cluster Analysis in Strategic Management Research: An Analysis and Critique. In: Strategic Management Journal 17(6), 441–458. DOI: 10.1002/(SICI)1097-0266(199606)17:6&lt;441::AID-SMJ819&gt;3.0.CO;2-G.</w:t>
      </w:r>
    </w:p>
    <w:p w14:paraId="77110822" w14:textId="77777777" w:rsidR="00B00121" w:rsidRPr="00B00121" w:rsidRDefault="00B00121" w:rsidP="00B00121">
      <w:pPr>
        <w:pStyle w:val="Literaturverzeichnis"/>
        <w:rPr>
          <w:lang w:val="en-US"/>
        </w:rPr>
      </w:pPr>
      <w:r w:rsidRPr="00B00121">
        <w:rPr>
          <w:lang w:val="en-US"/>
        </w:rPr>
        <w:t>Kuiper, F.K. / Fisher, L. (1975): A Monte Carlo Comparison of Six Clustering Procedures. In: Biometrics 31(3), 777–783. DOI: 10.2307/2529565.</w:t>
      </w:r>
    </w:p>
    <w:p w14:paraId="6371F7C9" w14:textId="77777777" w:rsidR="00B00121" w:rsidRPr="00B00121" w:rsidRDefault="00B00121" w:rsidP="00B00121">
      <w:pPr>
        <w:pStyle w:val="Literaturverzeichnis"/>
        <w:rPr>
          <w:lang w:val="en-US"/>
        </w:rPr>
      </w:pPr>
      <w:r w:rsidRPr="00B00121">
        <w:rPr>
          <w:lang w:val="en-US"/>
        </w:rPr>
        <w:t>Lasfer, M.A. / Levis, M. (1998): The Determinants of the Leasing Decision of Small and Large Companies. In: European Financial Management 4(2), 159–184. DOI: 10.1111/1468-036X.00062.</w:t>
      </w:r>
    </w:p>
    <w:p w14:paraId="263BC88A" w14:textId="77777777" w:rsidR="00B00121" w:rsidRPr="00B00121" w:rsidRDefault="00B00121" w:rsidP="00B00121">
      <w:pPr>
        <w:pStyle w:val="Literaturverzeichnis"/>
        <w:rPr>
          <w:lang w:val="en-US"/>
        </w:rPr>
      </w:pPr>
      <w:r w:rsidRPr="00B00121">
        <w:rPr>
          <w:lang w:val="en-US"/>
        </w:rPr>
        <w:t>Lawless, M. et al. (2015): Financial structure and diversification of European firms. In: Applied Economics 47(23), 2379–2398. DOI: 10.1080/00036846.2015.1005829.</w:t>
      </w:r>
    </w:p>
    <w:p w14:paraId="5E892CE6" w14:textId="77777777" w:rsidR="00B00121" w:rsidRPr="00B00121" w:rsidRDefault="00B00121" w:rsidP="00B00121">
      <w:pPr>
        <w:pStyle w:val="Literaturverzeichnis"/>
        <w:rPr>
          <w:lang w:val="en-US"/>
        </w:rPr>
      </w:pPr>
      <w:r w:rsidRPr="00B00121">
        <w:rPr>
          <w:lang w:val="en-US"/>
        </w:rPr>
        <w:lastRenderedPageBreak/>
        <w:t>LeClere, M.J. (1992): The Interpretation of Coefficients in Models with Qualitative Dependent Variables. In: Decision Sciences 23(3), 770–776. DOI: 10.1111/j.1540-5915.1992.tb00417.x.</w:t>
      </w:r>
    </w:p>
    <w:p w14:paraId="4F8C5A6E" w14:textId="77777777" w:rsidR="00B00121" w:rsidRPr="00B00121" w:rsidRDefault="00B00121" w:rsidP="00B00121">
      <w:pPr>
        <w:pStyle w:val="Literaturverzeichnis"/>
        <w:rPr>
          <w:lang w:val="en-US"/>
        </w:rPr>
      </w:pPr>
      <w:r w:rsidRPr="00B00121">
        <w:rPr>
          <w:lang w:val="en-US"/>
        </w:rPr>
        <w:t>López-Gracia, J. / Sogorb-Mira, F. (2008): Testing trade-off and pecking order theories financing SMEs. In: Small Business Economics 31(2), 117–136. DOI: 10.1007/s11187-007-9088-4.</w:t>
      </w:r>
    </w:p>
    <w:p w14:paraId="567616DC" w14:textId="77777777" w:rsidR="00B00121" w:rsidRPr="00B00121" w:rsidRDefault="00B00121" w:rsidP="00B00121">
      <w:pPr>
        <w:pStyle w:val="Literaturverzeichnis"/>
        <w:rPr>
          <w:lang w:val="en-US"/>
        </w:rPr>
      </w:pPr>
      <w:r w:rsidRPr="00B00121">
        <w:rPr>
          <w:lang w:val="en-US"/>
        </w:rPr>
        <w:t>Manove, M. et al. (2001): Collateral versus Project Screening: A Model of Lazy Banks. In: The RAND Journal of Economics 32(4), 726. DOI: 10.2307/2696390.</w:t>
      </w:r>
    </w:p>
    <w:p w14:paraId="0B57DB27" w14:textId="77777777" w:rsidR="00B00121" w:rsidRPr="00B00121" w:rsidRDefault="00B00121" w:rsidP="00B00121">
      <w:pPr>
        <w:pStyle w:val="Literaturverzeichnis"/>
        <w:rPr>
          <w:lang w:val="en-US"/>
        </w:rPr>
      </w:pPr>
      <w:r w:rsidRPr="00B00121">
        <w:rPr>
          <w:lang w:val="en-US"/>
        </w:rPr>
        <w:t>Masiak, C. et al. (2019): How do micro firms differ in their financing patterns from larger SMEs? In: Venture Capital 21(4), 301–325. DOI: 10.1080/13691066.2019.1569333.</w:t>
      </w:r>
    </w:p>
    <w:p w14:paraId="447F29DB" w14:textId="77777777" w:rsidR="00B00121" w:rsidRPr="00B00121" w:rsidRDefault="00B00121" w:rsidP="00B00121">
      <w:pPr>
        <w:pStyle w:val="Literaturverzeichnis"/>
        <w:rPr>
          <w:lang w:val="en-US"/>
        </w:rPr>
      </w:pPr>
      <w:r w:rsidRPr="00B00121">
        <w:rPr>
          <w:lang w:val="en-US"/>
        </w:rPr>
        <w:t>Milligan, G.W. (1981): A Review Of Monte Carlo Tests Of Cluster Analysis. In: Multivariate Behavioral Research 16(3), 379–407.</w:t>
      </w:r>
    </w:p>
    <w:p w14:paraId="5D75835C" w14:textId="77777777" w:rsidR="00B00121" w:rsidRPr="00B00121" w:rsidRDefault="00B00121" w:rsidP="00B00121">
      <w:pPr>
        <w:pStyle w:val="Literaturverzeichnis"/>
        <w:rPr>
          <w:lang w:val="en-US"/>
        </w:rPr>
      </w:pPr>
      <w:r w:rsidRPr="00B00121">
        <w:rPr>
          <w:lang w:val="en-US"/>
        </w:rPr>
        <w:t>Milligan, G.W. / Cooper, M.C. (1985): An examination of procedures for determining the number of clusters in a data set. In: Psychometrika 50(2), 159–179.</w:t>
      </w:r>
    </w:p>
    <w:p w14:paraId="003D413C" w14:textId="77777777" w:rsidR="00B00121" w:rsidRPr="00B00121" w:rsidRDefault="00B00121" w:rsidP="00B00121">
      <w:pPr>
        <w:pStyle w:val="Literaturverzeichnis"/>
        <w:rPr>
          <w:lang w:val="en-US"/>
        </w:rPr>
      </w:pPr>
      <w:r w:rsidRPr="00B00121">
        <w:rPr>
          <w:lang w:val="en-US"/>
        </w:rPr>
        <w:t>Mirza, N. et al. (2020): Impact of Covid-19 on corporate solvency and possible policy responses in the EU. In: The Quarterly Review of Economics and Finance, 1–10. DOI: 10.1016/j.qref.2020.09.002.</w:t>
      </w:r>
    </w:p>
    <w:p w14:paraId="48FC41FC" w14:textId="77777777" w:rsidR="00B00121" w:rsidRPr="00B00121" w:rsidRDefault="00B00121" w:rsidP="00B00121">
      <w:pPr>
        <w:pStyle w:val="Literaturverzeichnis"/>
        <w:rPr>
          <w:lang w:val="en-US"/>
        </w:rPr>
      </w:pPr>
      <w:r w:rsidRPr="00B00121">
        <w:rPr>
          <w:lang w:val="en-US"/>
        </w:rPr>
        <w:t>Moritz, A. et al. (2016): Financing patterns of European SMEs – an empirical taxonomy. In: Venture Capital 18(2), 115–148. DOI: 10.1080/13691066.2016.1145900.</w:t>
      </w:r>
    </w:p>
    <w:p w14:paraId="107C3A51" w14:textId="77777777" w:rsidR="00B00121" w:rsidRPr="00B00121" w:rsidRDefault="00B00121" w:rsidP="00B00121">
      <w:pPr>
        <w:pStyle w:val="Literaturverzeichnis"/>
        <w:rPr>
          <w:lang w:val="en-US"/>
        </w:rPr>
      </w:pPr>
      <w:r w:rsidRPr="00B00121">
        <w:rPr>
          <w:lang w:val="en-US"/>
        </w:rPr>
        <w:t>Murtagh, F. / Legendre, P. (2014): Ward’s Hierarchical Agglomerative Clustering Method: Which Algorithms Implement Ward’s Criterion? In: Journal of Classification 31(3), 274–295. DOI: 10.1007/s00357-014-9161-z.</w:t>
      </w:r>
    </w:p>
    <w:p w14:paraId="08D5E828" w14:textId="77777777" w:rsidR="00B00121" w:rsidRPr="00B00121" w:rsidRDefault="00B00121" w:rsidP="00B00121">
      <w:pPr>
        <w:pStyle w:val="Literaturverzeichnis"/>
        <w:rPr>
          <w:lang w:val="en-US"/>
        </w:rPr>
      </w:pPr>
      <w:r w:rsidRPr="00B00121">
        <w:rPr>
          <w:lang w:val="en-US"/>
        </w:rPr>
        <w:t>Myers, S.C. / Majluf, N.S. (1984): Corporate financing and investment decisions when firms have information that investors do not have. In: Journal of Financial Economics 13(2), 187–221. DOI: 10.1016/0304-405X(84)90023-0.</w:t>
      </w:r>
    </w:p>
    <w:p w14:paraId="1137F8E3" w14:textId="77777777" w:rsidR="00B00121" w:rsidRPr="00B00121" w:rsidRDefault="00B00121" w:rsidP="00B00121">
      <w:pPr>
        <w:pStyle w:val="Literaturverzeichnis"/>
        <w:rPr>
          <w:lang w:val="en-US"/>
        </w:rPr>
      </w:pPr>
      <w:r w:rsidRPr="00B00121">
        <w:rPr>
          <w:lang w:val="en-US"/>
        </w:rPr>
        <w:t>O’Dwyer, M. / Ryan, E. (2000): Management development issues for owners/managers of micro‐enterprises. In: Journal of European Industrial Training 24(6), 345–353. DOI: 10.1108/03090590010373334.</w:t>
      </w:r>
    </w:p>
    <w:p w14:paraId="2B53D257" w14:textId="77777777" w:rsidR="00B00121" w:rsidRPr="00B00121" w:rsidRDefault="00B00121" w:rsidP="00B00121">
      <w:pPr>
        <w:pStyle w:val="Literaturverzeichnis"/>
        <w:rPr>
          <w:lang w:val="en-US"/>
        </w:rPr>
      </w:pPr>
      <w:r w:rsidRPr="00B00121">
        <w:rPr>
          <w:lang w:val="en-US"/>
        </w:rPr>
        <w:t>Overall, J.E. et al. (1993): Population recovery capabilities of 35 cluster analysis methods. In: Journal of Clinical Psychology 49(4), 459–470. DOI: 10.1002/1097-4679(199307)49:4&lt;459::AID-JCLP2270490402&gt;3.0.CO;2-P.</w:t>
      </w:r>
    </w:p>
    <w:p w14:paraId="49B91E15" w14:textId="77777777" w:rsidR="00B00121" w:rsidRPr="00B00121" w:rsidRDefault="00B00121" w:rsidP="00B00121">
      <w:pPr>
        <w:pStyle w:val="Literaturverzeichnis"/>
        <w:rPr>
          <w:lang w:val="en-US"/>
        </w:rPr>
      </w:pPr>
      <w:r w:rsidRPr="00B00121">
        <w:rPr>
          <w:lang w:val="en-US"/>
        </w:rPr>
        <w:t>Ratkowsky, D. / Lance, G. (1978): A Criterion for Determining the Number of Grups in a Classifiaction. In: Australian Computer Journal 10(3), 115–117.</w:t>
      </w:r>
    </w:p>
    <w:p w14:paraId="5DC3FA99" w14:textId="77777777" w:rsidR="00B00121" w:rsidRPr="00B00121" w:rsidRDefault="00B00121" w:rsidP="00B00121">
      <w:pPr>
        <w:pStyle w:val="Literaturverzeichnis"/>
        <w:rPr>
          <w:lang w:val="en-US"/>
        </w:rPr>
      </w:pPr>
      <w:r w:rsidRPr="00B00121">
        <w:rPr>
          <w:lang w:val="en-US"/>
        </w:rPr>
        <w:t>Rencher, A.C. (2002): Methods of multivariate analysis. 2. Auflage, J. Wiley, New York.</w:t>
      </w:r>
    </w:p>
    <w:p w14:paraId="427199CC" w14:textId="77777777" w:rsidR="00B00121" w:rsidRPr="00B00121" w:rsidRDefault="00B00121" w:rsidP="00B00121">
      <w:pPr>
        <w:pStyle w:val="Literaturverzeichnis"/>
        <w:rPr>
          <w:lang w:val="en-US"/>
        </w:rPr>
      </w:pPr>
      <w:r w:rsidRPr="00B00121">
        <w:rPr>
          <w:lang w:val="en-US"/>
        </w:rPr>
        <w:lastRenderedPageBreak/>
        <w:t>Soufani, K. (2002): On the determinants of factoring as a financing choice: evidence from the UK. In: Journal of Economics and Business 54(2), 239–252. DOI: 10.1016/S0148-6195(01)00064-9.</w:t>
      </w:r>
    </w:p>
    <w:p w14:paraId="1B25F543" w14:textId="77777777" w:rsidR="00B00121" w:rsidRPr="00B00121" w:rsidRDefault="00B00121" w:rsidP="00B00121">
      <w:pPr>
        <w:pStyle w:val="Literaturverzeichnis"/>
        <w:rPr>
          <w:lang w:val="en-US"/>
        </w:rPr>
      </w:pPr>
      <w:r w:rsidRPr="00B00121">
        <w:rPr>
          <w:lang w:val="en-US"/>
        </w:rPr>
        <w:t>Vogt, W. / Nagel, D. (1992): Cluster Analysis in Diagnosis. In: Clinical Chemistry 38(2), 182–198. DOI: 10.1093/clinchem/38.2.182.</w:t>
      </w:r>
    </w:p>
    <w:p w14:paraId="1A3ED020" w14:textId="77777777" w:rsidR="00B00121" w:rsidRDefault="00B00121" w:rsidP="00B00121">
      <w:pPr>
        <w:pStyle w:val="Literaturverzeichnis"/>
      </w:pPr>
      <w:r w:rsidRPr="00B00121">
        <w:rPr>
          <w:lang w:val="en-US"/>
        </w:rPr>
        <w:t xml:space="preserve">Ward, J.H. (1963): Hierarchical Grouping to Optimize an Objective Function. </w:t>
      </w:r>
      <w:r>
        <w:t>In: Journal of the American Statistical Association 58(301), 236–244.</w:t>
      </w:r>
    </w:p>
    <w:p w14:paraId="5B406E31" w14:textId="4E2BDDCA" w:rsidR="00BF54FE" w:rsidRDefault="007742F4">
      <w:pPr>
        <w:spacing w:line="276" w:lineRule="auto"/>
        <w:jc w:val="left"/>
        <w:rPr>
          <w:rStyle w:val="Hyperlink"/>
        </w:rPr>
      </w:pPr>
      <w:r w:rsidRPr="008F61A3">
        <w:fldChar w:fldCharType="end"/>
      </w:r>
      <w:r w:rsidR="0099568D" w:rsidRPr="00804762">
        <w:br w:type="page"/>
      </w:r>
    </w:p>
    <w:p w14:paraId="512AA9FE" w14:textId="26C98AA8" w:rsidR="00CC721D" w:rsidRPr="0003126D" w:rsidRDefault="00CC721D" w:rsidP="00CC721D">
      <w:pPr>
        <w:pStyle w:val="berschrift1"/>
        <w:numPr>
          <w:ilvl w:val="0"/>
          <w:numId w:val="0"/>
        </w:numPr>
        <w:rPr>
          <w:lang w:val="en-US"/>
        </w:rPr>
      </w:pPr>
      <w:bookmarkStart w:id="65" w:name="_Toc88425848"/>
      <w:r>
        <w:rPr>
          <w:lang w:val="en-US"/>
        </w:rPr>
        <w:lastRenderedPageBreak/>
        <w:t>Anhang</w:t>
      </w:r>
      <w:bookmarkEnd w:id="65"/>
    </w:p>
    <w:p w14:paraId="13137A00" w14:textId="6AFF4055" w:rsidR="001F571C" w:rsidRDefault="008A4036">
      <w:pPr>
        <w:pStyle w:val="Verzeichnis1"/>
        <w:tabs>
          <w:tab w:val="left" w:pos="440"/>
          <w:tab w:val="right" w:leader="dot" w:pos="8494"/>
        </w:tabs>
        <w:rPr>
          <w:rFonts w:asciiTheme="minorHAnsi" w:hAnsiTheme="minorHAnsi" w:cstheme="minorBidi"/>
          <w:b w:val="0"/>
          <w:noProof/>
          <w:sz w:val="22"/>
        </w:rPr>
      </w:pPr>
      <w:r>
        <w:fldChar w:fldCharType="begin"/>
      </w:r>
      <w:r>
        <w:instrText xml:space="preserve"> TOC \h \z \t "Anhang1;1;Anhang2;2" </w:instrText>
      </w:r>
      <w:r>
        <w:fldChar w:fldCharType="separate"/>
      </w:r>
      <w:hyperlink w:anchor="_Toc88425852" w:history="1">
        <w:r w:rsidR="001F571C" w:rsidRPr="00C24662">
          <w:rPr>
            <w:rStyle w:val="Hyperlink"/>
            <w:bCs/>
            <w:noProof/>
          </w:rPr>
          <w:t>A</w:t>
        </w:r>
        <w:r w:rsidR="001F571C">
          <w:rPr>
            <w:rFonts w:asciiTheme="minorHAnsi" w:hAnsiTheme="minorHAnsi" w:cstheme="minorBidi"/>
            <w:b w:val="0"/>
            <w:noProof/>
            <w:sz w:val="22"/>
          </w:rPr>
          <w:tab/>
        </w:r>
        <w:r w:rsidR="001F571C" w:rsidRPr="00C24662">
          <w:rPr>
            <w:rStyle w:val="Hyperlink"/>
            <w:bCs/>
            <w:noProof/>
          </w:rPr>
          <w:t>Abbildungen</w:t>
        </w:r>
        <w:r w:rsidR="001F571C">
          <w:rPr>
            <w:noProof/>
            <w:webHidden/>
          </w:rPr>
          <w:tab/>
        </w:r>
        <w:r w:rsidR="001F571C">
          <w:rPr>
            <w:noProof/>
            <w:webHidden/>
          </w:rPr>
          <w:fldChar w:fldCharType="begin"/>
        </w:r>
        <w:r w:rsidR="001F571C">
          <w:rPr>
            <w:noProof/>
            <w:webHidden/>
          </w:rPr>
          <w:instrText xml:space="preserve"> PAGEREF _Toc88425852 \h </w:instrText>
        </w:r>
        <w:r w:rsidR="001F571C">
          <w:rPr>
            <w:noProof/>
            <w:webHidden/>
          </w:rPr>
        </w:r>
        <w:r w:rsidR="001F571C">
          <w:rPr>
            <w:noProof/>
            <w:webHidden/>
          </w:rPr>
          <w:fldChar w:fldCharType="separate"/>
        </w:r>
        <w:r w:rsidR="00285390">
          <w:rPr>
            <w:noProof/>
            <w:webHidden/>
          </w:rPr>
          <w:t>40</w:t>
        </w:r>
        <w:r w:rsidR="001F571C">
          <w:rPr>
            <w:noProof/>
            <w:webHidden/>
          </w:rPr>
          <w:fldChar w:fldCharType="end"/>
        </w:r>
      </w:hyperlink>
    </w:p>
    <w:p w14:paraId="6D3C0DCA" w14:textId="799F8644" w:rsidR="001F571C" w:rsidRPr="001F571C" w:rsidRDefault="004F311F">
      <w:pPr>
        <w:pStyle w:val="Verzeichnis2"/>
        <w:tabs>
          <w:tab w:val="left" w:pos="880"/>
          <w:tab w:val="right" w:leader="dot" w:pos="8494"/>
        </w:tabs>
        <w:rPr>
          <w:rFonts w:asciiTheme="minorHAnsi" w:hAnsiTheme="minorHAnsi" w:cstheme="minorBidi"/>
          <w:noProof/>
          <w:sz w:val="22"/>
        </w:rPr>
      </w:pPr>
      <w:hyperlink w:anchor="_Toc88425853" w:history="1">
        <w:r w:rsidR="001F571C" w:rsidRPr="001F571C">
          <w:rPr>
            <w:rStyle w:val="Hyperlink"/>
            <w:noProof/>
          </w:rPr>
          <w:t>A.1</w:t>
        </w:r>
        <w:r w:rsidR="001F571C" w:rsidRPr="001F571C">
          <w:rPr>
            <w:rFonts w:asciiTheme="minorHAnsi" w:hAnsiTheme="minorHAnsi" w:cstheme="minorBidi"/>
            <w:noProof/>
            <w:sz w:val="22"/>
          </w:rPr>
          <w:tab/>
        </w:r>
        <w:r w:rsidR="001F571C" w:rsidRPr="001F571C">
          <w:rPr>
            <w:rStyle w:val="Hyperlink"/>
            <w:noProof/>
          </w:rPr>
          <w:t>Anzahl der Unternehmen in der Stichprobe nach Unternehmensgröße</w:t>
        </w:r>
        <w:r w:rsidR="001F571C" w:rsidRPr="001F571C">
          <w:rPr>
            <w:noProof/>
            <w:webHidden/>
          </w:rPr>
          <w:tab/>
        </w:r>
        <w:r w:rsidR="001F571C" w:rsidRPr="001F571C">
          <w:rPr>
            <w:noProof/>
            <w:webHidden/>
          </w:rPr>
          <w:fldChar w:fldCharType="begin"/>
        </w:r>
        <w:r w:rsidR="001F571C" w:rsidRPr="001F571C">
          <w:rPr>
            <w:noProof/>
            <w:webHidden/>
          </w:rPr>
          <w:instrText xml:space="preserve"> PAGEREF _Toc88425853 \h </w:instrText>
        </w:r>
        <w:r w:rsidR="001F571C" w:rsidRPr="001F571C">
          <w:rPr>
            <w:noProof/>
            <w:webHidden/>
          </w:rPr>
        </w:r>
        <w:r w:rsidR="001F571C" w:rsidRPr="001F571C">
          <w:rPr>
            <w:noProof/>
            <w:webHidden/>
          </w:rPr>
          <w:fldChar w:fldCharType="separate"/>
        </w:r>
        <w:r w:rsidR="00285390">
          <w:rPr>
            <w:noProof/>
            <w:webHidden/>
          </w:rPr>
          <w:t>40</w:t>
        </w:r>
        <w:r w:rsidR="001F571C" w:rsidRPr="001F571C">
          <w:rPr>
            <w:noProof/>
            <w:webHidden/>
          </w:rPr>
          <w:fldChar w:fldCharType="end"/>
        </w:r>
      </w:hyperlink>
    </w:p>
    <w:p w14:paraId="33E9FCA3" w14:textId="22FB4FD2" w:rsidR="001F571C" w:rsidRPr="001F571C" w:rsidRDefault="004F311F">
      <w:pPr>
        <w:pStyle w:val="Verzeichnis2"/>
        <w:tabs>
          <w:tab w:val="left" w:pos="880"/>
          <w:tab w:val="right" w:leader="dot" w:pos="8494"/>
        </w:tabs>
        <w:rPr>
          <w:rFonts w:asciiTheme="minorHAnsi" w:hAnsiTheme="minorHAnsi" w:cstheme="minorBidi"/>
          <w:noProof/>
          <w:sz w:val="22"/>
        </w:rPr>
      </w:pPr>
      <w:hyperlink w:anchor="_Toc88425854" w:history="1">
        <w:r w:rsidR="001F571C" w:rsidRPr="001F571C">
          <w:rPr>
            <w:rStyle w:val="Hyperlink"/>
            <w:noProof/>
          </w:rPr>
          <w:t>A.2</w:t>
        </w:r>
        <w:r w:rsidR="001F571C" w:rsidRPr="001F571C">
          <w:rPr>
            <w:rFonts w:asciiTheme="minorHAnsi" w:hAnsiTheme="minorHAnsi" w:cstheme="minorBidi"/>
            <w:noProof/>
            <w:sz w:val="22"/>
          </w:rPr>
          <w:tab/>
        </w:r>
        <w:r w:rsidR="001F571C" w:rsidRPr="001F571C">
          <w:rPr>
            <w:rStyle w:val="Hyperlink"/>
            <w:noProof/>
          </w:rPr>
          <w:t>Anzahl der KMUs in der EU-28 nach Unternehmensgröße</w:t>
        </w:r>
        <w:r w:rsidR="001F571C" w:rsidRPr="001F571C">
          <w:rPr>
            <w:noProof/>
            <w:webHidden/>
          </w:rPr>
          <w:tab/>
        </w:r>
        <w:r w:rsidR="001F571C" w:rsidRPr="001F571C">
          <w:rPr>
            <w:noProof/>
            <w:webHidden/>
          </w:rPr>
          <w:fldChar w:fldCharType="begin"/>
        </w:r>
        <w:r w:rsidR="001F571C" w:rsidRPr="001F571C">
          <w:rPr>
            <w:noProof/>
            <w:webHidden/>
          </w:rPr>
          <w:instrText xml:space="preserve"> PAGEREF _Toc88425854 \h </w:instrText>
        </w:r>
        <w:r w:rsidR="001F571C" w:rsidRPr="001F571C">
          <w:rPr>
            <w:noProof/>
            <w:webHidden/>
          </w:rPr>
        </w:r>
        <w:r w:rsidR="001F571C" w:rsidRPr="001F571C">
          <w:rPr>
            <w:noProof/>
            <w:webHidden/>
          </w:rPr>
          <w:fldChar w:fldCharType="separate"/>
        </w:r>
        <w:r w:rsidR="00285390">
          <w:rPr>
            <w:noProof/>
            <w:webHidden/>
          </w:rPr>
          <w:t>40</w:t>
        </w:r>
        <w:r w:rsidR="001F571C" w:rsidRPr="001F571C">
          <w:rPr>
            <w:noProof/>
            <w:webHidden/>
          </w:rPr>
          <w:fldChar w:fldCharType="end"/>
        </w:r>
      </w:hyperlink>
    </w:p>
    <w:p w14:paraId="328DD59A" w14:textId="7B164D0B" w:rsidR="001F571C" w:rsidRPr="001F571C" w:rsidRDefault="004F311F">
      <w:pPr>
        <w:pStyle w:val="Verzeichnis2"/>
        <w:tabs>
          <w:tab w:val="left" w:pos="880"/>
          <w:tab w:val="right" w:leader="dot" w:pos="8494"/>
        </w:tabs>
        <w:rPr>
          <w:rFonts w:asciiTheme="minorHAnsi" w:hAnsiTheme="minorHAnsi" w:cstheme="minorBidi"/>
          <w:noProof/>
          <w:sz w:val="22"/>
        </w:rPr>
      </w:pPr>
      <w:hyperlink w:anchor="_Toc88425855" w:history="1">
        <w:r w:rsidR="001F571C" w:rsidRPr="001F571C">
          <w:rPr>
            <w:rStyle w:val="Hyperlink"/>
            <w:noProof/>
          </w:rPr>
          <w:t>A.3</w:t>
        </w:r>
        <w:r w:rsidR="001F571C" w:rsidRPr="001F571C">
          <w:rPr>
            <w:rFonts w:asciiTheme="minorHAnsi" w:hAnsiTheme="minorHAnsi" w:cstheme="minorBidi"/>
            <w:noProof/>
            <w:sz w:val="22"/>
          </w:rPr>
          <w:tab/>
        </w:r>
        <w:r w:rsidR="001F571C" w:rsidRPr="001F571C">
          <w:rPr>
            <w:rStyle w:val="Hyperlink"/>
            <w:noProof/>
          </w:rPr>
          <w:t>Scree-Plot zur Bestimmung der optimalen Clusterzahl (Elbow-Kriterium)</w:t>
        </w:r>
        <w:r w:rsidR="001F571C" w:rsidRPr="001F571C">
          <w:rPr>
            <w:noProof/>
            <w:webHidden/>
          </w:rPr>
          <w:tab/>
        </w:r>
        <w:r w:rsidR="001F571C" w:rsidRPr="001F571C">
          <w:rPr>
            <w:noProof/>
            <w:webHidden/>
          </w:rPr>
          <w:fldChar w:fldCharType="begin"/>
        </w:r>
        <w:r w:rsidR="001F571C" w:rsidRPr="001F571C">
          <w:rPr>
            <w:noProof/>
            <w:webHidden/>
          </w:rPr>
          <w:instrText xml:space="preserve"> PAGEREF _Toc88425855 \h </w:instrText>
        </w:r>
        <w:r w:rsidR="001F571C" w:rsidRPr="001F571C">
          <w:rPr>
            <w:noProof/>
            <w:webHidden/>
          </w:rPr>
        </w:r>
        <w:r w:rsidR="001F571C" w:rsidRPr="001F571C">
          <w:rPr>
            <w:noProof/>
            <w:webHidden/>
          </w:rPr>
          <w:fldChar w:fldCharType="separate"/>
        </w:r>
        <w:r w:rsidR="00285390">
          <w:rPr>
            <w:noProof/>
            <w:webHidden/>
          </w:rPr>
          <w:t>40</w:t>
        </w:r>
        <w:r w:rsidR="001F571C" w:rsidRPr="001F571C">
          <w:rPr>
            <w:noProof/>
            <w:webHidden/>
          </w:rPr>
          <w:fldChar w:fldCharType="end"/>
        </w:r>
      </w:hyperlink>
    </w:p>
    <w:p w14:paraId="06484D5D" w14:textId="296384EA" w:rsidR="001F571C" w:rsidRPr="001F571C" w:rsidRDefault="004F311F">
      <w:pPr>
        <w:pStyle w:val="Verzeichnis2"/>
        <w:tabs>
          <w:tab w:val="left" w:pos="880"/>
          <w:tab w:val="right" w:leader="dot" w:pos="8494"/>
        </w:tabs>
        <w:rPr>
          <w:rFonts w:asciiTheme="minorHAnsi" w:hAnsiTheme="minorHAnsi" w:cstheme="minorBidi"/>
          <w:noProof/>
          <w:sz w:val="22"/>
        </w:rPr>
      </w:pPr>
      <w:hyperlink w:anchor="_Toc88425856" w:history="1">
        <w:r w:rsidR="001F571C" w:rsidRPr="001F571C">
          <w:rPr>
            <w:rStyle w:val="Hyperlink"/>
            <w:noProof/>
          </w:rPr>
          <w:t>A.4</w:t>
        </w:r>
        <w:r w:rsidR="001F571C" w:rsidRPr="001F571C">
          <w:rPr>
            <w:rFonts w:asciiTheme="minorHAnsi" w:hAnsiTheme="minorHAnsi" w:cstheme="minorBidi"/>
            <w:noProof/>
            <w:sz w:val="22"/>
          </w:rPr>
          <w:tab/>
        </w:r>
        <w:r w:rsidR="001F571C" w:rsidRPr="001F571C">
          <w:rPr>
            <w:rStyle w:val="Hyperlink"/>
            <w:noProof/>
          </w:rPr>
          <w:t xml:space="preserve">Bestimmung der optimalen Clusterzahl nach dem Kriterium von </w:t>
        </w:r>
        <w:r w:rsidR="001F571C">
          <w:rPr>
            <w:rStyle w:val="Hyperlink"/>
            <w:noProof/>
          </w:rPr>
          <w:tab/>
        </w:r>
        <w:r w:rsidR="001F571C">
          <w:rPr>
            <w:rStyle w:val="Hyperlink"/>
            <w:noProof/>
          </w:rPr>
          <w:tab/>
        </w:r>
        <w:r w:rsidR="001F571C" w:rsidRPr="001F571C">
          <w:rPr>
            <w:rStyle w:val="Hyperlink"/>
            <w:noProof/>
          </w:rPr>
          <w:t>Ratkowsky-Lance</w:t>
        </w:r>
        <w:r w:rsidR="001F571C" w:rsidRPr="001F571C">
          <w:rPr>
            <w:noProof/>
            <w:webHidden/>
          </w:rPr>
          <w:tab/>
        </w:r>
        <w:r w:rsidR="001F571C" w:rsidRPr="001F571C">
          <w:rPr>
            <w:noProof/>
            <w:webHidden/>
          </w:rPr>
          <w:fldChar w:fldCharType="begin"/>
        </w:r>
        <w:r w:rsidR="001F571C" w:rsidRPr="001F571C">
          <w:rPr>
            <w:noProof/>
            <w:webHidden/>
          </w:rPr>
          <w:instrText xml:space="preserve"> PAGEREF _Toc88425856 \h </w:instrText>
        </w:r>
        <w:r w:rsidR="001F571C" w:rsidRPr="001F571C">
          <w:rPr>
            <w:noProof/>
            <w:webHidden/>
          </w:rPr>
        </w:r>
        <w:r w:rsidR="001F571C" w:rsidRPr="001F571C">
          <w:rPr>
            <w:noProof/>
            <w:webHidden/>
          </w:rPr>
          <w:fldChar w:fldCharType="separate"/>
        </w:r>
        <w:r w:rsidR="00285390">
          <w:rPr>
            <w:noProof/>
            <w:webHidden/>
          </w:rPr>
          <w:t>40</w:t>
        </w:r>
        <w:r w:rsidR="001F571C" w:rsidRPr="001F571C">
          <w:rPr>
            <w:noProof/>
            <w:webHidden/>
          </w:rPr>
          <w:fldChar w:fldCharType="end"/>
        </w:r>
      </w:hyperlink>
    </w:p>
    <w:p w14:paraId="1ECCA927" w14:textId="0AF9673E" w:rsidR="001F571C" w:rsidRDefault="004F311F">
      <w:pPr>
        <w:pStyle w:val="Verzeichnis1"/>
        <w:tabs>
          <w:tab w:val="left" w:pos="440"/>
          <w:tab w:val="right" w:leader="dot" w:pos="8494"/>
        </w:tabs>
        <w:rPr>
          <w:rFonts w:asciiTheme="minorHAnsi" w:hAnsiTheme="minorHAnsi" w:cstheme="minorBidi"/>
          <w:b w:val="0"/>
          <w:noProof/>
          <w:sz w:val="22"/>
        </w:rPr>
      </w:pPr>
      <w:hyperlink w:anchor="_Toc88425857" w:history="1">
        <w:r w:rsidR="001F571C" w:rsidRPr="00C24662">
          <w:rPr>
            <w:rStyle w:val="Hyperlink"/>
            <w:bCs/>
            <w:noProof/>
          </w:rPr>
          <w:t>B</w:t>
        </w:r>
        <w:r w:rsidR="001F571C">
          <w:rPr>
            <w:rFonts w:asciiTheme="minorHAnsi" w:hAnsiTheme="minorHAnsi" w:cstheme="minorBidi"/>
            <w:b w:val="0"/>
            <w:noProof/>
            <w:sz w:val="22"/>
          </w:rPr>
          <w:tab/>
        </w:r>
        <w:r w:rsidR="001F571C" w:rsidRPr="00C24662">
          <w:rPr>
            <w:rStyle w:val="Hyperlink"/>
            <w:bCs/>
            <w:noProof/>
          </w:rPr>
          <w:t>Tabellen</w:t>
        </w:r>
        <w:r w:rsidR="001F571C">
          <w:rPr>
            <w:noProof/>
            <w:webHidden/>
          </w:rPr>
          <w:tab/>
        </w:r>
        <w:r w:rsidR="001F571C">
          <w:rPr>
            <w:noProof/>
            <w:webHidden/>
          </w:rPr>
          <w:fldChar w:fldCharType="begin"/>
        </w:r>
        <w:r w:rsidR="001F571C">
          <w:rPr>
            <w:noProof/>
            <w:webHidden/>
          </w:rPr>
          <w:instrText xml:space="preserve"> PAGEREF _Toc88425857 \h </w:instrText>
        </w:r>
        <w:r w:rsidR="001F571C">
          <w:rPr>
            <w:noProof/>
            <w:webHidden/>
          </w:rPr>
        </w:r>
        <w:r w:rsidR="001F571C">
          <w:rPr>
            <w:noProof/>
            <w:webHidden/>
          </w:rPr>
          <w:fldChar w:fldCharType="separate"/>
        </w:r>
        <w:r w:rsidR="00285390">
          <w:rPr>
            <w:noProof/>
            <w:webHidden/>
          </w:rPr>
          <w:t>43</w:t>
        </w:r>
        <w:r w:rsidR="001F571C">
          <w:rPr>
            <w:noProof/>
            <w:webHidden/>
          </w:rPr>
          <w:fldChar w:fldCharType="end"/>
        </w:r>
      </w:hyperlink>
    </w:p>
    <w:p w14:paraId="2C81F1C5" w14:textId="4D0E1D02" w:rsidR="001F571C" w:rsidRPr="001F571C" w:rsidRDefault="004F311F">
      <w:pPr>
        <w:pStyle w:val="Verzeichnis2"/>
        <w:tabs>
          <w:tab w:val="left" w:pos="880"/>
          <w:tab w:val="right" w:leader="dot" w:pos="8494"/>
        </w:tabs>
        <w:rPr>
          <w:rFonts w:asciiTheme="minorHAnsi" w:hAnsiTheme="minorHAnsi" w:cstheme="minorBidi"/>
          <w:noProof/>
          <w:sz w:val="22"/>
        </w:rPr>
      </w:pPr>
      <w:hyperlink w:anchor="_Toc88425858" w:history="1">
        <w:r w:rsidR="001F571C" w:rsidRPr="001F571C">
          <w:rPr>
            <w:rStyle w:val="Hyperlink"/>
            <w:noProof/>
          </w:rPr>
          <w:t>B.1</w:t>
        </w:r>
        <w:r w:rsidR="001F571C" w:rsidRPr="001F571C">
          <w:rPr>
            <w:rFonts w:asciiTheme="minorHAnsi" w:hAnsiTheme="minorHAnsi" w:cstheme="minorBidi"/>
            <w:noProof/>
            <w:sz w:val="22"/>
          </w:rPr>
          <w:tab/>
        </w:r>
        <w:r w:rsidR="001F571C" w:rsidRPr="001F571C">
          <w:rPr>
            <w:rStyle w:val="Hyperlink"/>
            <w:noProof/>
          </w:rPr>
          <w:t>Ablauf der Stichprobenauswahl</w:t>
        </w:r>
        <w:r w:rsidR="001F571C" w:rsidRPr="001F571C">
          <w:rPr>
            <w:noProof/>
            <w:webHidden/>
          </w:rPr>
          <w:tab/>
        </w:r>
        <w:r w:rsidR="001F571C" w:rsidRPr="001F571C">
          <w:rPr>
            <w:noProof/>
            <w:webHidden/>
          </w:rPr>
          <w:fldChar w:fldCharType="begin"/>
        </w:r>
        <w:r w:rsidR="001F571C" w:rsidRPr="001F571C">
          <w:rPr>
            <w:noProof/>
            <w:webHidden/>
          </w:rPr>
          <w:instrText xml:space="preserve"> PAGEREF _Toc88425858 \h </w:instrText>
        </w:r>
        <w:r w:rsidR="001F571C" w:rsidRPr="001F571C">
          <w:rPr>
            <w:noProof/>
            <w:webHidden/>
          </w:rPr>
        </w:r>
        <w:r w:rsidR="001F571C" w:rsidRPr="001F571C">
          <w:rPr>
            <w:noProof/>
            <w:webHidden/>
          </w:rPr>
          <w:fldChar w:fldCharType="separate"/>
        </w:r>
        <w:r w:rsidR="00285390">
          <w:rPr>
            <w:noProof/>
            <w:webHidden/>
          </w:rPr>
          <w:t>43</w:t>
        </w:r>
        <w:r w:rsidR="001F571C" w:rsidRPr="001F571C">
          <w:rPr>
            <w:noProof/>
            <w:webHidden/>
          </w:rPr>
          <w:fldChar w:fldCharType="end"/>
        </w:r>
      </w:hyperlink>
    </w:p>
    <w:p w14:paraId="1024D9AD" w14:textId="727DEEA9" w:rsidR="001F571C" w:rsidRPr="001F571C" w:rsidRDefault="004F311F">
      <w:pPr>
        <w:pStyle w:val="Verzeichnis2"/>
        <w:tabs>
          <w:tab w:val="left" w:pos="880"/>
          <w:tab w:val="right" w:leader="dot" w:pos="8494"/>
        </w:tabs>
        <w:rPr>
          <w:rFonts w:asciiTheme="minorHAnsi" w:hAnsiTheme="minorHAnsi" w:cstheme="minorBidi"/>
          <w:noProof/>
          <w:sz w:val="22"/>
        </w:rPr>
      </w:pPr>
      <w:hyperlink w:anchor="_Toc88425859" w:history="1">
        <w:r w:rsidR="001F571C" w:rsidRPr="001F571C">
          <w:rPr>
            <w:rStyle w:val="Hyperlink"/>
            <w:noProof/>
          </w:rPr>
          <w:t>B.2</w:t>
        </w:r>
        <w:r w:rsidR="001F571C" w:rsidRPr="001F571C">
          <w:rPr>
            <w:rFonts w:asciiTheme="minorHAnsi" w:hAnsiTheme="minorHAnsi" w:cstheme="minorBidi"/>
            <w:noProof/>
            <w:sz w:val="22"/>
          </w:rPr>
          <w:tab/>
        </w:r>
        <w:r w:rsidR="001F571C" w:rsidRPr="001F571C">
          <w:rPr>
            <w:rStyle w:val="Hyperlink"/>
            <w:noProof/>
          </w:rPr>
          <w:t>Anzahl der Unternehmen in der Stichprobe nach Ländern</w:t>
        </w:r>
        <w:r w:rsidR="001F571C" w:rsidRPr="001F571C">
          <w:rPr>
            <w:noProof/>
            <w:webHidden/>
          </w:rPr>
          <w:tab/>
        </w:r>
        <w:r w:rsidR="001F571C" w:rsidRPr="001F571C">
          <w:rPr>
            <w:noProof/>
            <w:webHidden/>
          </w:rPr>
          <w:fldChar w:fldCharType="begin"/>
        </w:r>
        <w:r w:rsidR="001F571C" w:rsidRPr="001F571C">
          <w:rPr>
            <w:noProof/>
            <w:webHidden/>
          </w:rPr>
          <w:instrText xml:space="preserve"> PAGEREF _Toc88425859 \h </w:instrText>
        </w:r>
        <w:r w:rsidR="001F571C" w:rsidRPr="001F571C">
          <w:rPr>
            <w:noProof/>
            <w:webHidden/>
          </w:rPr>
        </w:r>
        <w:r w:rsidR="001F571C" w:rsidRPr="001F571C">
          <w:rPr>
            <w:noProof/>
            <w:webHidden/>
          </w:rPr>
          <w:fldChar w:fldCharType="separate"/>
        </w:r>
        <w:r w:rsidR="00285390">
          <w:rPr>
            <w:noProof/>
            <w:webHidden/>
          </w:rPr>
          <w:t>43</w:t>
        </w:r>
        <w:r w:rsidR="001F571C" w:rsidRPr="001F571C">
          <w:rPr>
            <w:noProof/>
            <w:webHidden/>
          </w:rPr>
          <w:fldChar w:fldCharType="end"/>
        </w:r>
      </w:hyperlink>
    </w:p>
    <w:p w14:paraId="70BF83C8" w14:textId="18B85BBE" w:rsidR="001F571C" w:rsidRPr="001F571C" w:rsidRDefault="004F311F">
      <w:pPr>
        <w:pStyle w:val="Verzeichnis2"/>
        <w:tabs>
          <w:tab w:val="left" w:pos="880"/>
          <w:tab w:val="right" w:leader="dot" w:pos="8494"/>
        </w:tabs>
        <w:rPr>
          <w:rFonts w:asciiTheme="minorHAnsi" w:hAnsiTheme="minorHAnsi" w:cstheme="minorBidi"/>
          <w:noProof/>
          <w:sz w:val="22"/>
        </w:rPr>
      </w:pPr>
      <w:hyperlink w:anchor="_Toc88425860" w:history="1">
        <w:r w:rsidR="001F571C" w:rsidRPr="001F571C">
          <w:rPr>
            <w:rStyle w:val="Hyperlink"/>
            <w:noProof/>
          </w:rPr>
          <w:t>B.3</w:t>
        </w:r>
        <w:r w:rsidR="001F571C" w:rsidRPr="001F571C">
          <w:rPr>
            <w:rFonts w:asciiTheme="minorHAnsi" w:hAnsiTheme="minorHAnsi" w:cstheme="minorBidi"/>
            <w:noProof/>
            <w:sz w:val="22"/>
          </w:rPr>
          <w:tab/>
        </w:r>
        <w:r w:rsidR="001F571C" w:rsidRPr="001F571C">
          <w:rPr>
            <w:rStyle w:val="Hyperlink"/>
            <w:noProof/>
          </w:rPr>
          <w:t xml:space="preserve">Korrelationskoeffizienten der Residuen der abhängigen Variablen für </w:t>
        </w:r>
        <w:r w:rsidR="001F571C">
          <w:rPr>
            <w:rStyle w:val="Hyperlink"/>
            <w:noProof/>
          </w:rPr>
          <w:tab/>
        </w:r>
        <w:r w:rsidR="001F571C">
          <w:rPr>
            <w:rStyle w:val="Hyperlink"/>
            <w:noProof/>
          </w:rPr>
          <w:tab/>
        </w:r>
        <w:r w:rsidR="001F571C" w:rsidRPr="001F571C">
          <w:rPr>
            <w:rStyle w:val="Hyperlink"/>
            <w:noProof/>
          </w:rPr>
          <w:t>die multivariate Probit Regression</w:t>
        </w:r>
        <w:r w:rsidR="001F571C" w:rsidRPr="001F571C">
          <w:rPr>
            <w:noProof/>
            <w:webHidden/>
          </w:rPr>
          <w:tab/>
        </w:r>
        <w:r w:rsidR="001F571C" w:rsidRPr="001F571C">
          <w:rPr>
            <w:noProof/>
            <w:webHidden/>
          </w:rPr>
          <w:fldChar w:fldCharType="begin"/>
        </w:r>
        <w:r w:rsidR="001F571C" w:rsidRPr="001F571C">
          <w:rPr>
            <w:noProof/>
            <w:webHidden/>
          </w:rPr>
          <w:instrText xml:space="preserve"> PAGEREF _Toc88425860 \h </w:instrText>
        </w:r>
        <w:r w:rsidR="001F571C" w:rsidRPr="001F571C">
          <w:rPr>
            <w:noProof/>
            <w:webHidden/>
          </w:rPr>
        </w:r>
        <w:r w:rsidR="001F571C" w:rsidRPr="001F571C">
          <w:rPr>
            <w:noProof/>
            <w:webHidden/>
          </w:rPr>
          <w:fldChar w:fldCharType="separate"/>
        </w:r>
        <w:r w:rsidR="00285390">
          <w:rPr>
            <w:noProof/>
            <w:webHidden/>
          </w:rPr>
          <w:t>43</w:t>
        </w:r>
        <w:r w:rsidR="001F571C" w:rsidRPr="001F571C">
          <w:rPr>
            <w:noProof/>
            <w:webHidden/>
          </w:rPr>
          <w:fldChar w:fldCharType="end"/>
        </w:r>
      </w:hyperlink>
    </w:p>
    <w:p w14:paraId="7E2F89DC" w14:textId="7F6E84F4" w:rsidR="001F571C" w:rsidRPr="001F571C" w:rsidRDefault="004F311F">
      <w:pPr>
        <w:pStyle w:val="Verzeichnis2"/>
        <w:tabs>
          <w:tab w:val="left" w:pos="880"/>
          <w:tab w:val="right" w:leader="dot" w:pos="8494"/>
        </w:tabs>
        <w:rPr>
          <w:rFonts w:asciiTheme="minorHAnsi" w:hAnsiTheme="minorHAnsi" w:cstheme="minorBidi"/>
          <w:noProof/>
          <w:sz w:val="22"/>
        </w:rPr>
      </w:pPr>
      <w:hyperlink w:anchor="_Toc88425861" w:history="1">
        <w:r w:rsidR="001F571C" w:rsidRPr="001F571C">
          <w:rPr>
            <w:rStyle w:val="Hyperlink"/>
            <w:noProof/>
          </w:rPr>
          <w:t>B.4</w:t>
        </w:r>
        <w:r w:rsidR="001F571C" w:rsidRPr="001F571C">
          <w:rPr>
            <w:rFonts w:asciiTheme="minorHAnsi" w:hAnsiTheme="minorHAnsi" w:cstheme="minorBidi"/>
            <w:noProof/>
            <w:sz w:val="22"/>
          </w:rPr>
          <w:tab/>
        </w:r>
        <w:r w:rsidR="001F571C" w:rsidRPr="001F571C">
          <w:rPr>
            <w:rStyle w:val="Hyperlink"/>
            <w:noProof/>
          </w:rPr>
          <w:t xml:space="preserve">Ergebnisse der unabhängigen univariaten logistischen Regression für </w:t>
        </w:r>
        <w:r w:rsidR="001F571C">
          <w:rPr>
            <w:rStyle w:val="Hyperlink"/>
            <w:noProof/>
          </w:rPr>
          <w:tab/>
        </w:r>
        <w:r w:rsidR="001F571C">
          <w:rPr>
            <w:rStyle w:val="Hyperlink"/>
            <w:noProof/>
          </w:rPr>
          <w:tab/>
        </w:r>
        <w:r w:rsidR="001F571C" w:rsidRPr="001F571C">
          <w:rPr>
            <w:rStyle w:val="Hyperlink"/>
            <w:noProof/>
          </w:rPr>
          <w:t>jede Hypothese</w:t>
        </w:r>
        <w:r w:rsidR="001F571C" w:rsidRPr="001F571C">
          <w:rPr>
            <w:noProof/>
            <w:webHidden/>
          </w:rPr>
          <w:tab/>
        </w:r>
        <w:r w:rsidR="001F571C" w:rsidRPr="001F571C">
          <w:rPr>
            <w:noProof/>
            <w:webHidden/>
          </w:rPr>
          <w:fldChar w:fldCharType="begin"/>
        </w:r>
        <w:r w:rsidR="001F571C" w:rsidRPr="001F571C">
          <w:rPr>
            <w:noProof/>
            <w:webHidden/>
          </w:rPr>
          <w:instrText xml:space="preserve"> PAGEREF _Toc88425861 \h </w:instrText>
        </w:r>
        <w:r w:rsidR="001F571C" w:rsidRPr="001F571C">
          <w:rPr>
            <w:noProof/>
            <w:webHidden/>
          </w:rPr>
        </w:r>
        <w:r w:rsidR="001F571C" w:rsidRPr="001F571C">
          <w:rPr>
            <w:noProof/>
            <w:webHidden/>
          </w:rPr>
          <w:fldChar w:fldCharType="separate"/>
        </w:r>
        <w:r w:rsidR="00285390">
          <w:rPr>
            <w:noProof/>
            <w:webHidden/>
          </w:rPr>
          <w:t>43</w:t>
        </w:r>
        <w:r w:rsidR="001F571C" w:rsidRPr="001F571C">
          <w:rPr>
            <w:noProof/>
            <w:webHidden/>
          </w:rPr>
          <w:fldChar w:fldCharType="end"/>
        </w:r>
      </w:hyperlink>
    </w:p>
    <w:p w14:paraId="00C8C705" w14:textId="75EE0510" w:rsidR="001F571C" w:rsidRPr="001F571C" w:rsidRDefault="004F311F">
      <w:pPr>
        <w:pStyle w:val="Verzeichnis2"/>
        <w:tabs>
          <w:tab w:val="left" w:pos="880"/>
          <w:tab w:val="right" w:leader="dot" w:pos="8494"/>
        </w:tabs>
        <w:rPr>
          <w:rFonts w:asciiTheme="minorHAnsi" w:hAnsiTheme="minorHAnsi" w:cstheme="minorBidi"/>
          <w:noProof/>
          <w:sz w:val="22"/>
        </w:rPr>
      </w:pPr>
      <w:hyperlink w:anchor="_Toc88425862" w:history="1">
        <w:r w:rsidR="001F571C" w:rsidRPr="001F571C">
          <w:rPr>
            <w:rStyle w:val="Hyperlink"/>
            <w:noProof/>
          </w:rPr>
          <w:t>B.5</w:t>
        </w:r>
        <w:r w:rsidR="001F571C" w:rsidRPr="001F571C">
          <w:rPr>
            <w:rFonts w:asciiTheme="minorHAnsi" w:hAnsiTheme="minorHAnsi" w:cstheme="minorBidi"/>
            <w:noProof/>
            <w:sz w:val="22"/>
          </w:rPr>
          <w:tab/>
        </w:r>
        <w:r w:rsidR="001F571C" w:rsidRPr="001F571C">
          <w:rPr>
            <w:rStyle w:val="Hyperlink"/>
            <w:noProof/>
          </w:rPr>
          <w:t>Ergebnisse der multinomialen logistischen Regression</w:t>
        </w:r>
        <w:r w:rsidR="001F571C" w:rsidRPr="001F571C">
          <w:rPr>
            <w:noProof/>
            <w:webHidden/>
          </w:rPr>
          <w:tab/>
        </w:r>
        <w:r w:rsidR="001F571C" w:rsidRPr="001F571C">
          <w:rPr>
            <w:noProof/>
            <w:webHidden/>
          </w:rPr>
          <w:fldChar w:fldCharType="begin"/>
        </w:r>
        <w:r w:rsidR="001F571C" w:rsidRPr="001F571C">
          <w:rPr>
            <w:noProof/>
            <w:webHidden/>
          </w:rPr>
          <w:instrText xml:space="preserve"> PAGEREF _Toc88425862 \h </w:instrText>
        </w:r>
        <w:r w:rsidR="001F571C" w:rsidRPr="001F571C">
          <w:rPr>
            <w:noProof/>
            <w:webHidden/>
          </w:rPr>
        </w:r>
        <w:r w:rsidR="001F571C" w:rsidRPr="001F571C">
          <w:rPr>
            <w:noProof/>
            <w:webHidden/>
          </w:rPr>
          <w:fldChar w:fldCharType="separate"/>
        </w:r>
        <w:r w:rsidR="00285390">
          <w:rPr>
            <w:noProof/>
            <w:webHidden/>
          </w:rPr>
          <w:t>43</w:t>
        </w:r>
        <w:r w:rsidR="001F571C" w:rsidRPr="001F571C">
          <w:rPr>
            <w:noProof/>
            <w:webHidden/>
          </w:rPr>
          <w:fldChar w:fldCharType="end"/>
        </w:r>
      </w:hyperlink>
    </w:p>
    <w:p w14:paraId="3187B54D" w14:textId="423A6A35" w:rsidR="001F571C" w:rsidRDefault="004F311F">
      <w:pPr>
        <w:pStyle w:val="Verzeichnis1"/>
        <w:tabs>
          <w:tab w:val="left" w:pos="440"/>
          <w:tab w:val="right" w:leader="dot" w:pos="8494"/>
        </w:tabs>
        <w:rPr>
          <w:rFonts w:asciiTheme="minorHAnsi" w:hAnsiTheme="minorHAnsi" w:cstheme="minorBidi"/>
          <w:b w:val="0"/>
          <w:noProof/>
          <w:sz w:val="22"/>
        </w:rPr>
      </w:pPr>
      <w:hyperlink w:anchor="_Toc88425863" w:history="1">
        <w:r w:rsidR="001F571C" w:rsidRPr="00C24662">
          <w:rPr>
            <w:rStyle w:val="Hyperlink"/>
            <w:bCs/>
            <w:noProof/>
          </w:rPr>
          <w:t>C</w:t>
        </w:r>
        <w:r w:rsidR="001F571C">
          <w:rPr>
            <w:rFonts w:asciiTheme="minorHAnsi" w:hAnsiTheme="minorHAnsi" w:cstheme="minorBidi"/>
            <w:b w:val="0"/>
            <w:noProof/>
            <w:sz w:val="22"/>
          </w:rPr>
          <w:tab/>
        </w:r>
        <w:r w:rsidR="001F571C" w:rsidRPr="00C24662">
          <w:rPr>
            <w:rStyle w:val="Hyperlink"/>
            <w:bCs/>
            <w:noProof/>
          </w:rPr>
          <w:t>Eidesstattliche Erklärung</w:t>
        </w:r>
        <w:r w:rsidR="001F571C">
          <w:rPr>
            <w:noProof/>
            <w:webHidden/>
          </w:rPr>
          <w:tab/>
        </w:r>
        <w:r w:rsidR="001F571C">
          <w:rPr>
            <w:noProof/>
            <w:webHidden/>
          </w:rPr>
          <w:fldChar w:fldCharType="begin"/>
        </w:r>
        <w:r w:rsidR="001F571C">
          <w:rPr>
            <w:noProof/>
            <w:webHidden/>
          </w:rPr>
          <w:instrText xml:space="preserve"> PAGEREF _Toc88425863 \h </w:instrText>
        </w:r>
        <w:r w:rsidR="001F571C">
          <w:rPr>
            <w:noProof/>
            <w:webHidden/>
          </w:rPr>
        </w:r>
        <w:r w:rsidR="001F571C">
          <w:rPr>
            <w:noProof/>
            <w:webHidden/>
          </w:rPr>
          <w:fldChar w:fldCharType="separate"/>
        </w:r>
        <w:r w:rsidR="00285390">
          <w:rPr>
            <w:noProof/>
            <w:webHidden/>
          </w:rPr>
          <w:t>51</w:t>
        </w:r>
        <w:r w:rsidR="001F571C">
          <w:rPr>
            <w:noProof/>
            <w:webHidden/>
          </w:rPr>
          <w:fldChar w:fldCharType="end"/>
        </w:r>
      </w:hyperlink>
    </w:p>
    <w:p w14:paraId="71DB173F" w14:textId="3E432470" w:rsidR="0091146A" w:rsidRPr="00187F40" w:rsidRDefault="008A4036">
      <w:pPr>
        <w:spacing w:line="276" w:lineRule="auto"/>
        <w:jc w:val="left"/>
      </w:pPr>
      <w:r>
        <w:fldChar w:fldCharType="end"/>
      </w:r>
      <w:r w:rsidR="00B060EB" w:rsidRPr="004A7C10">
        <w:br w:type="page"/>
      </w:r>
    </w:p>
    <w:p w14:paraId="54D848A8" w14:textId="1F7B6E48" w:rsidR="0091146A" w:rsidRPr="00CC721D" w:rsidRDefault="0091146A" w:rsidP="001A4E15">
      <w:pPr>
        <w:pStyle w:val="Anhang1"/>
        <w:numPr>
          <w:ilvl w:val="0"/>
          <w:numId w:val="12"/>
        </w:numPr>
        <w:spacing w:line="360" w:lineRule="auto"/>
        <w:rPr>
          <w:b/>
          <w:bCs/>
          <w:sz w:val="32"/>
          <w:szCs w:val="32"/>
        </w:rPr>
      </w:pPr>
      <w:bookmarkStart w:id="66" w:name="_Toc88425849"/>
      <w:bookmarkStart w:id="67" w:name="_Toc88425852"/>
      <w:r w:rsidRPr="00CC721D">
        <w:rPr>
          <w:b/>
          <w:bCs/>
          <w:sz w:val="32"/>
          <w:szCs w:val="32"/>
        </w:rPr>
        <w:lastRenderedPageBreak/>
        <w:t>Abbildungen</w:t>
      </w:r>
      <w:bookmarkEnd w:id="66"/>
      <w:bookmarkEnd w:id="67"/>
    </w:p>
    <w:p w14:paraId="15ED9C05" w14:textId="052AB4DD" w:rsidR="00BE7FCE" w:rsidRPr="00F3600D" w:rsidRDefault="00BE7FCE" w:rsidP="00F3600D">
      <w:pPr>
        <w:pStyle w:val="Anhang2"/>
        <w:spacing w:after="240" w:line="240" w:lineRule="auto"/>
        <w:ind w:left="709" w:hanging="709"/>
        <w:rPr>
          <w:b/>
        </w:rPr>
      </w:pPr>
      <w:bookmarkStart w:id="68" w:name="_Toc88425853"/>
      <w:r w:rsidRPr="00F3600D">
        <w:rPr>
          <w:b/>
          <w:szCs w:val="28"/>
        </w:rPr>
        <w:t>Anzahl der Unternehmen in der Stichprobe nach Unternehmensgröße</w:t>
      </w:r>
      <w:bookmarkEnd w:id="68"/>
    </w:p>
    <w:p w14:paraId="57872237" w14:textId="0CB5F3D1" w:rsidR="00BE7FCE" w:rsidRPr="00114E34" w:rsidRDefault="00BE7FCE" w:rsidP="00BE7FCE">
      <w:r>
        <w:t xml:space="preserve">Abbildung </w:t>
      </w:r>
      <w:r w:rsidR="00CC7575">
        <w:t>2</w:t>
      </w:r>
      <w:r>
        <w:t xml:space="preserve"> zeigt die Verteilung der Unternehmen nach Unternehmensgröße in der Stichprobe.</w:t>
      </w:r>
    </w:p>
    <w:p w14:paraId="76386CDF" w14:textId="5551F49A" w:rsidR="00BE7FCE" w:rsidRDefault="00BE7FCE" w:rsidP="00F3600D">
      <w:pPr>
        <w:pStyle w:val="Anhang2"/>
        <w:spacing w:after="240" w:line="240" w:lineRule="auto"/>
        <w:ind w:left="709" w:hanging="709"/>
        <w:rPr>
          <w:b/>
          <w:szCs w:val="28"/>
        </w:rPr>
      </w:pPr>
      <w:bookmarkStart w:id="69" w:name="_Toc88425854"/>
      <w:r w:rsidRPr="00BE7FCE">
        <w:rPr>
          <w:b/>
          <w:szCs w:val="28"/>
        </w:rPr>
        <w:t>Anzahl der KMUs in der EU-28 nach Unternehmensgr</w:t>
      </w:r>
      <w:r>
        <w:rPr>
          <w:b/>
          <w:szCs w:val="28"/>
        </w:rPr>
        <w:t>öße</w:t>
      </w:r>
      <w:bookmarkEnd w:id="69"/>
    </w:p>
    <w:p w14:paraId="6DB59F7E" w14:textId="215CA319" w:rsidR="00BE7FCE" w:rsidRDefault="00BE7FCE" w:rsidP="003B4F17">
      <w:r>
        <w:t xml:space="preserve">Abbildung </w:t>
      </w:r>
      <w:r w:rsidR="00CC7575">
        <w:t>3</w:t>
      </w:r>
      <w:r>
        <w:t xml:space="preserve"> </w:t>
      </w:r>
      <w:r w:rsidR="003B4F17">
        <w:t xml:space="preserve">zeigt die Verteilung der KMUs nach Unternehmensgröße in </w:t>
      </w:r>
      <w:r w:rsidR="007C0CDE">
        <w:t>den EU-28 Staaten</w:t>
      </w:r>
      <w:r w:rsidR="003B4F17">
        <w:t>.</w:t>
      </w:r>
    </w:p>
    <w:p w14:paraId="6BB4A7F8" w14:textId="77777777" w:rsidR="00BE7FCE" w:rsidRPr="009A0673" w:rsidRDefault="00BE7FCE" w:rsidP="00F3600D">
      <w:pPr>
        <w:pStyle w:val="Anhang2"/>
        <w:spacing w:after="240" w:line="240" w:lineRule="auto"/>
        <w:ind w:left="709" w:hanging="709"/>
        <w:rPr>
          <w:b/>
          <w:szCs w:val="28"/>
        </w:rPr>
      </w:pPr>
      <w:bookmarkStart w:id="70" w:name="_Toc88425855"/>
      <w:r w:rsidRPr="004C60CF">
        <w:rPr>
          <w:b/>
          <w:szCs w:val="28"/>
        </w:rPr>
        <w:t>Scree-Plot zur Bestimmung der optimalen Clusterzahl (Elbow-Kriterium)</w:t>
      </w:r>
      <w:bookmarkEnd w:id="70"/>
    </w:p>
    <w:p w14:paraId="0C9CD766" w14:textId="16622A5F" w:rsidR="00BE7FCE" w:rsidRPr="00114E34" w:rsidRDefault="00BE7FCE" w:rsidP="00BE7FCE">
      <w:r>
        <w:t xml:space="preserve">Abbildung </w:t>
      </w:r>
      <w:r w:rsidR="00CC7575">
        <w:t>4</w:t>
      </w:r>
      <w:r>
        <w:t xml:space="preserve"> zeigt ein Scree-Plot zur Bestimmung der optimalen Clusterzahl nach dem Elbow-Kriterium. Dabei wird die Distanz zwischen Cluster nach Wards Kriterium in Abhängigkeit von der Anzahl der Cluster aufgetragen. Die optimale Clusteranzahl erhält man durch das Identifizieren der Knickstelle („Ellbogen“) des Graphen, wovor der Verlauf stark abfällt und rechts daneben die Werte annähernd auf einem niedrigen Niveau stagnieren, hier an der Stelle </w:t>
      </w:r>
      <m:oMath>
        <m:r>
          <w:rPr>
            <w:rFonts w:ascii="Cambria Math" w:hAnsi="Cambria Math"/>
          </w:rPr>
          <m:t>k = 8</m:t>
        </m:r>
      </m:oMath>
      <w:r>
        <w:t>.</w:t>
      </w:r>
    </w:p>
    <w:p w14:paraId="780012BB" w14:textId="77777777" w:rsidR="00BE7FCE" w:rsidRDefault="00BE7FCE" w:rsidP="00F3600D">
      <w:pPr>
        <w:pStyle w:val="Anhang2"/>
        <w:spacing w:after="240" w:line="240" w:lineRule="auto"/>
        <w:ind w:left="709" w:hanging="709"/>
        <w:rPr>
          <w:b/>
          <w:szCs w:val="28"/>
        </w:rPr>
      </w:pPr>
      <w:bookmarkStart w:id="71" w:name="_Toc88425856"/>
      <w:r w:rsidRPr="00E63859">
        <w:rPr>
          <w:b/>
          <w:szCs w:val="28"/>
        </w:rPr>
        <w:t>Bestimmung der optimalen Clusterzahl nach dem Kriterium von Ratkowsky-Lance</w:t>
      </w:r>
      <w:bookmarkEnd w:id="71"/>
    </w:p>
    <w:p w14:paraId="35DB965B" w14:textId="5698BC6D" w:rsidR="00BE7FCE" w:rsidRDefault="00BE7FCE" w:rsidP="00BE7FCE">
      <w:pPr>
        <w:spacing w:before="40" w:after="0"/>
      </w:pPr>
      <w:r>
        <w:t xml:space="preserve">Abbildung </w:t>
      </w:r>
      <w:r w:rsidR="00CC7575">
        <w:t>5</w:t>
      </w:r>
      <w:r>
        <w:t xml:space="preserve"> trägt zur</w:t>
      </w:r>
      <w:r w:rsidRPr="008A4FF6">
        <w:t xml:space="preserve"> </w:t>
      </w:r>
      <w:r>
        <w:t>Bestimmung der optimalen Clusterzahl nach dem Kriterium von</w:t>
      </w:r>
      <w:r w:rsidRPr="008A4FF6">
        <w:t xml:space="preserve"> Ratkowsky-Lance</w:t>
      </w:r>
      <w:r>
        <w:t xml:space="preserve"> den </w:t>
      </w:r>
      <w:r w:rsidRPr="008A4FF6">
        <w:t>Ratkowsky</w:t>
      </w:r>
      <w:r>
        <w:t xml:space="preserve"> / </w:t>
      </w:r>
      <w:r w:rsidRPr="008A4FF6">
        <w:t>Lance</w:t>
      </w:r>
      <w:r>
        <w:t xml:space="preserve"> Index in Abhängigkeit von der Anzahl der Cluster auf. Die optimale Clusteranzahl ist gleich der Clusterzahl </w:t>
      </w:r>
      <m:oMath>
        <m:r>
          <w:rPr>
            <w:rFonts w:ascii="Cambria Math" w:hAnsi="Cambria Math"/>
          </w:rPr>
          <m:t>k</m:t>
        </m:r>
      </m:oMath>
      <w:r>
        <w:t xml:space="preserve">, wo der </w:t>
      </w:r>
      <w:r w:rsidRPr="008A4FF6">
        <w:t>Ratkowsky</w:t>
      </w:r>
      <w:r>
        <w:t xml:space="preserve"> / </w:t>
      </w:r>
      <w:r w:rsidRPr="008A4FF6">
        <w:t>Lance</w:t>
      </w:r>
      <w:r>
        <w:t xml:space="preserve"> Index den Maximalwert annimmt, hier an der Stelle </w:t>
      </w:r>
      <m:oMath>
        <m:r>
          <w:rPr>
            <w:rFonts w:ascii="Cambria Math" w:hAnsi="Cambria Math"/>
          </w:rPr>
          <m:t>k = 8</m:t>
        </m:r>
      </m:oMath>
      <w:r>
        <w:t>.</w:t>
      </w:r>
    </w:p>
    <w:p w14:paraId="78105099" w14:textId="77777777" w:rsidR="00BE7FCE" w:rsidRDefault="00BE7FCE">
      <w:pPr>
        <w:spacing w:line="276" w:lineRule="auto"/>
        <w:jc w:val="left"/>
      </w:pPr>
      <w:r>
        <w:br w:type="page"/>
      </w:r>
    </w:p>
    <w:p w14:paraId="19C548D3" w14:textId="2E1BE8D0" w:rsidR="00937ECA" w:rsidRDefault="0003126D" w:rsidP="00937ECA">
      <w:pPr>
        <w:pStyle w:val="Beschriftung"/>
        <w:keepNext/>
        <w:spacing w:after="0"/>
        <w:rPr>
          <w:i w:val="0"/>
          <w:iCs w:val="0"/>
          <w:color w:val="auto"/>
          <w:sz w:val="24"/>
          <w:szCs w:val="22"/>
        </w:rPr>
      </w:pPr>
      <w:bookmarkStart w:id="72" w:name="_Toc88422977"/>
      <w:r w:rsidRPr="00937ECA">
        <w:rPr>
          <w:b/>
          <w:bCs/>
          <w:i w:val="0"/>
          <w:iCs w:val="0"/>
          <w:color w:val="auto"/>
          <w:sz w:val="24"/>
          <w:szCs w:val="22"/>
        </w:rPr>
        <w:lastRenderedPageBreak/>
        <w:t xml:space="preserve">Abbildung </w:t>
      </w:r>
      <w:r w:rsidRPr="00937ECA">
        <w:rPr>
          <w:b/>
          <w:bCs/>
          <w:i w:val="0"/>
          <w:iCs w:val="0"/>
          <w:color w:val="auto"/>
          <w:sz w:val="24"/>
          <w:szCs w:val="22"/>
        </w:rPr>
        <w:fldChar w:fldCharType="begin"/>
      </w:r>
      <w:r w:rsidRPr="00937ECA">
        <w:rPr>
          <w:b/>
          <w:bCs/>
          <w:i w:val="0"/>
          <w:iCs w:val="0"/>
          <w:color w:val="auto"/>
          <w:sz w:val="24"/>
          <w:szCs w:val="22"/>
        </w:rPr>
        <w:instrText xml:space="preserve"> SEQ Abbildung \* ARABIC </w:instrText>
      </w:r>
      <w:r w:rsidRPr="00937ECA">
        <w:rPr>
          <w:b/>
          <w:bCs/>
          <w:i w:val="0"/>
          <w:iCs w:val="0"/>
          <w:color w:val="auto"/>
          <w:sz w:val="24"/>
          <w:szCs w:val="22"/>
        </w:rPr>
        <w:fldChar w:fldCharType="separate"/>
      </w:r>
      <w:r w:rsidR="00285390">
        <w:rPr>
          <w:b/>
          <w:bCs/>
          <w:i w:val="0"/>
          <w:iCs w:val="0"/>
          <w:noProof/>
          <w:color w:val="auto"/>
          <w:sz w:val="24"/>
          <w:szCs w:val="22"/>
        </w:rPr>
        <w:t>2</w:t>
      </w:r>
      <w:r w:rsidRPr="00937ECA">
        <w:rPr>
          <w:b/>
          <w:bCs/>
          <w:i w:val="0"/>
          <w:iCs w:val="0"/>
          <w:color w:val="auto"/>
          <w:sz w:val="24"/>
          <w:szCs w:val="22"/>
        </w:rPr>
        <w:fldChar w:fldCharType="end"/>
      </w:r>
      <w:r w:rsidR="00937ECA">
        <w:t>:</w:t>
      </w:r>
      <w:r w:rsidR="00937ECA">
        <w:tab/>
      </w:r>
      <w:r w:rsidR="00937ECA" w:rsidRPr="00D762E1">
        <w:rPr>
          <w:i w:val="0"/>
          <w:iCs w:val="0"/>
          <w:color w:val="auto"/>
          <w:sz w:val="24"/>
          <w:szCs w:val="22"/>
        </w:rPr>
        <w:t xml:space="preserve">Anzahl der Unternehmen </w:t>
      </w:r>
      <w:r w:rsidR="00937ECA">
        <w:rPr>
          <w:i w:val="0"/>
          <w:iCs w:val="0"/>
          <w:color w:val="auto"/>
          <w:sz w:val="24"/>
          <w:szCs w:val="22"/>
        </w:rPr>
        <w:t xml:space="preserve">in der Stichprobe </w:t>
      </w:r>
      <w:r w:rsidR="00937ECA" w:rsidRPr="00D762E1">
        <w:rPr>
          <w:i w:val="0"/>
          <w:iCs w:val="0"/>
          <w:color w:val="auto"/>
          <w:sz w:val="24"/>
          <w:szCs w:val="22"/>
        </w:rPr>
        <w:t>nach Unternehmensgröße</w:t>
      </w:r>
      <w:bookmarkEnd w:id="72"/>
    </w:p>
    <w:p w14:paraId="40879494" w14:textId="77777777" w:rsidR="00937ECA" w:rsidRDefault="00937ECA" w:rsidP="00937ECA">
      <w:pPr>
        <w:spacing w:after="0"/>
        <w:ind w:left="709" w:firstLine="709"/>
      </w:pPr>
      <w:r>
        <w:t>eigene Darstellung</w:t>
      </w:r>
    </w:p>
    <w:p w14:paraId="74FAE2F1" w14:textId="2C5BC802" w:rsidR="0003126D" w:rsidRDefault="0003126D" w:rsidP="0003126D">
      <w:pPr>
        <w:pStyle w:val="Beschriftung"/>
        <w:keepNext/>
      </w:pPr>
    </w:p>
    <w:p w14:paraId="7583D214" w14:textId="77777777" w:rsidR="00BE7FCE" w:rsidRDefault="00BE7FCE" w:rsidP="00BE7FCE">
      <w:pPr>
        <w:spacing w:after="0"/>
      </w:pPr>
      <w:r>
        <w:rPr>
          <w:noProof/>
        </w:rPr>
        <w:drawing>
          <wp:inline distT="0" distB="0" distL="0" distR="0" wp14:anchorId="09DD8A4B" wp14:editId="130F22AF">
            <wp:extent cx="5240216" cy="1974850"/>
            <wp:effectExtent l="0" t="0" r="0" b="635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20754C4" w14:textId="77777777" w:rsidR="00BE7FCE" w:rsidRDefault="00BE7FCE" w:rsidP="00BE7FCE">
      <w:pPr>
        <w:pStyle w:val="Beschriftung"/>
        <w:keepNext/>
        <w:spacing w:before="200" w:after="0"/>
        <w:rPr>
          <w:b/>
          <w:bCs/>
          <w:i w:val="0"/>
          <w:iCs w:val="0"/>
          <w:color w:val="auto"/>
          <w:sz w:val="24"/>
          <w:szCs w:val="22"/>
        </w:rPr>
      </w:pPr>
    </w:p>
    <w:p w14:paraId="13BCD912" w14:textId="33C53B9F" w:rsidR="00BE7FCE" w:rsidRDefault="00BE7FCE" w:rsidP="00BE7FCE">
      <w:pPr>
        <w:pStyle w:val="Beschriftung"/>
        <w:keepNext/>
        <w:spacing w:after="120"/>
        <w:ind w:left="709" w:firstLine="709"/>
      </w:pPr>
    </w:p>
    <w:p w14:paraId="6D3E6C41" w14:textId="48130AE3" w:rsidR="00937ECA" w:rsidRDefault="0003126D" w:rsidP="00937ECA">
      <w:pPr>
        <w:pStyle w:val="Beschriftung"/>
        <w:keepNext/>
        <w:spacing w:before="200" w:after="0"/>
        <w:rPr>
          <w:i w:val="0"/>
          <w:iCs w:val="0"/>
          <w:color w:val="auto"/>
          <w:sz w:val="24"/>
          <w:szCs w:val="22"/>
        </w:rPr>
      </w:pPr>
      <w:bookmarkStart w:id="73" w:name="_Toc88422978"/>
      <w:r w:rsidRPr="00937ECA">
        <w:rPr>
          <w:b/>
          <w:bCs/>
          <w:i w:val="0"/>
          <w:iCs w:val="0"/>
          <w:color w:val="auto"/>
          <w:sz w:val="24"/>
          <w:szCs w:val="22"/>
        </w:rPr>
        <w:t xml:space="preserve">Abbildung </w:t>
      </w:r>
      <w:r w:rsidRPr="00937ECA">
        <w:rPr>
          <w:b/>
          <w:bCs/>
          <w:i w:val="0"/>
          <w:iCs w:val="0"/>
          <w:color w:val="auto"/>
          <w:sz w:val="24"/>
          <w:szCs w:val="22"/>
        </w:rPr>
        <w:fldChar w:fldCharType="begin"/>
      </w:r>
      <w:r w:rsidRPr="00937ECA">
        <w:rPr>
          <w:b/>
          <w:bCs/>
          <w:i w:val="0"/>
          <w:iCs w:val="0"/>
          <w:color w:val="auto"/>
          <w:sz w:val="24"/>
          <w:szCs w:val="22"/>
        </w:rPr>
        <w:instrText xml:space="preserve"> SEQ Abbildung \* ARABIC </w:instrText>
      </w:r>
      <w:r w:rsidRPr="00937ECA">
        <w:rPr>
          <w:b/>
          <w:bCs/>
          <w:i w:val="0"/>
          <w:iCs w:val="0"/>
          <w:color w:val="auto"/>
          <w:sz w:val="24"/>
          <w:szCs w:val="22"/>
        </w:rPr>
        <w:fldChar w:fldCharType="separate"/>
      </w:r>
      <w:r w:rsidR="00285390">
        <w:rPr>
          <w:b/>
          <w:bCs/>
          <w:i w:val="0"/>
          <w:iCs w:val="0"/>
          <w:noProof/>
          <w:color w:val="auto"/>
          <w:sz w:val="24"/>
          <w:szCs w:val="22"/>
        </w:rPr>
        <w:t>3</w:t>
      </w:r>
      <w:r w:rsidRPr="00937ECA">
        <w:rPr>
          <w:b/>
          <w:bCs/>
          <w:i w:val="0"/>
          <w:iCs w:val="0"/>
          <w:color w:val="auto"/>
          <w:sz w:val="24"/>
          <w:szCs w:val="22"/>
        </w:rPr>
        <w:fldChar w:fldCharType="end"/>
      </w:r>
      <w:r w:rsidR="00937ECA" w:rsidRPr="00937ECA">
        <w:rPr>
          <w:b/>
          <w:bCs/>
          <w:i w:val="0"/>
          <w:iCs w:val="0"/>
          <w:color w:val="auto"/>
          <w:sz w:val="24"/>
          <w:szCs w:val="22"/>
        </w:rPr>
        <w:t>:</w:t>
      </w:r>
      <w:r w:rsidR="00937ECA" w:rsidRPr="00937ECA">
        <w:rPr>
          <w:i w:val="0"/>
          <w:iCs w:val="0"/>
          <w:color w:val="auto"/>
          <w:sz w:val="24"/>
          <w:szCs w:val="22"/>
        </w:rPr>
        <w:t xml:space="preserve"> </w:t>
      </w:r>
      <w:r w:rsidR="00937ECA">
        <w:rPr>
          <w:i w:val="0"/>
          <w:iCs w:val="0"/>
          <w:color w:val="auto"/>
          <w:sz w:val="24"/>
          <w:szCs w:val="22"/>
        </w:rPr>
        <w:tab/>
      </w:r>
      <w:r w:rsidR="00937ECA" w:rsidRPr="00937ECA">
        <w:rPr>
          <w:i w:val="0"/>
          <w:iCs w:val="0"/>
          <w:color w:val="auto"/>
          <w:spacing w:val="-2"/>
          <w:sz w:val="24"/>
          <w:szCs w:val="22"/>
        </w:rPr>
        <w:t>Anzahl der KMUs in der EU-28 inkl. UK nach</w:t>
      </w:r>
      <w:r w:rsidR="00937ECA" w:rsidRPr="00937ECA">
        <w:rPr>
          <w:spacing w:val="-2"/>
        </w:rPr>
        <w:t xml:space="preserve"> </w:t>
      </w:r>
      <w:r w:rsidR="00937ECA" w:rsidRPr="00937ECA">
        <w:rPr>
          <w:i w:val="0"/>
          <w:iCs w:val="0"/>
          <w:color w:val="auto"/>
          <w:spacing w:val="-2"/>
          <w:sz w:val="24"/>
          <w:szCs w:val="22"/>
        </w:rPr>
        <w:t>Unternehmensgröße, 2019</w:t>
      </w:r>
      <w:bookmarkEnd w:id="73"/>
    </w:p>
    <w:p w14:paraId="0ECBF074" w14:textId="77777777" w:rsidR="00937ECA" w:rsidRDefault="00937ECA" w:rsidP="00937ECA">
      <w:pPr>
        <w:pStyle w:val="Beschriftung"/>
        <w:keepNext/>
        <w:spacing w:after="120"/>
        <w:ind w:left="709" w:firstLine="709"/>
      </w:pPr>
      <w:r w:rsidRPr="00182837">
        <w:rPr>
          <w:i w:val="0"/>
          <w:iCs w:val="0"/>
          <w:color w:val="auto"/>
          <w:sz w:val="24"/>
          <w:szCs w:val="22"/>
        </w:rPr>
        <w:t xml:space="preserve">eigene Darstellung </w:t>
      </w:r>
      <w:r w:rsidRPr="001A78AC">
        <w:rPr>
          <w:i w:val="0"/>
          <w:iCs w:val="0"/>
          <w:color w:val="auto"/>
          <w:sz w:val="24"/>
          <w:szCs w:val="22"/>
        </w:rPr>
        <w:t>mit Daten aus</w:t>
      </w:r>
      <w:r w:rsidRPr="00182837">
        <w:rPr>
          <w:i w:val="0"/>
          <w:iCs w:val="0"/>
          <w:color w:val="auto"/>
          <w:sz w:val="24"/>
          <w:szCs w:val="22"/>
        </w:rPr>
        <w:t xml:space="preserve"> E</w:t>
      </w:r>
      <w:r>
        <w:rPr>
          <w:i w:val="0"/>
          <w:iCs w:val="0"/>
          <w:color w:val="auto"/>
          <w:sz w:val="24"/>
          <w:szCs w:val="22"/>
        </w:rPr>
        <w:t xml:space="preserve">uropäische </w:t>
      </w:r>
      <w:r w:rsidRPr="00182837">
        <w:rPr>
          <w:i w:val="0"/>
          <w:iCs w:val="0"/>
          <w:color w:val="auto"/>
          <w:sz w:val="24"/>
          <w:szCs w:val="22"/>
        </w:rPr>
        <w:t>Kommission (20</w:t>
      </w:r>
      <w:r>
        <w:rPr>
          <w:i w:val="0"/>
          <w:iCs w:val="0"/>
          <w:color w:val="auto"/>
          <w:sz w:val="24"/>
          <w:szCs w:val="22"/>
        </w:rPr>
        <w:t>19</w:t>
      </w:r>
      <w:r w:rsidRPr="00182837">
        <w:rPr>
          <w:i w:val="0"/>
          <w:iCs w:val="0"/>
          <w:color w:val="auto"/>
          <w:sz w:val="24"/>
          <w:szCs w:val="22"/>
        </w:rPr>
        <w:t>)</w:t>
      </w:r>
      <w:r>
        <w:rPr>
          <w:i w:val="0"/>
          <w:iCs w:val="0"/>
          <w:color w:val="auto"/>
          <w:sz w:val="24"/>
          <w:szCs w:val="22"/>
        </w:rPr>
        <w:t>,</w:t>
      </w:r>
      <w:r w:rsidRPr="00182837">
        <w:rPr>
          <w:i w:val="0"/>
          <w:iCs w:val="0"/>
          <w:color w:val="auto"/>
          <w:sz w:val="24"/>
          <w:szCs w:val="22"/>
        </w:rPr>
        <w:t xml:space="preserve"> </w:t>
      </w:r>
      <w:r>
        <w:rPr>
          <w:i w:val="0"/>
          <w:iCs w:val="0"/>
          <w:color w:val="auto"/>
          <w:sz w:val="24"/>
          <w:szCs w:val="22"/>
        </w:rPr>
        <w:t>S</w:t>
      </w:r>
      <w:r w:rsidRPr="00182837">
        <w:rPr>
          <w:i w:val="0"/>
          <w:iCs w:val="0"/>
          <w:color w:val="auto"/>
          <w:sz w:val="24"/>
          <w:szCs w:val="22"/>
        </w:rPr>
        <w:t>.</w:t>
      </w:r>
      <w:r>
        <w:rPr>
          <w:i w:val="0"/>
          <w:iCs w:val="0"/>
          <w:color w:val="auto"/>
          <w:sz w:val="24"/>
          <w:szCs w:val="22"/>
        </w:rPr>
        <w:t xml:space="preserve"> 2.</w:t>
      </w:r>
    </w:p>
    <w:p w14:paraId="0B9AF38B" w14:textId="40D448EA" w:rsidR="0003126D" w:rsidRDefault="0003126D" w:rsidP="0003126D">
      <w:pPr>
        <w:pStyle w:val="Beschriftung"/>
        <w:keepNext/>
        <w:jc w:val="left"/>
      </w:pPr>
    </w:p>
    <w:p w14:paraId="63C9EB08" w14:textId="4EE031A6" w:rsidR="0091146A" w:rsidRDefault="00BE7FCE" w:rsidP="00BE7FCE">
      <w:pPr>
        <w:spacing w:line="276" w:lineRule="auto"/>
        <w:jc w:val="left"/>
      </w:pPr>
      <w:r>
        <w:rPr>
          <w:noProof/>
        </w:rPr>
        <w:drawing>
          <wp:inline distT="0" distB="0" distL="0" distR="0" wp14:anchorId="46B25955" wp14:editId="4319EFD7">
            <wp:extent cx="5240216" cy="1974850"/>
            <wp:effectExtent l="0" t="0" r="0" b="635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91146A">
        <w:br w:type="page"/>
      </w:r>
    </w:p>
    <w:p w14:paraId="06FA38D2" w14:textId="40DEBA8F" w:rsidR="0003126D" w:rsidRDefault="0003126D" w:rsidP="0003126D">
      <w:pPr>
        <w:pStyle w:val="Beschriftung"/>
        <w:keepNext/>
        <w:spacing w:before="200" w:after="0"/>
        <w:jc w:val="left"/>
        <w:rPr>
          <w:i w:val="0"/>
          <w:iCs w:val="0"/>
          <w:color w:val="auto"/>
          <w:sz w:val="24"/>
          <w:szCs w:val="22"/>
        </w:rPr>
      </w:pPr>
      <w:bookmarkStart w:id="74" w:name="_Toc88422979"/>
      <w:r w:rsidRPr="0003126D">
        <w:rPr>
          <w:b/>
          <w:bCs/>
          <w:i w:val="0"/>
          <w:iCs w:val="0"/>
          <w:color w:val="auto"/>
          <w:sz w:val="24"/>
          <w:szCs w:val="22"/>
        </w:rPr>
        <w:lastRenderedPageBreak/>
        <w:t xml:space="preserve">Abbildung </w:t>
      </w:r>
      <w:r w:rsidRPr="0003126D">
        <w:rPr>
          <w:b/>
          <w:bCs/>
          <w:i w:val="0"/>
          <w:iCs w:val="0"/>
          <w:color w:val="auto"/>
          <w:sz w:val="24"/>
          <w:szCs w:val="22"/>
        </w:rPr>
        <w:fldChar w:fldCharType="begin"/>
      </w:r>
      <w:r w:rsidRPr="0003126D">
        <w:rPr>
          <w:b/>
          <w:bCs/>
          <w:i w:val="0"/>
          <w:iCs w:val="0"/>
          <w:color w:val="auto"/>
          <w:sz w:val="24"/>
          <w:szCs w:val="22"/>
        </w:rPr>
        <w:instrText xml:space="preserve"> SEQ Abbildung \* ARABIC </w:instrText>
      </w:r>
      <w:r w:rsidRPr="0003126D">
        <w:rPr>
          <w:b/>
          <w:bCs/>
          <w:i w:val="0"/>
          <w:iCs w:val="0"/>
          <w:color w:val="auto"/>
          <w:sz w:val="24"/>
          <w:szCs w:val="22"/>
        </w:rPr>
        <w:fldChar w:fldCharType="separate"/>
      </w:r>
      <w:r w:rsidR="00285390">
        <w:rPr>
          <w:b/>
          <w:bCs/>
          <w:i w:val="0"/>
          <w:iCs w:val="0"/>
          <w:noProof/>
          <w:color w:val="auto"/>
          <w:sz w:val="24"/>
          <w:szCs w:val="22"/>
        </w:rPr>
        <w:t>4</w:t>
      </w:r>
      <w:r w:rsidRPr="0003126D">
        <w:rPr>
          <w:b/>
          <w:bCs/>
          <w:i w:val="0"/>
          <w:iCs w:val="0"/>
          <w:color w:val="auto"/>
          <w:sz w:val="24"/>
          <w:szCs w:val="22"/>
        </w:rPr>
        <w:fldChar w:fldCharType="end"/>
      </w:r>
      <w:r w:rsidRPr="0003126D">
        <w:rPr>
          <w:b/>
          <w:bCs/>
          <w:i w:val="0"/>
          <w:iCs w:val="0"/>
          <w:color w:val="auto"/>
          <w:sz w:val="24"/>
          <w:szCs w:val="22"/>
        </w:rPr>
        <w:t>:</w:t>
      </w:r>
      <w:r w:rsidRPr="0003126D">
        <w:rPr>
          <w:i w:val="0"/>
          <w:iCs w:val="0"/>
          <w:color w:val="auto"/>
          <w:sz w:val="24"/>
          <w:szCs w:val="22"/>
        </w:rPr>
        <w:t xml:space="preserve"> </w:t>
      </w:r>
      <w:r>
        <w:rPr>
          <w:i w:val="0"/>
          <w:iCs w:val="0"/>
          <w:color w:val="auto"/>
          <w:sz w:val="24"/>
          <w:szCs w:val="22"/>
        </w:rPr>
        <w:tab/>
      </w:r>
      <w:r w:rsidRPr="00536CD9">
        <w:rPr>
          <w:i w:val="0"/>
          <w:iCs w:val="0"/>
          <w:color w:val="auto"/>
          <w:sz w:val="24"/>
          <w:szCs w:val="22"/>
        </w:rPr>
        <w:t>Scree-Plot zur Bestimmung der optimalen Clusterzahl</w:t>
      </w:r>
      <w:r>
        <w:rPr>
          <w:i w:val="0"/>
          <w:iCs w:val="0"/>
          <w:color w:val="auto"/>
          <w:sz w:val="24"/>
          <w:szCs w:val="22"/>
        </w:rPr>
        <w:t xml:space="preserve"> (Elbow-Kriterium)</w:t>
      </w:r>
      <w:bookmarkEnd w:id="74"/>
    </w:p>
    <w:p w14:paraId="3F0C794A" w14:textId="73538E63" w:rsidR="0003126D" w:rsidRDefault="0003126D" w:rsidP="0003126D">
      <w:pPr>
        <w:pStyle w:val="Beschriftung"/>
        <w:keepNext/>
        <w:spacing w:after="120"/>
        <w:ind w:left="709" w:firstLine="709"/>
        <w:jc w:val="left"/>
      </w:pPr>
      <w:r w:rsidRPr="00182837">
        <w:rPr>
          <w:i w:val="0"/>
          <w:iCs w:val="0"/>
          <w:color w:val="auto"/>
          <w:sz w:val="24"/>
          <w:szCs w:val="22"/>
        </w:rPr>
        <w:t>eigene Darstellung</w:t>
      </w:r>
    </w:p>
    <w:p w14:paraId="27F0A304" w14:textId="77777777" w:rsidR="0091146A" w:rsidRDefault="0091146A" w:rsidP="0091146A">
      <w:pPr>
        <w:spacing w:line="276" w:lineRule="auto"/>
        <w:jc w:val="left"/>
      </w:pPr>
      <w:r>
        <w:rPr>
          <w:noProof/>
        </w:rPr>
        <w:drawing>
          <wp:inline distT="0" distB="0" distL="0" distR="0" wp14:anchorId="74EF9961" wp14:editId="26DC1A79">
            <wp:extent cx="5240020" cy="3695700"/>
            <wp:effectExtent l="0" t="0" r="0" b="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1B2DB0" w14:textId="1DB0B8CE" w:rsidR="0003126D" w:rsidRDefault="0003126D" w:rsidP="0003126D">
      <w:pPr>
        <w:pStyle w:val="Beschriftung"/>
        <w:keepNext/>
        <w:spacing w:before="200" w:after="0"/>
        <w:ind w:left="1418" w:hanging="1418"/>
        <w:jc w:val="left"/>
        <w:rPr>
          <w:i w:val="0"/>
          <w:iCs w:val="0"/>
          <w:color w:val="auto"/>
          <w:sz w:val="24"/>
          <w:szCs w:val="22"/>
        </w:rPr>
      </w:pPr>
      <w:bookmarkStart w:id="75" w:name="_Toc88422980"/>
      <w:r w:rsidRPr="0003126D">
        <w:rPr>
          <w:b/>
          <w:bCs/>
          <w:i w:val="0"/>
          <w:iCs w:val="0"/>
          <w:color w:val="auto"/>
          <w:sz w:val="24"/>
          <w:szCs w:val="22"/>
        </w:rPr>
        <w:t xml:space="preserve">Abbildung </w:t>
      </w:r>
      <w:r w:rsidRPr="0003126D">
        <w:rPr>
          <w:b/>
          <w:bCs/>
          <w:i w:val="0"/>
          <w:iCs w:val="0"/>
          <w:color w:val="auto"/>
          <w:sz w:val="24"/>
          <w:szCs w:val="22"/>
        </w:rPr>
        <w:fldChar w:fldCharType="begin"/>
      </w:r>
      <w:r w:rsidRPr="0003126D">
        <w:rPr>
          <w:b/>
          <w:bCs/>
          <w:i w:val="0"/>
          <w:iCs w:val="0"/>
          <w:color w:val="auto"/>
          <w:sz w:val="24"/>
          <w:szCs w:val="22"/>
        </w:rPr>
        <w:instrText xml:space="preserve"> SEQ Abbildung \* ARABIC </w:instrText>
      </w:r>
      <w:r w:rsidRPr="0003126D">
        <w:rPr>
          <w:b/>
          <w:bCs/>
          <w:i w:val="0"/>
          <w:iCs w:val="0"/>
          <w:color w:val="auto"/>
          <w:sz w:val="24"/>
          <w:szCs w:val="22"/>
        </w:rPr>
        <w:fldChar w:fldCharType="separate"/>
      </w:r>
      <w:r w:rsidR="00285390">
        <w:rPr>
          <w:b/>
          <w:bCs/>
          <w:i w:val="0"/>
          <w:iCs w:val="0"/>
          <w:noProof/>
          <w:color w:val="auto"/>
          <w:sz w:val="24"/>
          <w:szCs w:val="22"/>
        </w:rPr>
        <w:t>5</w:t>
      </w:r>
      <w:r w:rsidRPr="0003126D">
        <w:rPr>
          <w:b/>
          <w:bCs/>
          <w:i w:val="0"/>
          <w:iCs w:val="0"/>
          <w:color w:val="auto"/>
          <w:sz w:val="24"/>
          <w:szCs w:val="22"/>
        </w:rPr>
        <w:fldChar w:fldCharType="end"/>
      </w:r>
      <w:r w:rsidRPr="0003126D">
        <w:rPr>
          <w:b/>
          <w:bCs/>
          <w:i w:val="0"/>
          <w:iCs w:val="0"/>
          <w:color w:val="auto"/>
          <w:sz w:val="24"/>
          <w:szCs w:val="22"/>
        </w:rPr>
        <w:t>:</w:t>
      </w:r>
      <w:r w:rsidRPr="0003126D">
        <w:rPr>
          <w:i w:val="0"/>
          <w:iCs w:val="0"/>
          <w:color w:val="auto"/>
          <w:sz w:val="24"/>
          <w:szCs w:val="22"/>
        </w:rPr>
        <w:t xml:space="preserve"> </w:t>
      </w:r>
      <w:r>
        <w:rPr>
          <w:i w:val="0"/>
          <w:iCs w:val="0"/>
          <w:color w:val="auto"/>
          <w:sz w:val="24"/>
          <w:szCs w:val="22"/>
        </w:rPr>
        <w:tab/>
      </w:r>
      <w:r w:rsidRPr="004C60CF">
        <w:rPr>
          <w:i w:val="0"/>
          <w:iCs w:val="0"/>
          <w:color w:val="auto"/>
          <w:sz w:val="24"/>
          <w:szCs w:val="22"/>
        </w:rPr>
        <w:t>Bestimmung der optimalen Clusterzahl nach dem Kriterium von Ratkowsky-Lance</w:t>
      </w:r>
      <w:bookmarkEnd w:id="75"/>
    </w:p>
    <w:p w14:paraId="4C8F4BE7" w14:textId="194ACE1C" w:rsidR="0003126D" w:rsidRDefault="0003126D" w:rsidP="0003126D">
      <w:pPr>
        <w:pStyle w:val="Beschriftung"/>
        <w:keepNext/>
        <w:spacing w:after="120"/>
        <w:ind w:left="709" w:firstLine="709"/>
        <w:jc w:val="left"/>
      </w:pPr>
      <w:r w:rsidRPr="00182837">
        <w:rPr>
          <w:i w:val="0"/>
          <w:iCs w:val="0"/>
          <w:color w:val="auto"/>
          <w:sz w:val="24"/>
          <w:szCs w:val="22"/>
        </w:rPr>
        <w:t>eigene Darstellung</w:t>
      </w:r>
    </w:p>
    <w:p w14:paraId="15540F36" w14:textId="60B4034D" w:rsidR="0091146A" w:rsidRDefault="0091146A" w:rsidP="0091146A">
      <w:pPr>
        <w:spacing w:line="276" w:lineRule="auto"/>
        <w:jc w:val="left"/>
      </w:pPr>
      <w:r>
        <w:rPr>
          <w:noProof/>
        </w:rPr>
        <w:drawing>
          <wp:inline distT="0" distB="0" distL="0" distR="0" wp14:anchorId="64F04DBA" wp14:editId="71E2B421">
            <wp:extent cx="5240020" cy="3695700"/>
            <wp:effectExtent l="0" t="0" r="0" b="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br w:type="page"/>
      </w:r>
    </w:p>
    <w:p w14:paraId="2EEEAB8F" w14:textId="10E8EA9C" w:rsidR="004F3BAA" w:rsidRPr="00CC721D" w:rsidRDefault="00676F73" w:rsidP="001A4E15">
      <w:pPr>
        <w:pStyle w:val="Anhang1"/>
        <w:numPr>
          <w:ilvl w:val="0"/>
          <w:numId w:val="12"/>
        </w:numPr>
        <w:spacing w:line="360" w:lineRule="auto"/>
        <w:rPr>
          <w:b/>
          <w:bCs/>
          <w:sz w:val="32"/>
          <w:szCs w:val="32"/>
        </w:rPr>
      </w:pPr>
      <w:bookmarkStart w:id="76" w:name="_Toc88425850"/>
      <w:bookmarkStart w:id="77" w:name="_Toc88425857"/>
      <w:r w:rsidRPr="00CC721D">
        <w:rPr>
          <w:b/>
          <w:bCs/>
          <w:sz w:val="32"/>
          <w:szCs w:val="32"/>
        </w:rPr>
        <w:lastRenderedPageBreak/>
        <w:t>Tabellen</w:t>
      </w:r>
      <w:bookmarkEnd w:id="76"/>
      <w:bookmarkEnd w:id="77"/>
    </w:p>
    <w:p w14:paraId="3E9C9539" w14:textId="50D7F2FE" w:rsidR="009A0673" w:rsidRPr="009A0673" w:rsidRDefault="00020B4A" w:rsidP="001A4E15">
      <w:pPr>
        <w:pStyle w:val="Anhang2"/>
        <w:numPr>
          <w:ilvl w:val="0"/>
          <w:numId w:val="13"/>
        </w:numPr>
        <w:spacing w:after="240" w:line="240" w:lineRule="auto"/>
        <w:rPr>
          <w:b/>
          <w:szCs w:val="28"/>
        </w:rPr>
      </w:pPr>
      <w:bookmarkStart w:id="78" w:name="_Toc88425858"/>
      <w:bookmarkStart w:id="79" w:name="_Hlk88063838"/>
      <w:bookmarkStart w:id="80" w:name="_Hlk88063862"/>
      <w:r>
        <w:rPr>
          <w:b/>
          <w:szCs w:val="28"/>
        </w:rPr>
        <w:t xml:space="preserve">Ablauf der </w:t>
      </w:r>
      <w:r w:rsidR="009A0673" w:rsidRPr="009A0673">
        <w:rPr>
          <w:b/>
          <w:szCs w:val="28"/>
        </w:rPr>
        <w:t>Stichprobenauswahl</w:t>
      </w:r>
      <w:bookmarkEnd w:id="78"/>
    </w:p>
    <w:bookmarkEnd w:id="79"/>
    <w:p w14:paraId="34D59D5D" w14:textId="1586F3BD" w:rsidR="009A0673" w:rsidRDefault="009A0673" w:rsidP="009A0673">
      <w:r w:rsidRPr="001A0BAE">
        <w:t xml:space="preserve">Tabelle </w:t>
      </w:r>
      <w:r w:rsidR="00006603">
        <w:t>7</w:t>
      </w:r>
      <w:r w:rsidRPr="001A0BAE">
        <w:t xml:space="preserve"> zeigt die e</w:t>
      </w:r>
      <w:r>
        <w:t>inzelnen Schritte der Stichprobenauswahl und die Anzahl der verbliebenen Unternehmen nach jedem Schritt.</w:t>
      </w:r>
    </w:p>
    <w:p w14:paraId="5F4F38F3" w14:textId="77777777" w:rsidR="00F16B55" w:rsidRPr="003144FE" w:rsidRDefault="00F16B55" w:rsidP="001A4E15">
      <w:pPr>
        <w:pStyle w:val="Anhang2"/>
        <w:numPr>
          <w:ilvl w:val="0"/>
          <w:numId w:val="13"/>
        </w:numPr>
        <w:spacing w:after="240" w:line="240" w:lineRule="auto"/>
        <w:rPr>
          <w:b/>
          <w:szCs w:val="28"/>
        </w:rPr>
      </w:pPr>
      <w:bookmarkStart w:id="81" w:name="_Toc88425859"/>
      <w:bookmarkEnd w:id="80"/>
      <w:r w:rsidRPr="003144FE">
        <w:rPr>
          <w:b/>
          <w:szCs w:val="28"/>
        </w:rPr>
        <w:t>Anzahl der Unternehmen in der Stichprobe nach Ländern</w:t>
      </w:r>
      <w:bookmarkEnd w:id="81"/>
    </w:p>
    <w:p w14:paraId="7D48B118" w14:textId="6638DDE0" w:rsidR="00F16B55" w:rsidRDefault="00F16B55" w:rsidP="00F16B55">
      <w:r w:rsidRPr="001A0BAE">
        <w:t xml:space="preserve">Tabelle </w:t>
      </w:r>
      <w:r w:rsidR="00006603">
        <w:t>8</w:t>
      </w:r>
      <w:r w:rsidRPr="001A0BAE">
        <w:t xml:space="preserve"> zeigt </w:t>
      </w:r>
      <w:r>
        <w:t>die Anzahl sowie den Anteil der Unternehmen nach Ländern.</w:t>
      </w:r>
    </w:p>
    <w:p w14:paraId="68BED85B" w14:textId="721049D2" w:rsidR="00F16B55" w:rsidRPr="003144FE" w:rsidRDefault="00F16B55" w:rsidP="001A4E15">
      <w:pPr>
        <w:pStyle w:val="Anhang2"/>
        <w:numPr>
          <w:ilvl w:val="0"/>
          <w:numId w:val="13"/>
        </w:numPr>
        <w:spacing w:after="240" w:line="240" w:lineRule="auto"/>
        <w:ind w:left="709" w:hanging="709"/>
        <w:rPr>
          <w:b/>
          <w:szCs w:val="28"/>
        </w:rPr>
      </w:pPr>
      <w:bookmarkStart w:id="82" w:name="_Toc88425860"/>
      <w:r w:rsidRPr="00F16B55">
        <w:rPr>
          <w:b/>
          <w:szCs w:val="28"/>
        </w:rPr>
        <w:t>Korrelationskoeffizienten der Residuen der abhängigen Variablen</w:t>
      </w:r>
      <w:r>
        <w:rPr>
          <w:b/>
          <w:szCs w:val="28"/>
        </w:rPr>
        <w:t xml:space="preserve"> für die multivariate Probit Regression</w:t>
      </w:r>
      <w:bookmarkEnd w:id="82"/>
    </w:p>
    <w:p w14:paraId="0A58A8CE" w14:textId="021AD734" w:rsidR="00F16B55" w:rsidRDefault="00F16B55" w:rsidP="009875CE">
      <w:r>
        <w:t xml:space="preserve">Tabelle </w:t>
      </w:r>
      <w:r w:rsidR="00006603">
        <w:t>9</w:t>
      </w:r>
      <w:r>
        <w:t xml:space="preserve"> zeigt die Korrelationskoeffizienten</w:t>
      </w:r>
      <w:r w:rsidRPr="009119BA">
        <w:rPr>
          <w:i/>
          <w:iCs/>
        </w:rPr>
        <w:t xml:space="preserve"> </w:t>
      </w:r>
      <w:r w:rsidRPr="009119BA">
        <w:rPr>
          <w:rFonts w:cs="Times New Roman"/>
          <w:i/>
          <w:iCs/>
        </w:rPr>
        <w:t>ρ</w:t>
      </w:r>
      <w:r>
        <w:t xml:space="preserve"> der Residuen der abhängigen Variablen </w:t>
      </w:r>
      <w:r w:rsidRPr="00F16B55">
        <w:t>für die multivariate Probit Regression</w:t>
      </w:r>
      <w:r>
        <w:t>.</w:t>
      </w:r>
    </w:p>
    <w:p w14:paraId="170C8E47" w14:textId="08496C2D" w:rsidR="009875CE" w:rsidRPr="003144FE" w:rsidRDefault="00B22F24" w:rsidP="001A4E15">
      <w:pPr>
        <w:pStyle w:val="Anhang2"/>
        <w:numPr>
          <w:ilvl w:val="0"/>
          <w:numId w:val="13"/>
        </w:numPr>
        <w:spacing w:after="240" w:line="240" w:lineRule="auto"/>
        <w:ind w:left="709" w:hanging="709"/>
        <w:rPr>
          <w:b/>
          <w:szCs w:val="28"/>
        </w:rPr>
      </w:pPr>
      <w:bookmarkStart w:id="83" w:name="_Toc88425861"/>
      <w:r>
        <w:rPr>
          <w:b/>
          <w:szCs w:val="28"/>
        </w:rPr>
        <w:t>Ergebnisse</w:t>
      </w:r>
      <w:r w:rsidR="009875CE">
        <w:rPr>
          <w:b/>
          <w:szCs w:val="28"/>
        </w:rPr>
        <w:t xml:space="preserve"> de</w:t>
      </w:r>
      <w:r w:rsidR="00936202">
        <w:rPr>
          <w:b/>
          <w:szCs w:val="28"/>
        </w:rPr>
        <w:t xml:space="preserve">r unabhängigen </w:t>
      </w:r>
      <w:r w:rsidR="00FD0756" w:rsidRPr="00FD0756">
        <w:rPr>
          <w:b/>
          <w:szCs w:val="28"/>
        </w:rPr>
        <w:t>univariate</w:t>
      </w:r>
      <w:r w:rsidR="00FD0756">
        <w:rPr>
          <w:b/>
          <w:szCs w:val="28"/>
        </w:rPr>
        <w:t>n</w:t>
      </w:r>
      <w:r w:rsidR="00FD0756" w:rsidRPr="00FD0756">
        <w:rPr>
          <w:b/>
          <w:szCs w:val="28"/>
        </w:rPr>
        <w:t xml:space="preserve"> logistische</w:t>
      </w:r>
      <w:r w:rsidR="00FD0756">
        <w:rPr>
          <w:b/>
          <w:szCs w:val="28"/>
        </w:rPr>
        <w:t>n</w:t>
      </w:r>
      <w:r w:rsidR="00FD0756" w:rsidRPr="00FD0756">
        <w:rPr>
          <w:b/>
          <w:szCs w:val="28"/>
        </w:rPr>
        <w:t xml:space="preserve"> Regress</w:t>
      </w:r>
      <w:r w:rsidR="00FD0756">
        <w:rPr>
          <w:b/>
          <w:szCs w:val="28"/>
        </w:rPr>
        <w:t>ion für jede Hypothese</w:t>
      </w:r>
      <w:bookmarkEnd w:id="83"/>
    </w:p>
    <w:p w14:paraId="57BAEEC4" w14:textId="75E6BCC7" w:rsidR="009875CE" w:rsidRPr="001A0BAE" w:rsidRDefault="009875CE" w:rsidP="009875CE">
      <w:r w:rsidRPr="001A0BAE">
        <w:t xml:space="preserve">Tabelle </w:t>
      </w:r>
      <w:r w:rsidR="00006603">
        <w:t>10</w:t>
      </w:r>
      <w:r w:rsidRPr="001A0BAE">
        <w:t xml:space="preserve"> zeigt </w:t>
      </w:r>
      <w:r>
        <w:t xml:space="preserve">die </w:t>
      </w:r>
      <w:r w:rsidR="00FD0756" w:rsidRPr="00FD0756">
        <w:t xml:space="preserve">Regressionsergebnisse der </w:t>
      </w:r>
      <w:r w:rsidR="00B22F24">
        <w:t xml:space="preserve">unabhängigen </w:t>
      </w:r>
      <w:r w:rsidR="00FD0756" w:rsidRPr="00FD0756">
        <w:t>univariaten logistischen Regression</w:t>
      </w:r>
      <w:r w:rsidR="00B22F24">
        <w:t>en</w:t>
      </w:r>
      <w:r w:rsidR="00FD0756" w:rsidRPr="00FD0756">
        <w:t xml:space="preserve"> für jede Hypothese</w:t>
      </w:r>
      <w:r w:rsidR="00FD0756">
        <w:t xml:space="preserve"> als Robustheitstest. Dabei werden die Regressionskoeffizienten sowie die Standardfehler in Klammern dargestellt.</w:t>
      </w:r>
    </w:p>
    <w:p w14:paraId="3966BF27" w14:textId="23991AA3" w:rsidR="009875CE" w:rsidRPr="003144FE" w:rsidRDefault="00B22F24" w:rsidP="001A4E15">
      <w:pPr>
        <w:pStyle w:val="Anhang2"/>
        <w:numPr>
          <w:ilvl w:val="0"/>
          <w:numId w:val="13"/>
        </w:numPr>
        <w:spacing w:after="240" w:line="240" w:lineRule="auto"/>
        <w:ind w:left="709" w:hanging="709"/>
        <w:rPr>
          <w:b/>
          <w:szCs w:val="28"/>
        </w:rPr>
      </w:pPr>
      <w:bookmarkStart w:id="84" w:name="_Toc88425862"/>
      <w:r>
        <w:rPr>
          <w:b/>
          <w:szCs w:val="28"/>
        </w:rPr>
        <w:t xml:space="preserve">Ergebnisse </w:t>
      </w:r>
      <w:r w:rsidR="00FD0756">
        <w:rPr>
          <w:b/>
          <w:szCs w:val="28"/>
        </w:rPr>
        <w:t>der</w:t>
      </w:r>
      <w:r w:rsidR="00FD0756" w:rsidRPr="00F3600D">
        <w:rPr>
          <w:b/>
          <w:szCs w:val="28"/>
        </w:rPr>
        <w:t xml:space="preserve"> </w:t>
      </w:r>
      <w:r w:rsidR="00FD0756">
        <w:rPr>
          <w:b/>
          <w:szCs w:val="28"/>
        </w:rPr>
        <w:t>multinomialen</w:t>
      </w:r>
      <w:r w:rsidR="00FD0756" w:rsidRPr="00FD0756">
        <w:rPr>
          <w:b/>
          <w:szCs w:val="28"/>
        </w:rPr>
        <w:t xml:space="preserve"> logistische</w:t>
      </w:r>
      <w:r w:rsidR="00FD0756">
        <w:rPr>
          <w:b/>
          <w:szCs w:val="28"/>
        </w:rPr>
        <w:t>n</w:t>
      </w:r>
      <w:r w:rsidR="00FD0756" w:rsidRPr="00FD0756">
        <w:rPr>
          <w:b/>
          <w:szCs w:val="28"/>
        </w:rPr>
        <w:t xml:space="preserve"> Regress</w:t>
      </w:r>
      <w:r w:rsidR="00FD0756">
        <w:rPr>
          <w:b/>
          <w:szCs w:val="28"/>
        </w:rPr>
        <w:t>ion</w:t>
      </w:r>
      <w:bookmarkEnd w:id="84"/>
    </w:p>
    <w:p w14:paraId="7D628323" w14:textId="618F981E" w:rsidR="00FD0756" w:rsidRPr="001A0BAE" w:rsidRDefault="00FD0756" w:rsidP="00FD0756">
      <w:r w:rsidRPr="001A0BAE">
        <w:t xml:space="preserve">Tabelle </w:t>
      </w:r>
      <w:r w:rsidR="00006603">
        <w:t>11</w:t>
      </w:r>
      <w:r w:rsidRPr="001A0BAE">
        <w:t xml:space="preserve"> zeigt </w:t>
      </w:r>
      <w:r>
        <w:t xml:space="preserve">die </w:t>
      </w:r>
      <w:r w:rsidR="00B22F24">
        <w:t>Ergebnisse</w:t>
      </w:r>
      <w:r w:rsidRPr="00FD0756">
        <w:t xml:space="preserve"> der </w:t>
      </w:r>
      <w:r>
        <w:t>multinomialen</w:t>
      </w:r>
      <w:r w:rsidRPr="00FD0756">
        <w:t xml:space="preserve"> logistischen Regression</w:t>
      </w:r>
      <w:r>
        <w:t xml:space="preserve"> als Robustheitstest. Dabei werden die Regressionskoeffizienten sowie die Standardfehler in Klammern dargestellt.</w:t>
      </w:r>
    </w:p>
    <w:p w14:paraId="38D4836A" w14:textId="08C70D6D" w:rsidR="00B477BA" w:rsidRPr="00F3600D" w:rsidRDefault="00B477BA" w:rsidP="001A4E15">
      <w:pPr>
        <w:pStyle w:val="Anhang2"/>
        <w:numPr>
          <w:ilvl w:val="0"/>
          <w:numId w:val="13"/>
        </w:numPr>
        <w:spacing w:after="240" w:line="240" w:lineRule="auto"/>
        <w:ind w:left="709" w:hanging="709"/>
        <w:rPr>
          <w:b/>
          <w:szCs w:val="28"/>
        </w:rPr>
      </w:pPr>
      <w:r w:rsidRPr="00F3600D">
        <w:rPr>
          <w:b/>
          <w:szCs w:val="28"/>
        </w:rPr>
        <w:br w:type="page"/>
      </w:r>
    </w:p>
    <w:p w14:paraId="512E11CC" w14:textId="43646ACD" w:rsidR="002B4877" w:rsidRDefault="002B4877" w:rsidP="002B4877">
      <w:pPr>
        <w:pStyle w:val="Beschriftung"/>
        <w:keepNext/>
        <w:spacing w:after="0"/>
        <w:ind w:left="1418" w:hanging="1418"/>
        <w:rPr>
          <w:i w:val="0"/>
          <w:iCs w:val="0"/>
          <w:color w:val="auto"/>
          <w:sz w:val="24"/>
          <w:szCs w:val="22"/>
        </w:rPr>
      </w:pPr>
      <w:bookmarkStart w:id="85" w:name="_Toc88423394"/>
      <w:r w:rsidRPr="002B4877">
        <w:rPr>
          <w:b/>
          <w:bCs/>
          <w:i w:val="0"/>
          <w:iCs w:val="0"/>
          <w:color w:val="auto"/>
          <w:sz w:val="24"/>
          <w:szCs w:val="22"/>
        </w:rPr>
        <w:lastRenderedPageBreak/>
        <w:t xml:space="preserve">Tabelle </w:t>
      </w:r>
      <w:r w:rsidRPr="002B4877">
        <w:rPr>
          <w:b/>
          <w:bCs/>
          <w:i w:val="0"/>
          <w:iCs w:val="0"/>
          <w:color w:val="auto"/>
          <w:sz w:val="24"/>
          <w:szCs w:val="22"/>
        </w:rPr>
        <w:fldChar w:fldCharType="begin"/>
      </w:r>
      <w:r w:rsidRPr="002B4877">
        <w:rPr>
          <w:b/>
          <w:bCs/>
          <w:i w:val="0"/>
          <w:iCs w:val="0"/>
          <w:color w:val="auto"/>
          <w:sz w:val="24"/>
          <w:szCs w:val="22"/>
        </w:rPr>
        <w:instrText xml:space="preserve"> SEQ Tabelle \* ARABIC </w:instrText>
      </w:r>
      <w:r w:rsidRPr="002B4877">
        <w:rPr>
          <w:b/>
          <w:bCs/>
          <w:i w:val="0"/>
          <w:iCs w:val="0"/>
          <w:color w:val="auto"/>
          <w:sz w:val="24"/>
          <w:szCs w:val="22"/>
        </w:rPr>
        <w:fldChar w:fldCharType="separate"/>
      </w:r>
      <w:r w:rsidR="00285390">
        <w:rPr>
          <w:b/>
          <w:bCs/>
          <w:i w:val="0"/>
          <w:iCs w:val="0"/>
          <w:noProof/>
          <w:color w:val="auto"/>
          <w:sz w:val="24"/>
          <w:szCs w:val="22"/>
        </w:rPr>
        <w:t>7</w:t>
      </w:r>
      <w:r w:rsidRPr="002B4877">
        <w:rPr>
          <w:b/>
          <w:bCs/>
          <w:i w:val="0"/>
          <w:iCs w:val="0"/>
          <w:color w:val="auto"/>
          <w:sz w:val="24"/>
          <w:szCs w:val="22"/>
        </w:rPr>
        <w:fldChar w:fldCharType="end"/>
      </w:r>
      <w:r w:rsidRPr="002B4877">
        <w:rPr>
          <w:b/>
          <w:bCs/>
          <w:i w:val="0"/>
          <w:iCs w:val="0"/>
          <w:color w:val="auto"/>
          <w:sz w:val="24"/>
          <w:szCs w:val="22"/>
        </w:rPr>
        <w:t>:</w:t>
      </w:r>
      <w:r w:rsidRPr="002B4877">
        <w:rPr>
          <w:i w:val="0"/>
          <w:iCs w:val="0"/>
          <w:color w:val="auto"/>
          <w:sz w:val="24"/>
          <w:szCs w:val="22"/>
        </w:rPr>
        <w:t xml:space="preserve"> </w:t>
      </w:r>
      <w:r>
        <w:rPr>
          <w:i w:val="0"/>
          <w:iCs w:val="0"/>
          <w:color w:val="auto"/>
          <w:sz w:val="24"/>
          <w:szCs w:val="22"/>
        </w:rPr>
        <w:tab/>
        <w:t xml:space="preserve">Ablauf der </w:t>
      </w:r>
      <w:r w:rsidRPr="0058649C">
        <w:rPr>
          <w:i w:val="0"/>
          <w:iCs w:val="0"/>
          <w:color w:val="auto"/>
          <w:sz w:val="24"/>
          <w:szCs w:val="22"/>
        </w:rPr>
        <w:t>Stichprobenauswahl</w:t>
      </w:r>
      <w:bookmarkEnd w:id="85"/>
    </w:p>
    <w:p w14:paraId="462DB7EA" w14:textId="0ED00EB5" w:rsidR="002B4877" w:rsidRDefault="002B4877" w:rsidP="002B4877">
      <w:pPr>
        <w:spacing w:after="0"/>
      </w:pPr>
      <w:r w:rsidRPr="001A0BAE">
        <w:tab/>
      </w:r>
      <w:r w:rsidRPr="001A0BAE">
        <w:tab/>
        <w:t>eigene Darstellung</w:t>
      </w:r>
    </w:p>
    <w:tbl>
      <w:tblPr>
        <w:tblW w:w="5000" w:type="pct"/>
        <w:jc w:val="center"/>
        <w:tblLook w:val="04A0" w:firstRow="1" w:lastRow="0" w:firstColumn="1" w:lastColumn="0" w:noHBand="0" w:noVBand="1"/>
        <w:tblCaption w:val="Tabelle A1: Stichprobenauswahl"/>
      </w:tblPr>
      <w:tblGrid>
        <w:gridCol w:w="5832"/>
        <w:gridCol w:w="2888"/>
      </w:tblGrid>
      <w:tr w:rsidR="00B66318" w:rsidRPr="00CF3B2D" w14:paraId="446A6462" w14:textId="77777777" w:rsidTr="006B65D6">
        <w:trPr>
          <w:trHeight w:val="20"/>
          <w:jc w:val="center"/>
        </w:trPr>
        <w:tc>
          <w:tcPr>
            <w:tcW w:w="3344" w:type="pct"/>
            <w:tcBorders>
              <w:top w:val="single" w:sz="6" w:space="0" w:color="auto"/>
              <w:left w:val="nil"/>
              <w:bottom w:val="single" w:sz="8" w:space="0" w:color="auto"/>
              <w:right w:val="nil"/>
            </w:tcBorders>
            <w:shd w:val="clear" w:color="000000" w:fill="FFFFFF"/>
            <w:noWrap/>
            <w:vAlign w:val="center"/>
            <w:hideMark/>
          </w:tcPr>
          <w:p w14:paraId="115CB1C0" w14:textId="790C2D7A" w:rsidR="00B66318" w:rsidRPr="00CF3B2D" w:rsidRDefault="00B66318" w:rsidP="00D3347F">
            <w:pPr>
              <w:spacing w:before="60" w:after="60" w:line="240" w:lineRule="auto"/>
              <w:jc w:val="left"/>
              <w:rPr>
                <w:b/>
                <w:bCs/>
                <w:color w:val="000000"/>
                <w:szCs w:val="24"/>
              </w:rPr>
            </w:pPr>
            <w:r w:rsidRPr="00B66318">
              <w:rPr>
                <w:b/>
                <w:bCs/>
                <w:color w:val="000000"/>
                <w:szCs w:val="24"/>
              </w:rPr>
              <w:t>Schritt der Stichprobenauswahl</w:t>
            </w:r>
          </w:p>
        </w:tc>
        <w:tc>
          <w:tcPr>
            <w:tcW w:w="1656" w:type="pct"/>
            <w:tcBorders>
              <w:top w:val="single" w:sz="6" w:space="0" w:color="auto"/>
              <w:left w:val="nil"/>
              <w:bottom w:val="single" w:sz="8" w:space="0" w:color="auto"/>
              <w:right w:val="nil"/>
            </w:tcBorders>
            <w:shd w:val="clear" w:color="000000" w:fill="FFFFFF"/>
            <w:noWrap/>
            <w:vAlign w:val="center"/>
            <w:hideMark/>
          </w:tcPr>
          <w:p w14:paraId="2C1BDFED" w14:textId="35BF9A60" w:rsidR="00B66318" w:rsidRPr="00CF3B2D" w:rsidRDefault="00B66318" w:rsidP="00D3347F">
            <w:pPr>
              <w:spacing w:before="60" w:after="60" w:line="240" w:lineRule="auto"/>
              <w:jc w:val="center"/>
              <w:rPr>
                <w:b/>
                <w:bCs/>
                <w:color w:val="000000"/>
                <w:szCs w:val="24"/>
              </w:rPr>
            </w:pPr>
            <w:r>
              <w:rPr>
                <w:b/>
                <w:bCs/>
                <w:color w:val="000000"/>
                <w:szCs w:val="24"/>
              </w:rPr>
              <w:t>Anzahl der Unternehmen</w:t>
            </w:r>
          </w:p>
        </w:tc>
      </w:tr>
      <w:tr w:rsidR="00B66318" w:rsidRPr="00CF3B2D" w14:paraId="0583099E" w14:textId="77777777" w:rsidTr="006B65D6">
        <w:trPr>
          <w:trHeight w:val="20"/>
          <w:jc w:val="center"/>
        </w:trPr>
        <w:tc>
          <w:tcPr>
            <w:tcW w:w="3344" w:type="pct"/>
            <w:tcBorders>
              <w:top w:val="single" w:sz="8" w:space="0" w:color="auto"/>
              <w:left w:val="nil"/>
              <w:bottom w:val="dotted" w:sz="4" w:space="0" w:color="auto"/>
              <w:right w:val="nil"/>
            </w:tcBorders>
            <w:shd w:val="clear" w:color="000000" w:fill="FFFFFF"/>
            <w:vAlign w:val="center"/>
            <w:hideMark/>
          </w:tcPr>
          <w:p w14:paraId="4099E2E9" w14:textId="0B146B4E" w:rsidR="00B66318" w:rsidRPr="00CF3B2D" w:rsidRDefault="00B66318" w:rsidP="00D3347F">
            <w:pPr>
              <w:spacing w:before="60" w:after="60" w:line="240" w:lineRule="auto"/>
              <w:jc w:val="left"/>
              <w:rPr>
                <w:color w:val="000000"/>
                <w:szCs w:val="24"/>
                <w:lang w:val="en-US"/>
              </w:rPr>
            </w:pPr>
            <w:r>
              <w:rPr>
                <w:color w:val="000000"/>
                <w:szCs w:val="24"/>
                <w:lang w:val="en-US"/>
              </w:rPr>
              <w:t xml:space="preserve">SAFE Umfrage </w:t>
            </w:r>
            <w:r>
              <w:t>2019H1</w:t>
            </w:r>
          </w:p>
        </w:tc>
        <w:tc>
          <w:tcPr>
            <w:tcW w:w="1656" w:type="pct"/>
            <w:tcBorders>
              <w:top w:val="single" w:sz="8" w:space="0" w:color="auto"/>
              <w:left w:val="nil"/>
              <w:bottom w:val="dotted" w:sz="4" w:space="0" w:color="auto"/>
              <w:right w:val="nil"/>
            </w:tcBorders>
            <w:shd w:val="clear" w:color="000000" w:fill="FFFFFF"/>
            <w:noWrap/>
            <w:vAlign w:val="center"/>
            <w:hideMark/>
          </w:tcPr>
          <w:p w14:paraId="6AA2E048" w14:textId="2E0008E1" w:rsidR="00B66318" w:rsidRPr="00CF3B2D" w:rsidRDefault="00B66318" w:rsidP="00D3347F">
            <w:pPr>
              <w:spacing w:before="60" w:after="60" w:line="240" w:lineRule="auto"/>
              <w:jc w:val="center"/>
              <w:rPr>
                <w:color w:val="000000"/>
                <w:szCs w:val="24"/>
              </w:rPr>
            </w:pPr>
            <w:r>
              <w:rPr>
                <w:color w:val="000000"/>
                <w:szCs w:val="24"/>
              </w:rPr>
              <w:t>18.159</w:t>
            </w:r>
          </w:p>
        </w:tc>
      </w:tr>
      <w:tr w:rsidR="00B66318" w:rsidRPr="00CF3B2D" w14:paraId="036406CB" w14:textId="77777777" w:rsidTr="00B66318">
        <w:trPr>
          <w:trHeight w:val="20"/>
          <w:jc w:val="center"/>
        </w:trPr>
        <w:tc>
          <w:tcPr>
            <w:tcW w:w="3344" w:type="pct"/>
            <w:tcBorders>
              <w:top w:val="dotted" w:sz="4" w:space="0" w:color="auto"/>
              <w:left w:val="nil"/>
              <w:bottom w:val="dotted" w:sz="4" w:space="0" w:color="auto"/>
              <w:right w:val="nil"/>
            </w:tcBorders>
            <w:shd w:val="clear" w:color="000000" w:fill="FFFFFF"/>
            <w:vAlign w:val="center"/>
            <w:hideMark/>
          </w:tcPr>
          <w:p w14:paraId="0F14B59D" w14:textId="00E0D02D" w:rsidR="00B66318" w:rsidRPr="00CF3B2D" w:rsidRDefault="00B66318" w:rsidP="00D3347F">
            <w:pPr>
              <w:spacing w:before="60" w:after="60" w:line="240" w:lineRule="auto"/>
              <w:jc w:val="left"/>
              <w:rPr>
                <w:color w:val="000000"/>
                <w:szCs w:val="24"/>
                <w:lang w:val="en-US"/>
              </w:rPr>
            </w:pPr>
            <w:r>
              <w:rPr>
                <w:color w:val="000000"/>
                <w:szCs w:val="24"/>
                <w:lang w:val="en-US"/>
              </w:rPr>
              <w:t>Auswahl Länder</w:t>
            </w:r>
          </w:p>
        </w:tc>
        <w:tc>
          <w:tcPr>
            <w:tcW w:w="1656" w:type="pct"/>
            <w:tcBorders>
              <w:top w:val="dotted" w:sz="4" w:space="0" w:color="auto"/>
              <w:left w:val="nil"/>
              <w:bottom w:val="dotted" w:sz="4" w:space="0" w:color="auto"/>
              <w:right w:val="nil"/>
            </w:tcBorders>
            <w:shd w:val="clear" w:color="000000" w:fill="FFFFFF"/>
            <w:noWrap/>
            <w:vAlign w:val="center"/>
            <w:hideMark/>
          </w:tcPr>
          <w:p w14:paraId="2887F8E4" w14:textId="2AE2922F" w:rsidR="00B66318" w:rsidRPr="00CF3B2D" w:rsidRDefault="00B66318" w:rsidP="00D3347F">
            <w:pPr>
              <w:spacing w:before="60" w:after="60" w:line="240" w:lineRule="auto"/>
              <w:jc w:val="center"/>
              <w:rPr>
                <w:color w:val="000000"/>
                <w:szCs w:val="24"/>
              </w:rPr>
            </w:pPr>
            <w:r>
              <w:rPr>
                <w:color w:val="000000"/>
                <w:szCs w:val="24"/>
              </w:rPr>
              <w:t>17.048</w:t>
            </w:r>
          </w:p>
        </w:tc>
      </w:tr>
      <w:tr w:rsidR="00B66318" w:rsidRPr="00CF3B2D" w14:paraId="7F6CE7BB" w14:textId="77777777" w:rsidTr="00B66318">
        <w:trPr>
          <w:trHeight w:val="20"/>
          <w:jc w:val="center"/>
        </w:trPr>
        <w:tc>
          <w:tcPr>
            <w:tcW w:w="3344" w:type="pct"/>
            <w:tcBorders>
              <w:top w:val="dotted" w:sz="4" w:space="0" w:color="auto"/>
              <w:left w:val="nil"/>
              <w:bottom w:val="dotted" w:sz="4" w:space="0" w:color="auto"/>
              <w:right w:val="nil"/>
            </w:tcBorders>
            <w:shd w:val="clear" w:color="000000" w:fill="FFFFFF"/>
            <w:vAlign w:val="center"/>
            <w:hideMark/>
          </w:tcPr>
          <w:p w14:paraId="2F65438F" w14:textId="44609F25" w:rsidR="00B66318" w:rsidRPr="00CF3B2D" w:rsidRDefault="00B66318" w:rsidP="00D3347F">
            <w:pPr>
              <w:spacing w:before="60" w:after="60" w:line="240" w:lineRule="auto"/>
              <w:jc w:val="left"/>
              <w:rPr>
                <w:color w:val="000000"/>
                <w:szCs w:val="24"/>
                <w:lang w:val="en-US"/>
              </w:rPr>
            </w:pPr>
            <w:r>
              <w:rPr>
                <w:color w:val="000000"/>
                <w:szCs w:val="24"/>
                <w:lang w:val="en-US"/>
              </w:rPr>
              <w:t>Auswahl Unternehmensgröße</w:t>
            </w:r>
          </w:p>
        </w:tc>
        <w:tc>
          <w:tcPr>
            <w:tcW w:w="1656" w:type="pct"/>
            <w:tcBorders>
              <w:top w:val="dotted" w:sz="4" w:space="0" w:color="auto"/>
              <w:left w:val="nil"/>
              <w:bottom w:val="dotted" w:sz="4" w:space="0" w:color="auto"/>
              <w:right w:val="nil"/>
            </w:tcBorders>
            <w:shd w:val="clear" w:color="000000" w:fill="FFFFFF"/>
            <w:noWrap/>
            <w:vAlign w:val="center"/>
            <w:hideMark/>
          </w:tcPr>
          <w:p w14:paraId="5ADD8610" w14:textId="54150C08" w:rsidR="00B66318" w:rsidRPr="00CF3B2D" w:rsidRDefault="00B66318" w:rsidP="00D3347F">
            <w:pPr>
              <w:spacing w:before="60" w:after="60" w:line="240" w:lineRule="auto"/>
              <w:jc w:val="center"/>
              <w:rPr>
                <w:color w:val="000000"/>
                <w:szCs w:val="24"/>
              </w:rPr>
            </w:pPr>
            <w:r>
              <w:rPr>
                <w:color w:val="000000"/>
                <w:szCs w:val="24"/>
              </w:rPr>
              <w:t>15.427</w:t>
            </w:r>
          </w:p>
        </w:tc>
      </w:tr>
      <w:tr w:rsidR="00B66318" w:rsidRPr="00CF3B2D" w14:paraId="1D1377B7" w14:textId="77777777" w:rsidTr="00A64BD8">
        <w:trPr>
          <w:trHeight w:val="20"/>
          <w:jc w:val="center"/>
        </w:trPr>
        <w:tc>
          <w:tcPr>
            <w:tcW w:w="3344" w:type="pct"/>
            <w:tcBorders>
              <w:top w:val="dotted" w:sz="4" w:space="0" w:color="auto"/>
              <w:left w:val="nil"/>
              <w:bottom w:val="single" w:sz="6" w:space="0" w:color="auto"/>
              <w:right w:val="nil"/>
            </w:tcBorders>
            <w:shd w:val="clear" w:color="000000" w:fill="FFFFFF"/>
            <w:noWrap/>
            <w:vAlign w:val="center"/>
            <w:hideMark/>
          </w:tcPr>
          <w:p w14:paraId="1002DB8F" w14:textId="728027DD" w:rsidR="00B66318" w:rsidRPr="00DC555A" w:rsidRDefault="00DC555A" w:rsidP="00D3347F">
            <w:pPr>
              <w:spacing w:before="60" w:after="60" w:line="240" w:lineRule="auto"/>
              <w:jc w:val="left"/>
              <w:rPr>
                <w:color w:val="000000"/>
                <w:szCs w:val="24"/>
              </w:rPr>
            </w:pPr>
            <w:r w:rsidRPr="00DC555A">
              <w:rPr>
                <w:color w:val="000000"/>
                <w:szCs w:val="24"/>
              </w:rPr>
              <w:t>Unternehmen mit l</w:t>
            </w:r>
            <w:r w:rsidR="00B66318" w:rsidRPr="00DC555A">
              <w:rPr>
                <w:color w:val="000000"/>
                <w:szCs w:val="24"/>
              </w:rPr>
              <w:t>eere</w:t>
            </w:r>
            <w:r w:rsidRPr="00DC555A">
              <w:rPr>
                <w:color w:val="000000"/>
                <w:szCs w:val="24"/>
              </w:rPr>
              <w:t>n</w:t>
            </w:r>
            <w:r w:rsidR="00B66318" w:rsidRPr="00DC555A">
              <w:rPr>
                <w:color w:val="000000"/>
                <w:szCs w:val="24"/>
              </w:rPr>
              <w:t xml:space="preserve"> Einträge</w:t>
            </w:r>
            <w:r w:rsidRPr="00DC555A">
              <w:rPr>
                <w:color w:val="000000"/>
                <w:szCs w:val="24"/>
              </w:rPr>
              <w:t>n</w:t>
            </w:r>
            <w:r w:rsidR="00B66318" w:rsidRPr="00DC555A">
              <w:rPr>
                <w:color w:val="000000"/>
                <w:szCs w:val="24"/>
              </w:rPr>
              <w:t xml:space="preserve"> löschen</w:t>
            </w:r>
          </w:p>
        </w:tc>
        <w:tc>
          <w:tcPr>
            <w:tcW w:w="1656" w:type="pct"/>
            <w:tcBorders>
              <w:top w:val="dotted" w:sz="4" w:space="0" w:color="auto"/>
              <w:left w:val="nil"/>
              <w:bottom w:val="single" w:sz="6" w:space="0" w:color="auto"/>
              <w:right w:val="nil"/>
            </w:tcBorders>
            <w:shd w:val="clear" w:color="000000" w:fill="FFFFFF"/>
            <w:noWrap/>
            <w:vAlign w:val="center"/>
            <w:hideMark/>
          </w:tcPr>
          <w:p w14:paraId="58ADC2B5" w14:textId="61D43672" w:rsidR="00B66318" w:rsidRPr="00CF3B2D" w:rsidRDefault="00B66318" w:rsidP="00D3347F">
            <w:pPr>
              <w:spacing w:before="60" w:after="60" w:line="240" w:lineRule="auto"/>
              <w:jc w:val="center"/>
              <w:rPr>
                <w:color w:val="000000"/>
                <w:szCs w:val="24"/>
              </w:rPr>
            </w:pPr>
            <w:r w:rsidRPr="00535FDB">
              <w:rPr>
                <w:color w:val="000000"/>
                <w:szCs w:val="24"/>
              </w:rPr>
              <w:t>12.578</w:t>
            </w:r>
          </w:p>
        </w:tc>
      </w:tr>
      <w:tr w:rsidR="00B66318" w:rsidRPr="00CF3B2D" w14:paraId="358A78B9" w14:textId="77777777" w:rsidTr="00A64BD8">
        <w:trPr>
          <w:trHeight w:val="20"/>
          <w:jc w:val="center"/>
        </w:trPr>
        <w:tc>
          <w:tcPr>
            <w:tcW w:w="3344" w:type="pct"/>
            <w:tcBorders>
              <w:top w:val="single" w:sz="6" w:space="0" w:color="auto"/>
              <w:left w:val="nil"/>
              <w:bottom w:val="single" w:sz="6" w:space="0" w:color="auto"/>
              <w:right w:val="nil"/>
            </w:tcBorders>
            <w:shd w:val="clear" w:color="000000" w:fill="FFFFFF"/>
            <w:noWrap/>
            <w:vAlign w:val="center"/>
            <w:hideMark/>
          </w:tcPr>
          <w:p w14:paraId="0EE478C8" w14:textId="2CE3FD2A" w:rsidR="00B66318" w:rsidRPr="00CF3B2D" w:rsidRDefault="00B66318" w:rsidP="00D3347F">
            <w:pPr>
              <w:spacing w:before="60" w:after="60" w:line="240" w:lineRule="auto"/>
              <w:jc w:val="left"/>
              <w:rPr>
                <w:b/>
                <w:bCs/>
                <w:color w:val="000000"/>
                <w:szCs w:val="24"/>
              </w:rPr>
            </w:pPr>
            <w:r>
              <w:rPr>
                <w:b/>
                <w:bCs/>
                <w:color w:val="000000"/>
                <w:szCs w:val="24"/>
              </w:rPr>
              <w:t>Finale Stichprobe</w:t>
            </w:r>
          </w:p>
        </w:tc>
        <w:tc>
          <w:tcPr>
            <w:tcW w:w="1656" w:type="pct"/>
            <w:tcBorders>
              <w:top w:val="single" w:sz="6" w:space="0" w:color="auto"/>
              <w:left w:val="nil"/>
              <w:bottom w:val="single" w:sz="6" w:space="0" w:color="auto"/>
              <w:right w:val="nil"/>
            </w:tcBorders>
            <w:shd w:val="clear" w:color="000000" w:fill="FFFFFF"/>
            <w:noWrap/>
            <w:vAlign w:val="center"/>
            <w:hideMark/>
          </w:tcPr>
          <w:p w14:paraId="6DFA4734" w14:textId="1ADDB74F" w:rsidR="00B66318" w:rsidRPr="00CF3B2D" w:rsidRDefault="00B66318" w:rsidP="00D3347F">
            <w:pPr>
              <w:spacing w:before="60" w:after="60" w:line="240" w:lineRule="auto"/>
              <w:jc w:val="center"/>
              <w:rPr>
                <w:b/>
                <w:bCs/>
                <w:color w:val="000000"/>
                <w:szCs w:val="24"/>
              </w:rPr>
            </w:pPr>
            <w:r>
              <w:rPr>
                <w:b/>
                <w:bCs/>
                <w:color w:val="000000"/>
                <w:szCs w:val="24"/>
              </w:rPr>
              <w:t>12.578</w:t>
            </w:r>
          </w:p>
        </w:tc>
      </w:tr>
    </w:tbl>
    <w:p w14:paraId="35DC6E47" w14:textId="77777777" w:rsidR="00D06326" w:rsidRDefault="00D06326" w:rsidP="00D06326"/>
    <w:p w14:paraId="086FC06F" w14:textId="77777777" w:rsidR="00D06326" w:rsidRDefault="00D06326">
      <w:pPr>
        <w:spacing w:line="276" w:lineRule="auto"/>
        <w:jc w:val="left"/>
      </w:pPr>
      <w:r>
        <w:br w:type="page"/>
      </w:r>
    </w:p>
    <w:p w14:paraId="085654B2" w14:textId="29639F3B" w:rsidR="00E72AF2" w:rsidRDefault="00E72AF2" w:rsidP="00E72AF2">
      <w:pPr>
        <w:pStyle w:val="Beschriftung"/>
        <w:keepNext/>
        <w:spacing w:after="0"/>
        <w:ind w:left="1418" w:hanging="1418"/>
        <w:rPr>
          <w:i w:val="0"/>
          <w:iCs w:val="0"/>
          <w:color w:val="auto"/>
          <w:sz w:val="24"/>
          <w:szCs w:val="22"/>
        </w:rPr>
      </w:pPr>
      <w:bookmarkStart w:id="86" w:name="_Toc88423395"/>
      <w:r w:rsidRPr="00E72AF2">
        <w:rPr>
          <w:b/>
          <w:bCs/>
          <w:i w:val="0"/>
          <w:iCs w:val="0"/>
          <w:color w:val="auto"/>
          <w:sz w:val="24"/>
          <w:szCs w:val="22"/>
        </w:rPr>
        <w:lastRenderedPageBreak/>
        <w:t xml:space="preserve">Tabelle </w:t>
      </w:r>
      <w:r w:rsidRPr="00E72AF2">
        <w:rPr>
          <w:b/>
          <w:bCs/>
          <w:i w:val="0"/>
          <w:iCs w:val="0"/>
          <w:color w:val="auto"/>
          <w:sz w:val="24"/>
          <w:szCs w:val="22"/>
        </w:rPr>
        <w:fldChar w:fldCharType="begin"/>
      </w:r>
      <w:r w:rsidRPr="00E72AF2">
        <w:rPr>
          <w:b/>
          <w:bCs/>
          <w:i w:val="0"/>
          <w:iCs w:val="0"/>
          <w:color w:val="auto"/>
          <w:sz w:val="24"/>
          <w:szCs w:val="22"/>
        </w:rPr>
        <w:instrText xml:space="preserve"> SEQ Tabelle \* ARABIC </w:instrText>
      </w:r>
      <w:r w:rsidRPr="00E72AF2">
        <w:rPr>
          <w:b/>
          <w:bCs/>
          <w:i w:val="0"/>
          <w:iCs w:val="0"/>
          <w:color w:val="auto"/>
          <w:sz w:val="24"/>
          <w:szCs w:val="22"/>
        </w:rPr>
        <w:fldChar w:fldCharType="separate"/>
      </w:r>
      <w:r w:rsidR="00285390">
        <w:rPr>
          <w:b/>
          <w:bCs/>
          <w:i w:val="0"/>
          <w:iCs w:val="0"/>
          <w:noProof/>
          <w:color w:val="auto"/>
          <w:sz w:val="24"/>
          <w:szCs w:val="22"/>
        </w:rPr>
        <w:t>8</w:t>
      </w:r>
      <w:r w:rsidRPr="00E72AF2">
        <w:rPr>
          <w:b/>
          <w:bCs/>
          <w:i w:val="0"/>
          <w:iCs w:val="0"/>
          <w:color w:val="auto"/>
          <w:sz w:val="24"/>
          <w:szCs w:val="22"/>
        </w:rPr>
        <w:fldChar w:fldCharType="end"/>
      </w:r>
      <w:r w:rsidRPr="00E72AF2">
        <w:rPr>
          <w:b/>
          <w:bCs/>
          <w:i w:val="0"/>
          <w:iCs w:val="0"/>
          <w:color w:val="auto"/>
          <w:sz w:val="24"/>
          <w:szCs w:val="22"/>
        </w:rPr>
        <w:t>:</w:t>
      </w:r>
      <w:r w:rsidRPr="00E72AF2">
        <w:rPr>
          <w:i w:val="0"/>
          <w:iCs w:val="0"/>
          <w:color w:val="auto"/>
          <w:sz w:val="24"/>
          <w:szCs w:val="22"/>
        </w:rPr>
        <w:t xml:space="preserve"> </w:t>
      </w:r>
      <w:r>
        <w:rPr>
          <w:i w:val="0"/>
          <w:iCs w:val="0"/>
          <w:color w:val="auto"/>
          <w:sz w:val="24"/>
          <w:szCs w:val="22"/>
        </w:rPr>
        <w:tab/>
      </w:r>
      <w:r w:rsidRPr="00C904FD">
        <w:rPr>
          <w:i w:val="0"/>
          <w:iCs w:val="0"/>
          <w:color w:val="auto"/>
          <w:sz w:val="24"/>
          <w:szCs w:val="22"/>
        </w:rPr>
        <w:t>Anzahl der Unternehmen in der Stichprobe nach Ländern</w:t>
      </w:r>
      <w:bookmarkEnd w:id="86"/>
    </w:p>
    <w:p w14:paraId="3AC84FA8" w14:textId="0A2DFCA1" w:rsidR="00E72AF2" w:rsidRDefault="00E72AF2" w:rsidP="00E72AF2">
      <w:pPr>
        <w:spacing w:after="0"/>
      </w:pPr>
      <w:r w:rsidRPr="001A0BAE">
        <w:tab/>
      </w:r>
      <w:r w:rsidRPr="001A0BAE">
        <w:tab/>
        <w:t>eigene Darstellung</w:t>
      </w:r>
    </w:p>
    <w:tbl>
      <w:tblPr>
        <w:tblW w:w="5000" w:type="pct"/>
        <w:jc w:val="center"/>
        <w:tblLook w:val="04A0" w:firstRow="1" w:lastRow="0" w:firstColumn="1" w:lastColumn="0" w:noHBand="0" w:noVBand="1"/>
      </w:tblPr>
      <w:tblGrid>
        <w:gridCol w:w="4049"/>
        <w:gridCol w:w="2831"/>
        <w:gridCol w:w="1840"/>
      </w:tblGrid>
      <w:tr w:rsidR="00B66318" w:rsidRPr="00CF3B2D" w14:paraId="18F430E1" w14:textId="4A64AA2F" w:rsidTr="006B65D6">
        <w:trPr>
          <w:trHeight w:val="20"/>
          <w:jc w:val="center"/>
        </w:trPr>
        <w:tc>
          <w:tcPr>
            <w:tcW w:w="2322" w:type="pct"/>
            <w:tcBorders>
              <w:top w:val="single" w:sz="6" w:space="0" w:color="auto"/>
              <w:left w:val="nil"/>
              <w:bottom w:val="single" w:sz="8" w:space="0" w:color="auto"/>
              <w:right w:val="nil"/>
            </w:tcBorders>
            <w:shd w:val="clear" w:color="000000" w:fill="FFFFFF"/>
            <w:noWrap/>
            <w:vAlign w:val="center"/>
            <w:hideMark/>
          </w:tcPr>
          <w:p w14:paraId="46CE217F" w14:textId="08378C62" w:rsidR="00B66318" w:rsidRPr="00CF3B2D" w:rsidRDefault="00B66318" w:rsidP="00D3347F">
            <w:pPr>
              <w:snapToGrid w:val="0"/>
              <w:spacing w:before="60" w:after="60" w:line="240" w:lineRule="auto"/>
              <w:jc w:val="left"/>
              <w:rPr>
                <w:b/>
                <w:bCs/>
                <w:color w:val="000000"/>
                <w:szCs w:val="24"/>
              </w:rPr>
            </w:pPr>
            <w:r>
              <w:rPr>
                <w:b/>
                <w:bCs/>
                <w:color w:val="000000"/>
                <w:szCs w:val="24"/>
              </w:rPr>
              <w:t>Land</w:t>
            </w:r>
          </w:p>
        </w:tc>
        <w:tc>
          <w:tcPr>
            <w:tcW w:w="1623" w:type="pct"/>
            <w:tcBorders>
              <w:top w:val="single" w:sz="6" w:space="0" w:color="auto"/>
              <w:left w:val="nil"/>
              <w:bottom w:val="single" w:sz="8" w:space="0" w:color="auto"/>
              <w:right w:val="nil"/>
            </w:tcBorders>
            <w:shd w:val="clear" w:color="000000" w:fill="FFFFFF"/>
            <w:noWrap/>
            <w:vAlign w:val="center"/>
            <w:hideMark/>
          </w:tcPr>
          <w:p w14:paraId="6CE7F022" w14:textId="6D0726F2" w:rsidR="00B66318" w:rsidRPr="00CF3B2D" w:rsidRDefault="00B66318" w:rsidP="00D3347F">
            <w:pPr>
              <w:snapToGrid w:val="0"/>
              <w:spacing w:before="60" w:after="60" w:line="240" w:lineRule="auto"/>
              <w:jc w:val="center"/>
              <w:rPr>
                <w:b/>
                <w:bCs/>
                <w:color w:val="000000"/>
                <w:szCs w:val="24"/>
              </w:rPr>
            </w:pPr>
            <w:r>
              <w:rPr>
                <w:b/>
                <w:bCs/>
                <w:color w:val="000000"/>
                <w:szCs w:val="24"/>
              </w:rPr>
              <w:t>Anzahl der Unternehmen</w:t>
            </w:r>
            <w:r w:rsidRPr="00CF3B2D">
              <w:rPr>
                <w:b/>
                <w:bCs/>
                <w:color w:val="000000"/>
                <w:szCs w:val="24"/>
              </w:rPr>
              <w:t xml:space="preserve"> </w:t>
            </w:r>
          </w:p>
        </w:tc>
        <w:tc>
          <w:tcPr>
            <w:tcW w:w="1055" w:type="pct"/>
            <w:tcBorders>
              <w:top w:val="single" w:sz="6" w:space="0" w:color="auto"/>
              <w:left w:val="nil"/>
              <w:bottom w:val="single" w:sz="8" w:space="0" w:color="auto"/>
              <w:right w:val="nil"/>
            </w:tcBorders>
            <w:shd w:val="clear" w:color="000000" w:fill="FFFFFF"/>
          </w:tcPr>
          <w:p w14:paraId="12E1BA2C" w14:textId="39EC19B3" w:rsidR="00B66318" w:rsidRDefault="00B66318" w:rsidP="00D3347F">
            <w:pPr>
              <w:snapToGrid w:val="0"/>
              <w:spacing w:before="60" w:after="60" w:line="240" w:lineRule="auto"/>
              <w:jc w:val="center"/>
              <w:rPr>
                <w:b/>
                <w:bCs/>
                <w:color w:val="000000"/>
                <w:szCs w:val="24"/>
              </w:rPr>
            </w:pPr>
            <w:r>
              <w:rPr>
                <w:b/>
                <w:bCs/>
                <w:color w:val="000000"/>
                <w:szCs w:val="24"/>
              </w:rPr>
              <w:t>Anteil</w:t>
            </w:r>
          </w:p>
        </w:tc>
      </w:tr>
      <w:tr w:rsidR="001C2590" w14:paraId="454F4E5D" w14:textId="77777777" w:rsidTr="006B65D6">
        <w:trPr>
          <w:trHeight w:val="20"/>
          <w:jc w:val="center"/>
        </w:trPr>
        <w:tc>
          <w:tcPr>
            <w:tcW w:w="2322" w:type="pct"/>
            <w:tcBorders>
              <w:top w:val="single" w:sz="8" w:space="0" w:color="auto"/>
              <w:left w:val="nil"/>
              <w:bottom w:val="dotted" w:sz="4" w:space="0" w:color="auto"/>
              <w:right w:val="nil"/>
            </w:tcBorders>
            <w:shd w:val="clear" w:color="000000" w:fill="FFFFFF"/>
            <w:vAlign w:val="center"/>
          </w:tcPr>
          <w:p w14:paraId="607FD1E6" w14:textId="1AC99F72"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D</w:t>
            </w:r>
            <w:r>
              <w:rPr>
                <w:color w:val="000000"/>
                <w:szCs w:val="24"/>
                <w:lang w:val="en-US"/>
              </w:rPr>
              <w:t>eutschland</w:t>
            </w:r>
          </w:p>
        </w:tc>
        <w:tc>
          <w:tcPr>
            <w:tcW w:w="1623" w:type="pct"/>
            <w:tcBorders>
              <w:top w:val="single" w:sz="8" w:space="0" w:color="auto"/>
              <w:left w:val="nil"/>
              <w:bottom w:val="dotted" w:sz="4" w:space="0" w:color="auto"/>
              <w:right w:val="nil"/>
            </w:tcBorders>
            <w:shd w:val="clear" w:color="000000" w:fill="FFFFFF"/>
            <w:noWrap/>
            <w:vAlign w:val="center"/>
          </w:tcPr>
          <w:p w14:paraId="22A441B1" w14:textId="266B5277" w:rsidR="001C2590" w:rsidRPr="00D06326" w:rsidRDefault="001C2590" w:rsidP="00D3347F">
            <w:pPr>
              <w:snapToGrid w:val="0"/>
              <w:spacing w:before="60" w:after="60" w:line="240" w:lineRule="auto"/>
              <w:jc w:val="center"/>
              <w:rPr>
                <w:color w:val="000000"/>
                <w:szCs w:val="24"/>
              </w:rPr>
            </w:pPr>
            <w:r w:rsidRPr="00D06326">
              <w:rPr>
                <w:color w:val="000000"/>
                <w:szCs w:val="24"/>
              </w:rPr>
              <w:t>1</w:t>
            </w:r>
            <w:r>
              <w:rPr>
                <w:color w:val="000000"/>
                <w:szCs w:val="24"/>
              </w:rPr>
              <w:t>.</w:t>
            </w:r>
            <w:r w:rsidRPr="00D06326">
              <w:rPr>
                <w:color w:val="000000"/>
                <w:szCs w:val="24"/>
              </w:rPr>
              <w:t>221</w:t>
            </w:r>
          </w:p>
        </w:tc>
        <w:tc>
          <w:tcPr>
            <w:tcW w:w="1055" w:type="pct"/>
            <w:tcBorders>
              <w:top w:val="single" w:sz="8" w:space="0" w:color="auto"/>
              <w:left w:val="nil"/>
              <w:bottom w:val="dotted" w:sz="4" w:space="0" w:color="auto"/>
              <w:right w:val="nil"/>
            </w:tcBorders>
            <w:shd w:val="clear" w:color="000000" w:fill="FFFFFF"/>
          </w:tcPr>
          <w:p w14:paraId="1278F4AD" w14:textId="1B24609A" w:rsidR="001C2590" w:rsidRPr="00D06326" w:rsidRDefault="001C2590" w:rsidP="00D3347F">
            <w:pPr>
              <w:snapToGrid w:val="0"/>
              <w:spacing w:before="60" w:after="60" w:line="240" w:lineRule="auto"/>
              <w:jc w:val="center"/>
              <w:rPr>
                <w:color w:val="000000"/>
                <w:szCs w:val="24"/>
              </w:rPr>
            </w:pPr>
            <w:r w:rsidRPr="00F01402">
              <w:t>9,7%</w:t>
            </w:r>
          </w:p>
        </w:tc>
      </w:tr>
      <w:tr w:rsidR="001C2590" w14:paraId="0E9936E9"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0E7E247F" w14:textId="4CEEF712"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I</w:t>
            </w:r>
            <w:r>
              <w:rPr>
                <w:color w:val="000000"/>
                <w:szCs w:val="24"/>
                <w:lang w:val="en-US"/>
              </w:rPr>
              <w:t>talien</w:t>
            </w:r>
          </w:p>
        </w:tc>
        <w:tc>
          <w:tcPr>
            <w:tcW w:w="1623" w:type="pct"/>
            <w:tcBorders>
              <w:top w:val="nil"/>
              <w:left w:val="nil"/>
              <w:bottom w:val="dotted" w:sz="4" w:space="0" w:color="auto"/>
              <w:right w:val="nil"/>
            </w:tcBorders>
            <w:shd w:val="clear" w:color="000000" w:fill="FFFFFF"/>
            <w:noWrap/>
            <w:vAlign w:val="center"/>
          </w:tcPr>
          <w:p w14:paraId="184AE665" w14:textId="7E476CDA" w:rsidR="001C2590" w:rsidRPr="00D06326" w:rsidRDefault="001C2590" w:rsidP="00D3347F">
            <w:pPr>
              <w:snapToGrid w:val="0"/>
              <w:spacing w:before="60" w:after="60" w:line="240" w:lineRule="auto"/>
              <w:jc w:val="center"/>
              <w:rPr>
                <w:color w:val="000000"/>
                <w:szCs w:val="24"/>
              </w:rPr>
            </w:pPr>
            <w:r w:rsidRPr="00D06326">
              <w:rPr>
                <w:color w:val="000000"/>
                <w:szCs w:val="24"/>
              </w:rPr>
              <w:t>1</w:t>
            </w:r>
            <w:r>
              <w:rPr>
                <w:color w:val="000000"/>
                <w:szCs w:val="24"/>
              </w:rPr>
              <w:t>.</w:t>
            </w:r>
            <w:r w:rsidRPr="00D06326">
              <w:rPr>
                <w:color w:val="000000"/>
                <w:szCs w:val="24"/>
              </w:rPr>
              <w:t>089</w:t>
            </w:r>
          </w:p>
        </w:tc>
        <w:tc>
          <w:tcPr>
            <w:tcW w:w="1055" w:type="pct"/>
            <w:tcBorders>
              <w:top w:val="nil"/>
              <w:left w:val="nil"/>
              <w:bottom w:val="dotted" w:sz="4" w:space="0" w:color="auto"/>
              <w:right w:val="nil"/>
            </w:tcBorders>
            <w:shd w:val="clear" w:color="000000" w:fill="FFFFFF"/>
          </w:tcPr>
          <w:p w14:paraId="0C756465" w14:textId="108BB21E" w:rsidR="001C2590" w:rsidRPr="00D06326" w:rsidRDefault="001C2590" w:rsidP="00D3347F">
            <w:pPr>
              <w:snapToGrid w:val="0"/>
              <w:spacing w:before="60" w:after="60" w:line="240" w:lineRule="auto"/>
              <w:jc w:val="center"/>
              <w:rPr>
                <w:color w:val="000000"/>
                <w:szCs w:val="24"/>
              </w:rPr>
            </w:pPr>
            <w:r w:rsidRPr="00F01402">
              <w:t>8,7%</w:t>
            </w:r>
          </w:p>
        </w:tc>
      </w:tr>
      <w:tr w:rsidR="001C2590" w14:paraId="75060D88"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26DC2F4F" w14:textId="04A44794"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F</w:t>
            </w:r>
            <w:r>
              <w:rPr>
                <w:color w:val="000000"/>
                <w:szCs w:val="24"/>
                <w:lang w:val="en-US"/>
              </w:rPr>
              <w:t>rankreich</w:t>
            </w:r>
          </w:p>
        </w:tc>
        <w:tc>
          <w:tcPr>
            <w:tcW w:w="1623" w:type="pct"/>
            <w:tcBorders>
              <w:top w:val="nil"/>
              <w:left w:val="nil"/>
              <w:bottom w:val="dotted" w:sz="4" w:space="0" w:color="auto"/>
              <w:right w:val="nil"/>
            </w:tcBorders>
            <w:shd w:val="clear" w:color="000000" w:fill="FFFFFF"/>
            <w:noWrap/>
            <w:vAlign w:val="center"/>
          </w:tcPr>
          <w:p w14:paraId="680FB90C" w14:textId="1527EE4B" w:rsidR="001C2590" w:rsidRPr="00D06326" w:rsidRDefault="001C2590" w:rsidP="00D3347F">
            <w:pPr>
              <w:snapToGrid w:val="0"/>
              <w:spacing w:before="60" w:after="60" w:line="240" w:lineRule="auto"/>
              <w:jc w:val="center"/>
              <w:rPr>
                <w:color w:val="000000"/>
                <w:szCs w:val="24"/>
              </w:rPr>
            </w:pPr>
            <w:r w:rsidRPr="00D06326">
              <w:rPr>
                <w:color w:val="000000"/>
                <w:szCs w:val="24"/>
              </w:rPr>
              <w:t>1</w:t>
            </w:r>
            <w:r>
              <w:rPr>
                <w:color w:val="000000"/>
                <w:szCs w:val="24"/>
              </w:rPr>
              <w:t>.</w:t>
            </w:r>
            <w:r w:rsidRPr="00D06326">
              <w:rPr>
                <w:color w:val="000000"/>
                <w:szCs w:val="24"/>
              </w:rPr>
              <w:t>068</w:t>
            </w:r>
          </w:p>
        </w:tc>
        <w:tc>
          <w:tcPr>
            <w:tcW w:w="1055" w:type="pct"/>
            <w:tcBorders>
              <w:top w:val="nil"/>
              <w:left w:val="nil"/>
              <w:bottom w:val="dotted" w:sz="4" w:space="0" w:color="auto"/>
              <w:right w:val="nil"/>
            </w:tcBorders>
            <w:shd w:val="clear" w:color="000000" w:fill="FFFFFF"/>
          </w:tcPr>
          <w:p w14:paraId="3E3AE8E9" w14:textId="6CB3D6F9" w:rsidR="001C2590" w:rsidRPr="00D06326" w:rsidRDefault="001C2590" w:rsidP="00D3347F">
            <w:pPr>
              <w:snapToGrid w:val="0"/>
              <w:spacing w:before="60" w:after="60" w:line="240" w:lineRule="auto"/>
              <w:jc w:val="center"/>
              <w:rPr>
                <w:color w:val="000000"/>
                <w:szCs w:val="24"/>
              </w:rPr>
            </w:pPr>
            <w:r w:rsidRPr="00F01402">
              <w:t>8,5%</w:t>
            </w:r>
          </w:p>
        </w:tc>
      </w:tr>
      <w:tr w:rsidR="001C2590" w14:paraId="63962B3F"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044200EA" w14:textId="1F460D3C" w:rsidR="001C2590" w:rsidRPr="00D06326" w:rsidRDefault="001C2590" w:rsidP="00D3347F">
            <w:pPr>
              <w:snapToGrid w:val="0"/>
              <w:spacing w:before="60" w:after="60" w:line="240" w:lineRule="auto"/>
              <w:jc w:val="left"/>
              <w:rPr>
                <w:color w:val="000000"/>
                <w:szCs w:val="24"/>
                <w:lang w:val="en-US"/>
              </w:rPr>
            </w:pPr>
            <w:r>
              <w:rPr>
                <w:color w:val="000000"/>
                <w:szCs w:val="24"/>
                <w:lang w:val="en-US"/>
              </w:rPr>
              <w:t>Vereinigtes Königreich</w:t>
            </w:r>
          </w:p>
        </w:tc>
        <w:tc>
          <w:tcPr>
            <w:tcW w:w="1623" w:type="pct"/>
            <w:tcBorders>
              <w:top w:val="nil"/>
              <w:left w:val="nil"/>
              <w:bottom w:val="dotted" w:sz="4" w:space="0" w:color="auto"/>
              <w:right w:val="nil"/>
            </w:tcBorders>
            <w:shd w:val="clear" w:color="000000" w:fill="FFFFFF"/>
            <w:noWrap/>
            <w:vAlign w:val="center"/>
          </w:tcPr>
          <w:p w14:paraId="7329B0B3" w14:textId="37ED79E7" w:rsidR="001C2590" w:rsidRPr="00D06326" w:rsidRDefault="001C2590" w:rsidP="00D3347F">
            <w:pPr>
              <w:snapToGrid w:val="0"/>
              <w:spacing w:before="60" w:after="60" w:line="240" w:lineRule="auto"/>
              <w:jc w:val="center"/>
              <w:rPr>
                <w:color w:val="000000"/>
                <w:szCs w:val="24"/>
              </w:rPr>
            </w:pPr>
            <w:r w:rsidRPr="00D06326">
              <w:rPr>
                <w:color w:val="000000"/>
                <w:szCs w:val="24"/>
              </w:rPr>
              <w:t>1</w:t>
            </w:r>
            <w:r>
              <w:rPr>
                <w:color w:val="000000"/>
                <w:szCs w:val="24"/>
              </w:rPr>
              <w:t>.</w:t>
            </w:r>
            <w:r w:rsidRPr="00D06326">
              <w:rPr>
                <w:color w:val="000000"/>
                <w:szCs w:val="24"/>
              </w:rPr>
              <w:t>028</w:t>
            </w:r>
          </w:p>
        </w:tc>
        <w:tc>
          <w:tcPr>
            <w:tcW w:w="1055" w:type="pct"/>
            <w:tcBorders>
              <w:top w:val="nil"/>
              <w:left w:val="nil"/>
              <w:bottom w:val="dotted" w:sz="4" w:space="0" w:color="auto"/>
              <w:right w:val="nil"/>
            </w:tcBorders>
            <w:shd w:val="clear" w:color="000000" w:fill="FFFFFF"/>
          </w:tcPr>
          <w:p w14:paraId="216CBCDD" w14:textId="3CB7B88E" w:rsidR="001C2590" w:rsidRPr="00D06326" w:rsidRDefault="001C2590" w:rsidP="00D3347F">
            <w:pPr>
              <w:snapToGrid w:val="0"/>
              <w:spacing w:before="60" w:after="60" w:line="240" w:lineRule="auto"/>
              <w:jc w:val="center"/>
              <w:rPr>
                <w:color w:val="000000"/>
                <w:szCs w:val="24"/>
              </w:rPr>
            </w:pPr>
            <w:r w:rsidRPr="00F01402">
              <w:t>8,2%</w:t>
            </w:r>
          </w:p>
        </w:tc>
      </w:tr>
      <w:tr w:rsidR="001C2590" w14:paraId="5ED37E51"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1305FC3C" w14:textId="0FE0854F" w:rsidR="001C2590" w:rsidRPr="00D06326" w:rsidRDefault="001C2590" w:rsidP="00D3347F">
            <w:pPr>
              <w:snapToGrid w:val="0"/>
              <w:spacing w:before="60" w:after="60" w:line="240" w:lineRule="auto"/>
              <w:jc w:val="left"/>
              <w:rPr>
                <w:color w:val="000000"/>
                <w:szCs w:val="24"/>
                <w:lang w:val="en-US"/>
              </w:rPr>
            </w:pPr>
            <w:r>
              <w:rPr>
                <w:color w:val="000000"/>
                <w:szCs w:val="24"/>
                <w:lang w:val="en-US"/>
              </w:rPr>
              <w:t>Spanien</w:t>
            </w:r>
          </w:p>
        </w:tc>
        <w:tc>
          <w:tcPr>
            <w:tcW w:w="1623" w:type="pct"/>
            <w:tcBorders>
              <w:top w:val="nil"/>
              <w:left w:val="nil"/>
              <w:bottom w:val="dotted" w:sz="4" w:space="0" w:color="auto"/>
              <w:right w:val="nil"/>
            </w:tcBorders>
            <w:shd w:val="clear" w:color="000000" w:fill="FFFFFF"/>
            <w:noWrap/>
            <w:vAlign w:val="center"/>
          </w:tcPr>
          <w:p w14:paraId="67AA564C" w14:textId="2C6A77C6" w:rsidR="001C2590" w:rsidRPr="00D06326" w:rsidRDefault="001C2590" w:rsidP="00D3347F">
            <w:pPr>
              <w:snapToGrid w:val="0"/>
              <w:spacing w:before="60" w:after="60" w:line="240" w:lineRule="auto"/>
              <w:jc w:val="center"/>
              <w:rPr>
                <w:color w:val="000000"/>
                <w:szCs w:val="24"/>
              </w:rPr>
            </w:pPr>
            <w:r w:rsidRPr="00D06326">
              <w:rPr>
                <w:color w:val="000000"/>
                <w:szCs w:val="24"/>
              </w:rPr>
              <w:t>1</w:t>
            </w:r>
            <w:r>
              <w:rPr>
                <w:color w:val="000000"/>
                <w:szCs w:val="24"/>
              </w:rPr>
              <w:t>.</w:t>
            </w:r>
            <w:r w:rsidRPr="00D06326">
              <w:rPr>
                <w:color w:val="000000"/>
                <w:szCs w:val="24"/>
              </w:rPr>
              <w:t>012</w:t>
            </w:r>
          </w:p>
        </w:tc>
        <w:tc>
          <w:tcPr>
            <w:tcW w:w="1055" w:type="pct"/>
            <w:tcBorders>
              <w:top w:val="nil"/>
              <w:left w:val="nil"/>
              <w:bottom w:val="dotted" w:sz="4" w:space="0" w:color="auto"/>
              <w:right w:val="nil"/>
            </w:tcBorders>
            <w:shd w:val="clear" w:color="000000" w:fill="FFFFFF"/>
          </w:tcPr>
          <w:p w14:paraId="0CBD8CE9" w14:textId="40C850E6" w:rsidR="001C2590" w:rsidRPr="00D06326" w:rsidRDefault="001C2590" w:rsidP="00D3347F">
            <w:pPr>
              <w:snapToGrid w:val="0"/>
              <w:spacing w:before="60" w:after="60" w:line="240" w:lineRule="auto"/>
              <w:jc w:val="center"/>
              <w:rPr>
                <w:color w:val="000000"/>
                <w:szCs w:val="24"/>
              </w:rPr>
            </w:pPr>
            <w:r w:rsidRPr="00F01402">
              <w:t>8</w:t>
            </w:r>
            <w:r>
              <w:t>,0</w:t>
            </w:r>
            <w:r w:rsidRPr="00F01402">
              <w:t>%</w:t>
            </w:r>
          </w:p>
        </w:tc>
      </w:tr>
      <w:tr w:rsidR="001C2590" w14:paraId="4FAF778A"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72A1C1B0" w14:textId="32D64082" w:rsidR="001C2590" w:rsidRPr="00D06326" w:rsidRDefault="001C2590" w:rsidP="00D3347F">
            <w:pPr>
              <w:snapToGrid w:val="0"/>
              <w:spacing w:before="60" w:after="60" w:line="240" w:lineRule="auto"/>
              <w:jc w:val="left"/>
              <w:rPr>
                <w:color w:val="000000"/>
                <w:szCs w:val="24"/>
                <w:lang w:val="en-US"/>
              </w:rPr>
            </w:pPr>
            <w:r>
              <w:rPr>
                <w:color w:val="000000"/>
                <w:szCs w:val="24"/>
                <w:lang w:val="en-US"/>
              </w:rPr>
              <w:t>Polen</w:t>
            </w:r>
          </w:p>
        </w:tc>
        <w:tc>
          <w:tcPr>
            <w:tcW w:w="1623" w:type="pct"/>
            <w:tcBorders>
              <w:top w:val="nil"/>
              <w:left w:val="nil"/>
              <w:bottom w:val="dotted" w:sz="4" w:space="0" w:color="auto"/>
              <w:right w:val="nil"/>
            </w:tcBorders>
            <w:shd w:val="clear" w:color="000000" w:fill="FFFFFF"/>
            <w:noWrap/>
            <w:vAlign w:val="center"/>
          </w:tcPr>
          <w:p w14:paraId="42907C17"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910</w:t>
            </w:r>
          </w:p>
        </w:tc>
        <w:tc>
          <w:tcPr>
            <w:tcW w:w="1055" w:type="pct"/>
            <w:tcBorders>
              <w:top w:val="nil"/>
              <w:left w:val="nil"/>
              <w:bottom w:val="dotted" w:sz="4" w:space="0" w:color="auto"/>
              <w:right w:val="nil"/>
            </w:tcBorders>
            <w:shd w:val="clear" w:color="000000" w:fill="FFFFFF"/>
          </w:tcPr>
          <w:p w14:paraId="3BF561A3" w14:textId="521B94D4" w:rsidR="001C2590" w:rsidRPr="00D06326" w:rsidRDefault="001C2590" w:rsidP="00D3347F">
            <w:pPr>
              <w:snapToGrid w:val="0"/>
              <w:spacing w:before="60" w:after="60" w:line="240" w:lineRule="auto"/>
              <w:jc w:val="center"/>
              <w:rPr>
                <w:color w:val="000000"/>
                <w:szCs w:val="24"/>
              </w:rPr>
            </w:pPr>
            <w:r w:rsidRPr="00F01402">
              <w:t>7,2%</w:t>
            </w:r>
          </w:p>
        </w:tc>
      </w:tr>
      <w:tr w:rsidR="001C2590" w14:paraId="52944181"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1989D45C" w14:textId="62D60B87" w:rsidR="001C2590" w:rsidRPr="00D06326" w:rsidRDefault="001C2590" w:rsidP="00D3347F">
            <w:pPr>
              <w:snapToGrid w:val="0"/>
              <w:spacing w:before="60" w:after="60" w:line="240" w:lineRule="auto"/>
              <w:jc w:val="left"/>
              <w:rPr>
                <w:color w:val="000000"/>
                <w:szCs w:val="24"/>
                <w:lang w:val="en-US"/>
              </w:rPr>
            </w:pPr>
            <w:r>
              <w:rPr>
                <w:color w:val="000000"/>
                <w:szCs w:val="24"/>
                <w:lang w:val="en-US"/>
              </w:rPr>
              <w:t>Niederlande</w:t>
            </w:r>
          </w:p>
        </w:tc>
        <w:tc>
          <w:tcPr>
            <w:tcW w:w="1623" w:type="pct"/>
            <w:tcBorders>
              <w:top w:val="nil"/>
              <w:left w:val="nil"/>
              <w:bottom w:val="dotted" w:sz="4" w:space="0" w:color="auto"/>
              <w:right w:val="nil"/>
            </w:tcBorders>
            <w:shd w:val="clear" w:color="000000" w:fill="FFFFFF"/>
            <w:noWrap/>
            <w:vAlign w:val="center"/>
          </w:tcPr>
          <w:p w14:paraId="57A47E20"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647</w:t>
            </w:r>
          </w:p>
        </w:tc>
        <w:tc>
          <w:tcPr>
            <w:tcW w:w="1055" w:type="pct"/>
            <w:tcBorders>
              <w:top w:val="nil"/>
              <w:left w:val="nil"/>
              <w:bottom w:val="dotted" w:sz="4" w:space="0" w:color="auto"/>
              <w:right w:val="nil"/>
            </w:tcBorders>
            <w:shd w:val="clear" w:color="000000" w:fill="FFFFFF"/>
          </w:tcPr>
          <w:p w14:paraId="5C876E03" w14:textId="5CB91B16" w:rsidR="001C2590" w:rsidRPr="00D06326" w:rsidRDefault="001C2590" w:rsidP="00D3347F">
            <w:pPr>
              <w:snapToGrid w:val="0"/>
              <w:spacing w:before="60" w:after="60" w:line="240" w:lineRule="auto"/>
              <w:jc w:val="center"/>
              <w:rPr>
                <w:color w:val="000000"/>
                <w:szCs w:val="24"/>
              </w:rPr>
            </w:pPr>
            <w:r w:rsidRPr="00F01402">
              <w:t>5,1%</w:t>
            </w:r>
          </w:p>
        </w:tc>
      </w:tr>
      <w:tr w:rsidR="001C2590" w14:paraId="591CB8FE"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1CA1D898" w14:textId="5BF98EB4" w:rsidR="001C2590" w:rsidRPr="00D06326" w:rsidRDefault="001C2590" w:rsidP="00D3347F">
            <w:pPr>
              <w:snapToGrid w:val="0"/>
              <w:spacing w:before="60" w:after="60" w:line="240" w:lineRule="auto"/>
              <w:jc w:val="left"/>
              <w:rPr>
                <w:color w:val="000000"/>
                <w:szCs w:val="24"/>
                <w:lang w:val="en-US"/>
              </w:rPr>
            </w:pPr>
            <w:r>
              <w:rPr>
                <w:color w:val="000000"/>
                <w:szCs w:val="24"/>
                <w:lang w:val="en-US"/>
              </w:rPr>
              <w:t>Österreich</w:t>
            </w:r>
          </w:p>
        </w:tc>
        <w:tc>
          <w:tcPr>
            <w:tcW w:w="1623" w:type="pct"/>
            <w:tcBorders>
              <w:top w:val="nil"/>
              <w:left w:val="nil"/>
              <w:bottom w:val="dotted" w:sz="4" w:space="0" w:color="auto"/>
              <w:right w:val="nil"/>
            </w:tcBorders>
            <w:shd w:val="clear" w:color="000000" w:fill="FFFFFF"/>
            <w:noWrap/>
            <w:vAlign w:val="center"/>
          </w:tcPr>
          <w:p w14:paraId="07FEF3D2"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439</w:t>
            </w:r>
          </w:p>
        </w:tc>
        <w:tc>
          <w:tcPr>
            <w:tcW w:w="1055" w:type="pct"/>
            <w:tcBorders>
              <w:top w:val="nil"/>
              <w:left w:val="nil"/>
              <w:bottom w:val="dotted" w:sz="4" w:space="0" w:color="auto"/>
              <w:right w:val="nil"/>
            </w:tcBorders>
            <w:shd w:val="clear" w:color="000000" w:fill="FFFFFF"/>
          </w:tcPr>
          <w:p w14:paraId="5ADC8665" w14:textId="746AF768" w:rsidR="001C2590" w:rsidRPr="00D06326" w:rsidRDefault="001C2590" w:rsidP="00D3347F">
            <w:pPr>
              <w:snapToGrid w:val="0"/>
              <w:spacing w:before="60" w:after="60" w:line="240" w:lineRule="auto"/>
              <w:jc w:val="center"/>
              <w:rPr>
                <w:color w:val="000000"/>
                <w:szCs w:val="24"/>
              </w:rPr>
            </w:pPr>
            <w:r w:rsidRPr="00F01402">
              <w:t>3,5%</w:t>
            </w:r>
          </w:p>
        </w:tc>
      </w:tr>
      <w:tr w:rsidR="001C2590" w14:paraId="3D9A9E05"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3DF1BC1E" w14:textId="0209757C" w:rsidR="001C2590" w:rsidRPr="00D06326" w:rsidRDefault="001C2590" w:rsidP="00D3347F">
            <w:pPr>
              <w:snapToGrid w:val="0"/>
              <w:spacing w:before="60" w:after="60" w:line="240" w:lineRule="auto"/>
              <w:jc w:val="left"/>
              <w:rPr>
                <w:color w:val="000000"/>
                <w:szCs w:val="24"/>
                <w:lang w:val="en-US"/>
              </w:rPr>
            </w:pPr>
            <w:r>
              <w:rPr>
                <w:color w:val="000000"/>
                <w:szCs w:val="24"/>
                <w:lang w:val="en-US"/>
              </w:rPr>
              <w:t>Irland</w:t>
            </w:r>
          </w:p>
        </w:tc>
        <w:tc>
          <w:tcPr>
            <w:tcW w:w="1623" w:type="pct"/>
            <w:tcBorders>
              <w:top w:val="nil"/>
              <w:left w:val="nil"/>
              <w:bottom w:val="dotted" w:sz="4" w:space="0" w:color="auto"/>
              <w:right w:val="nil"/>
            </w:tcBorders>
            <w:shd w:val="clear" w:color="000000" w:fill="FFFFFF"/>
            <w:noWrap/>
            <w:vAlign w:val="center"/>
          </w:tcPr>
          <w:p w14:paraId="7DCAAE8D"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418</w:t>
            </w:r>
          </w:p>
        </w:tc>
        <w:tc>
          <w:tcPr>
            <w:tcW w:w="1055" w:type="pct"/>
            <w:tcBorders>
              <w:top w:val="nil"/>
              <w:left w:val="nil"/>
              <w:bottom w:val="dotted" w:sz="4" w:space="0" w:color="auto"/>
              <w:right w:val="nil"/>
            </w:tcBorders>
            <w:shd w:val="clear" w:color="000000" w:fill="FFFFFF"/>
          </w:tcPr>
          <w:p w14:paraId="63974763" w14:textId="58944D20" w:rsidR="001C2590" w:rsidRPr="00D06326" w:rsidRDefault="001C2590" w:rsidP="00D3347F">
            <w:pPr>
              <w:snapToGrid w:val="0"/>
              <w:spacing w:before="60" w:after="60" w:line="240" w:lineRule="auto"/>
              <w:jc w:val="center"/>
              <w:rPr>
                <w:color w:val="000000"/>
                <w:szCs w:val="24"/>
              </w:rPr>
            </w:pPr>
            <w:r w:rsidRPr="00F01402">
              <w:t>3,3%</w:t>
            </w:r>
          </w:p>
        </w:tc>
      </w:tr>
      <w:tr w:rsidR="001C2590" w14:paraId="4EE9BA2D"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6FAD05B9" w14:textId="0877FCE7"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F</w:t>
            </w:r>
            <w:r>
              <w:rPr>
                <w:color w:val="000000"/>
                <w:szCs w:val="24"/>
                <w:lang w:val="en-US"/>
              </w:rPr>
              <w:t>innland</w:t>
            </w:r>
          </w:p>
        </w:tc>
        <w:tc>
          <w:tcPr>
            <w:tcW w:w="1623" w:type="pct"/>
            <w:tcBorders>
              <w:top w:val="nil"/>
              <w:left w:val="nil"/>
              <w:bottom w:val="dotted" w:sz="4" w:space="0" w:color="auto"/>
              <w:right w:val="nil"/>
            </w:tcBorders>
            <w:shd w:val="clear" w:color="000000" w:fill="FFFFFF"/>
            <w:noWrap/>
            <w:vAlign w:val="center"/>
          </w:tcPr>
          <w:p w14:paraId="5BC1773A"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402</w:t>
            </w:r>
          </w:p>
        </w:tc>
        <w:tc>
          <w:tcPr>
            <w:tcW w:w="1055" w:type="pct"/>
            <w:tcBorders>
              <w:top w:val="nil"/>
              <w:left w:val="nil"/>
              <w:bottom w:val="dotted" w:sz="4" w:space="0" w:color="auto"/>
              <w:right w:val="nil"/>
            </w:tcBorders>
            <w:shd w:val="clear" w:color="000000" w:fill="FFFFFF"/>
          </w:tcPr>
          <w:p w14:paraId="2807D100" w14:textId="0CC79BF7" w:rsidR="001C2590" w:rsidRPr="00D06326" w:rsidRDefault="001C2590" w:rsidP="00D3347F">
            <w:pPr>
              <w:snapToGrid w:val="0"/>
              <w:spacing w:before="60" w:after="60" w:line="240" w:lineRule="auto"/>
              <w:jc w:val="center"/>
              <w:rPr>
                <w:color w:val="000000"/>
                <w:szCs w:val="24"/>
              </w:rPr>
            </w:pPr>
            <w:r w:rsidRPr="00F01402">
              <w:t>3,2%</w:t>
            </w:r>
          </w:p>
        </w:tc>
      </w:tr>
      <w:tr w:rsidR="001C2590" w14:paraId="2A61F7DE"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77982DA1" w14:textId="6DAFF18A"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B</w:t>
            </w:r>
            <w:r>
              <w:rPr>
                <w:color w:val="000000"/>
                <w:szCs w:val="24"/>
                <w:lang w:val="en-US"/>
              </w:rPr>
              <w:t>elgien</w:t>
            </w:r>
          </w:p>
        </w:tc>
        <w:tc>
          <w:tcPr>
            <w:tcW w:w="1623" w:type="pct"/>
            <w:tcBorders>
              <w:top w:val="nil"/>
              <w:left w:val="nil"/>
              <w:bottom w:val="dotted" w:sz="4" w:space="0" w:color="auto"/>
              <w:right w:val="nil"/>
            </w:tcBorders>
            <w:shd w:val="clear" w:color="000000" w:fill="FFFFFF"/>
            <w:noWrap/>
            <w:vAlign w:val="center"/>
          </w:tcPr>
          <w:p w14:paraId="241B7F2A"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399</w:t>
            </w:r>
          </w:p>
        </w:tc>
        <w:tc>
          <w:tcPr>
            <w:tcW w:w="1055" w:type="pct"/>
            <w:tcBorders>
              <w:top w:val="nil"/>
              <w:left w:val="nil"/>
              <w:bottom w:val="dotted" w:sz="4" w:space="0" w:color="auto"/>
              <w:right w:val="nil"/>
            </w:tcBorders>
            <w:shd w:val="clear" w:color="000000" w:fill="FFFFFF"/>
          </w:tcPr>
          <w:p w14:paraId="4DEA2388" w14:textId="67FA567C" w:rsidR="001C2590" w:rsidRPr="00D06326" w:rsidRDefault="001C2590" w:rsidP="00D3347F">
            <w:pPr>
              <w:snapToGrid w:val="0"/>
              <w:spacing w:before="60" w:after="60" w:line="240" w:lineRule="auto"/>
              <w:jc w:val="center"/>
              <w:rPr>
                <w:color w:val="000000"/>
                <w:szCs w:val="24"/>
              </w:rPr>
            </w:pPr>
            <w:r w:rsidRPr="00F01402">
              <w:t>3,2%</w:t>
            </w:r>
          </w:p>
        </w:tc>
      </w:tr>
      <w:tr w:rsidR="001C2590" w14:paraId="634185CE"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0B6EC2DD" w14:textId="3D613866"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D</w:t>
            </w:r>
            <w:r>
              <w:rPr>
                <w:color w:val="000000"/>
                <w:szCs w:val="24"/>
                <w:lang w:val="en-US"/>
              </w:rPr>
              <w:t>änemark</w:t>
            </w:r>
          </w:p>
        </w:tc>
        <w:tc>
          <w:tcPr>
            <w:tcW w:w="1623" w:type="pct"/>
            <w:tcBorders>
              <w:top w:val="nil"/>
              <w:left w:val="nil"/>
              <w:bottom w:val="dotted" w:sz="4" w:space="0" w:color="auto"/>
              <w:right w:val="nil"/>
            </w:tcBorders>
            <w:shd w:val="clear" w:color="000000" w:fill="FFFFFF"/>
            <w:noWrap/>
            <w:vAlign w:val="center"/>
          </w:tcPr>
          <w:p w14:paraId="33364924"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378</w:t>
            </w:r>
          </w:p>
        </w:tc>
        <w:tc>
          <w:tcPr>
            <w:tcW w:w="1055" w:type="pct"/>
            <w:tcBorders>
              <w:top w:val="nil"/>
              <w:left w:val="nil"/>
              <w:bottom w:val="dotted" w:sz="4" w:space="0" w:color="auto"/>
              <w:right w:val="nil"/>
            </w:tcBorders>
            <w:shd w:val="clear" w:color="000000" w:fill="FFFFFF"/>
          </w:tcPr>
          <w:p w14:paraId="44A0AE0A" w14:textId="71C5F011" w:rsidR="001C2590" w:rsidRPr="00D06326" w:rsidRDefault="001C2590" w:rsidP="00D3347F">
            <w:pPr>
              <w:snapToGrid w:val="0"/>
              <w:spacing w:before="60" w:after="60" w:line="240" w:lineRule="auto"/>
              <w:jc w:val="center"/>
              <w:rPr>
                <w:color w:val="000000"/>
                <w:szCs w:val="24"/>
              </w:rPr>
            </w:pPr>
            <w:r w:rsidRPr="00F01402">
              <w:t>3</w:t>
            </w:r>
            <w:r>
              <w:t>,0</w:t>
            </w:r>
            <w:r w:rsidRPr="00F01402">
              <w:t>%</w:t>
            </w:r>
          </w:p>
        </w:tc>
      </w:tr>
      <w:tr w:rsidR="001C2590" w14:paraId="362798E3"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63B7174F" w14:textId="442E515A"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G</w:t>
            </w:r>
            <w:r>
              <w:rPr>
                <w:color w:val="000000"/>
                <w:szCs w:val="24"/>
                <w:lang w:val="en-US"/>
              </w:rPr>
              <w:t>riechenland</w:t>
            </w:r>
          </w:p>
        </w:tc>
        <w:tc>
          <w:tcPr>
            <w:tcW w:w="1623" w:type="pct"/>
            <w:tcBorders>
              <w:top w:val="nil"/>
              <w:left w:val="nil"/>
              <w:bottom w:val="dotted" w:sz="4" w:space="0" w:color="auto"/>
              <w:right w:val="nil"/>
            </w:tcBorders>
            <w:shd w:val="clear" w:color="000000" w:fill="FFFFFF"/>
            <w:noWrap/>
            <w:vAlign w:val="center"/>
          </w:tcPr>
          <w:p w14:paraId="02062BFC"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377</w:t>
            </w:r>
          </w:p>
        </w:tc>
        <w:tc>
          <w:tcPr>
            <w:tcW w:w="1055" w:type="pct"/>
            <w:tcBorders>
              <w:top w:val="nil"/>
              <w:left w:val="nil"/>
              <w:bottom w:val="dotted" w:sz="4" w:space="0" w:color="auto"/>
              <w:right w:val="nil"/>
            </w:tcBorders>
            <w:shd w:val="clear" w:color="000000" w:fill="FFFFFF"/>
          </w:tcPr>
          <w:p w14:paraId="41D226CF" w14:textId="5197B915" w:rsidR="001C2590" w:rsidRPr="00D06326" w:rsidRDefault="001C2590" w:rsidP="00D3347F">
            <w:pPr>
              <w:snapToGrid w:val="0"/>
              <w:spacing w:before="60" w:after="60" w:line="240" w:lineRule="auto"/>
              <w:jc w:val="center"/>
              <w:rPr>
                <w:color w:val="000000"/>
                <w:szCs w:val="24"/>
              </w:rPr>
            </w:pPr>
            <w:r w:rsidRPr="00F01402">
              <w:t>3</w:t>
            </w:r>
            <w:r>
              <w:t>,0</w:t>
            </w:r>
            <w:r w:rsidRPr="00F01402">
              <w:t>%</w:t>
            </w:r>
          </w:p>
        </w:tc>
      </w:tr>
      <w:tr w:rsidR="001C2590" w14:paraId="611979DA"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28210419" w14:textId="30A878DA"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S</w:t>
            </w:r>
            <w:r>
              <w:rPr>
                <w:color w:val="000000"/>
                <w:szCs w:val="24"/>
                <w:lang w:val="en-US"/>
              </w:rPr>
              <w:t>lowakei</w:t>
            </w:r>
          </w:p>
        </w:tc>
        <w:tc>
          <w:tcPr>
            <w:tcW w:w="1623" w:type="pct"/>
            <w:tcBorders>
              <w:top w:val="nil"/>
              <w:left w:val="nil"/>
              <w:bottom w:val="dotted" w:sz="4" w:space="0" w:color="auto"/>
              <w:right w:val="nil"/>
            </w:tcBorders>
            <w:shd w:val="clear" w:color="000000" w:fill="FFFFFF"/>
            <w:noWrap/>
            <w:vAlign w:val="center"/>
          </w:tcPr>
          <w:p w14:paraId="15A6FF70"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376</w:t>
            </w:r>
          </w:p>
        </w:tc>
        <w:tc>
          <w:tcPr>
            <w:tcW w:w="1055" w:type="pct"/>
            <w:tcBorders>
              <w:top w:val="nil"/>
              <w:left w:val="nil"/>
              <w:bottom w:val="dotted" w:sz="4" w:space="0" w:color="auto"/>
              <w:right w:val="nil"/>
            </w:tcBorders>
            <w:shd w:val="clear" w:color="000000" w:fill="FFFFFF"/>
          </w:tcPr>
          <w:p w14:paraId="42A222AF" w14:textId="44A42CAD" w:rsidR="001C2590" w:rsidRPr="00D06326" w:rsidRDefault="001C2590" w:rsidP="00D3347F">
            <w:pPr>
              <w:snapToGrid w:val="0"/>
              <w:spacing w:before="60" w:after="60" w:line="240" w:lineRule="auto"/>
              <w:jc w:val="center"/>
              <w:rPr>
                <w:color w:val="000000"/>
                <w:szCs w:val="24"/>
              </w:rPr>
            </w:pPr>
            <w:r w:rsidRPr="00F01402">
              <w:t>3</w:t>
            </w:r>
            <w:r>
              <w:t>,0</w:t>
            </w:r>
            <w:r w:rsidRPr="00F01402">
              <w:t>%</w:t>
            </w:r>
          </w:p>
        </w:tc>
      </w:tr>
      <w:tr w:rsidR="001C2590" w14:paraId="3FA7EF7E"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296477B7" w14:textId="2811F972"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S</w:t>
            </w:r>
            <w:r>
              <w:rPr>
                <w:color w:val="000000"/>
                <w:szCs w:val="24"/>
                <w:lang w:val="en-US"/>
              </w:rPr>
              <w:t>chweden</w:t>
            </w:r>
          </w:p>
        </w:tc>
        <w:tc>
          <w:tcPr>
            <w:tcW w:w="1623" w:type="pct"/>
            <w:tcBorders>
              <w:top w:val="nil"/>
              <w:left w:val="nil"/>
              <w:bottom w:val="dotted" w:sz="4" w:space="0" w:color="auto"/>
              <w:right w:val="nil"/>
            </w:tcBorders>
            <w:shd w:val="clear" w:color="000000" w:fill="FFFFFF"/>
            <w:noWrap/>
            <w:vAlign w:val="center"/>
          </w:tcPr>
          <w:p w14:paraId="0E5160F4"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358</w:t>
            </w:r>
          </w:p>
        </w:tc>
        <w:tc>
          <w:tcPr>
            <w:tcW w:w="1055" w:type="pct"/>
            <w:tcBorders>
              <w:top w:val="nil"/>
              <w:left w:val="nil"/>
              <w:bottom w:val="dotted" w:sz="4" w:space="0" w:color="auto"/>
              <w:right w:val="nil"/>
            </w:tcBorders>
            <w:shd w:val="clear" w:color="000000" w:fill="FFFFFF"/>
          </w:tcPr>
          <w:p w14:paraId="63013054" w14:textId="4993CC51" w:rsidR="001C2590" w:rsidRPr="00D06326" w:rsidRDefault="001C2590" w:rsidP="00D3347F">
            <w:pPr>
              <w:snapToGrid w:val="0"/>
              <w:spacing w:before="60" w:after="60" w:line="240" w:lineRule="auto"/>
              <w:jc w:val="center"/>
              <w:rPr>
                <w:color w:val="000000"/>
                <w:szCs w:val="24"/>
              </w:rPr>
            </w:pPr>
            <w:r w:rsidRPr="00F01402">
              <w:t>2,8%</w:t>
            </w:r>
          </w:p>
        </w:tc>
      </w:tr>
      <w:tr w:rsidR="001C2590" w14:paraId="1F7106AE"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289B7A9C" w14:textId="63ADF405" w:rsidR="001C2590" w:rsidRPr="00D06326" w:rsidRDefault="001C2590" w:rsidP="00D3347F">
            <w:pPr>
              <w:snapToGrid w:val="0"/>
              <w:spacing w:before="60" w:after="60" w:line="240" w:lineRule="auto"/>
              <w:jc w:val="left"/>
              <w:rPr>
                <w:color w:val="000000"/>
                <w:szCs w:val="24"/>
                <w:lang w:val="en-US"/>
              </w:rPr>
            </w:pPr>
            <w:r>
              <w:rPr>
                <w:color w:val="000000"/>
                <w:szCs w:val="24"/>
                <w:lang w:val="en-US"/>
              </w:rPr>
              <w:t>Ungarn</w:t>
            </w:r>
          </w:p>
        </w:tc>
        <w:tc>
          <w:tcPr>
            <w:tcW w:w="1623" w:type="pct"/>
            <w:tcBorders>
              <w:top w:val="nil"/>
              <w:left w:val="nil"/>
              <w:bottom w:val="dotted" w:sz="4" w:space="0" w:color="auto"/>
              <w:right w:val="nil"/>
            </w:tcBorders>
            <w:shd w:val="clear" w:color="000000" w:fill="FFFFFF"/>
            <w:noWrap/>
            <w:vAlign w:val="center"/>
          </w:tcPr>
          <w:p w14:paraId="6FBB713C"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339</w:t>
            </w:r>
          </w:p>
        </w:tc>
        <w:tc>
          <w:tcPr>
            <w:tcW w:w="1055" w:type="pct"/>
            <w:tcBorders>
              <w:top w:val="nil"/>
              <w:left w:val="nil"/>
              <w:bottom w:val="dotted" w:sz="4" w:space="0" w:color="auto"/>
              <w:right w:val="nil"/>
            </w:tcBorders>
            <w:shd w:val="clear" w:color="000000" w:fill="FFFFFF"/>
          </w:tcPr>
          <w:p w14:paraId="04F3FE57" w14:textId="3D0A3246" w:rsidR="001C2590" w:rsidRPr="00D06326" w:rsidRDefault="001C2590" w:rsidP="00D3347F">
            <w:pPr>
              <w:snapToGrid w:val="0"/>
              <w:spacing w:before="60" w:after="60" w:line="240" w:lineRule="auto"/>
              <w:jc w:val="center"/>
              <w:rPr>
                <w:color w:val="000000"/>
                <w:szCs w:val="24"/>
              </w:rPr>
            </w:pPr>
            <w:r w:rsidRPr="00F01402">
              <w:t>2,7%</w:t>
            </w:r>
          </w:p>
        </w:tc>
      </w:tr>
      <w:tr w:rsidR="001C2590" w14:paraId="671DA78D"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4E1A0818" w14:textId="1A475207"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B</w:t>
            </w:r>
            <w:r>
              <w:rPr>
                <w:color w:val="000000"/>
                <w:szCs w:val="24"/>
                <w:lang w:val="en-US"/>
              </w:rPr>
              <w:t>ulgarien</w:t>
            </w:r>
          </w:p>
        </w:tc>
        <w:tc>
          <w:tcPr>
            <w:tcW w:w="1623" w:type="pct"/>
            <w:tcBorders>
              <w:top w:val="nil"/>
              <w:left w:val="nil"/>
              <w:bottom w:val="dotted" w:sz="4" w:space="0" w:color="auto"/>
              <w:right w:val="nil"/>
            </w:tcBorders>
            <w:shd w:val="clear" w:color="000000" w:fill="FFFFFF"/>
            <w:noWrap/>
            <w:vAlign w:val="center"/>
          </w:tcPr>
          <w:p w14:paraId="57B5541D"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328</w:t>
            </w:r>
          </w:p>
        </w:tc>
        <w:tc>
          <w:tcPr>
            <w:tcW w:w="1055" w:type="pct"/>
            <w:tcBorders>
              <w:top w:val="nil"/>
              <w:left w:val="nil"/>
              <w:bottom w:val="dotted" w:sz="4" w:space="0" w:color="auto"/>
              <w:right w:val="nil"/>
            </w:tcBorders>
            <w:shd w:val="clear" w:color="000000" w:fill="FFFFFF"/>
          </w:tcPr>
          <w:p w14:paraId="6268BCBE" w14:textId="2D4FAFC1" w:rsidR="001C2590" w:rsidRPr="00D06326" w:rsidRDefault="001C2590" w:rsidP="00D3347F">
            <w:pPr>
              <w:snapToGrid w:val="0"/>
              <w:spacing w:before="60" w:after="60" w:line="240" w:lineRule="auto"/>
              <w:jc w:val="center"/>
              <w:rPr>
                <w:color w:val="000000"/>
                <w:szCs w:val="24"/>
              </w:rPr>
            </w:pPr>
            <w:r w:rsidRPr="00F01402">
              <w:t>2,6%</w:t>
            </w:r>
          </w:p>
        </w:tc>
      </w:tr>
      <w:tr w:rsidR="001C2590" w14:paraId="3D7262E0"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77B1C6F4" w14:textId="58CE3A0B"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P</w:t>
            </w:r>
            <w:r>
              <w:rPr>
                <w:color w:val="000000"/>
                <w:szCs w:val="24"/>
                <w:lang w:val="en-US"/>
              </w:rPr>
              <w:t>ortugal</w:t>
            </w:r>
          </w:p>
        </w:tc>
        <w:tc>
          <w:tcPr>
            <w:tcW w:w="1623" w:type="pct"/>
            <w:tcBorders>
              <w:top w:val="nil"/>
              <w:left w:val="nil"/>
              <w:bottom w:val="dotted" w:sz="4" w:space="0" w:color="auto"/>
              <w:right w:val="nil"/>
            </w:tcBorders>
            <w:shd w:val="clear" w:color="000000" w:fill="FFFFFF"/>
            <w:noWrap/>
            <w:vAlign w:val="center"/>
          </w:tcPr>
          <w:p w14:paraId="7A2A6CB5"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319</w:t>
            </w:r>
          </w:p>
        </w:tc>
        <w:tc>
          <w:tcPr>
            <w:tcW w:w="1055" w:type="pct"/>
            <w:tcBorders>
              <w:top w:val="nil"/>
              <w:left w:val="nil"/>
              <w:bottom w:val="dotted" w:sz="4" w:space="0" w:color="auto"/>
              <w:right w:val="nil"/>
            </w:tcBorders>
            <w:shd w:val="clear" w:color="000000" w:fill="FFFFFF"/>
          </w:tcPr>
          <w:p w14:paraId="48995583" w14:textId="23CCEC6C" w:rsidR="001C2590" w:rsidRPr="00D06326" w:rsidRDefault="001C2590" w:rsidP="00D3347F">
            <w:pPr>
              <w:snapToGrid w:val="0"/>
              <w:spacing w:before="60" w:after="60" w:line="240" w:lineRule="auto"/>
              <w:jc w:val="center"/>
              <w:rPr>
                <w:color w:val="000000"/>
                <w:szCs w:val="24"/>
              </w:rPr>
            </w:pPr>
            <w:r w:rsidRPr="00F01402">
              <w:t>2,5%</w:t>
            </w:r>
          </w:p>
        </w:tc>
      </w:tr>
      <w:tr w:rsidR="001C2590" w14:paraId="1CAA603D"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6847EE82" w14:textId="6C5C1851"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Rumänien</w:t>
            </w:r>
          </w:p>
        </w:tc>
        <w:tc>
          <w:tcPr>
            <w:tcW w:w="1623" w:type="pct"/>
            <w:tcBorders>
              <w:top w:val="nil"/>
              <w:left w:val="nil"/>
              <w:bottom w:val="dotted" w:sz="4" w:space="0" w:color="auto"/>
              <w:right w:val="nil"/>
            </w:tcBorders>
            <w:shd w:val="clear" w:color="000000" w:fill="FFFFFF"/>
            <w:noWrap/>
            <w:vAlign w:val="center"/>
          </w:tcPr>
          <w:p w14:paraId="2A95E7D7"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317</w:t>
            </w:r>
          </w:p>
        </w:tc>
        <w:tc>
          <w:tcPr>
            <w:tcW w:w="1055" w:type="pct"/>
            <w:tcBorders>
              <w:top w:val="nil"/>
              <w:left w:val="nil"/>
              <w:bottom w:val="dotted" w:sz="4" w:space="0" w:color="auto"/>
              <w:right w:val="nil"/>
            </w:tcBorders>
            <w:shd w:val="clear" w:color="000000" w:fill="FFFFFF"/>
          </w:tcPr>
          <w:p w14:paraId="53EBEB30" w14:textId="387BBBFB" w:rsidR="001C2590" w:rsidRPr="00D06326" w:rsidRDefault="001C2590" w:rsidP="00D3347F">
            <w:pPr>
              <w:snapToGrid w:val="0"/>
              <w:spacing w:before="60" w:after="60" w:line="240" w:lineRule="auto"/>
              <w:jc w:val="center"/>
              <w:rPr>
                <w:color w:val="000000"/>
                <w:szCs w:val="24"/>
              </w:rPr>
            </w:pPr>
            <w:r w:rsidRPr="00F01402">
              <w:t>2,5%</w:t>
            </w:r>
          </w:p>
        </w:tc>
      </w:tr>
      <w:tr w:rsidR="001C2590" w14:paraId="3466E838"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4F3AC8CB" w14:textId="466FFC56" w:rsidR="001C2590" w:rsidRPr="00D06326" w:rsidRDefault="001C2590" w:rsidP="00D3347F">
            <w:pPr>
              <w:snapToGrid w:val="0"/>
              <w:spacing w:before="60" w:after="60" w:line="240" w:lineRule="auto"/>
              <w:jc w:val="left"/>
              <w:rPr>
                <w:color w:val="000000"/>
                <w:szCs w:val="24"/>
                <w:lang w:val="en-US"/>
              </w:rPr>
            </w:pPr>
            <w:r>
              <w:rPr>
                <w:color w:val="000000"/>
                <w:szCs w:val="24"/>
                <w:lang w:val="en-US"/>
              </w:rPr>
              <w:t>Tschechien</w:t>
            </w:r>
          </w:p>
        </w:tc>
        <w:tc>
          <w:tcPr>
            <w:tcW w:w="1623" w:type="pct"/>
            <w:tcBorders>
              <w:top w:val="nil"/>
              <w:left w:val="nil"/>
              <w:bottom w:val="dotted" w:sz="4" w:space="0" w:color="auto"/>
              <w:right w:val="nil"/>
            </w:tcBorders>
            <w:shd w:val="clear" w:color="000000" w:fill="FFFFFF"/>
            <w:noWrap/>
            <w:vAlign w:val="center"/>
          </w:tcPr>
          <w:p w14:paraId="1D35FC46"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291</w:t>
            </w:r>
          </w:p>
        </w:tc>
        <w:tc>
          <w:tcPr>
            <w:tcW w:w="1055" w:type="pct"/>
            <w:tcBorders>
              <w:top w:val="nil"/>
              <w:left w:val="nil"/>
              <w:bottom w:val="dotted" w:sz="4" w:space="0" w:color="auto"/>
              <w:right w:val="nil"/>
            </w:tcBorders>
            <w:shd w:val="clear" w:color="000000" w:fill="FFFFFF"/>
          </w:tcPr>
          <w:p w14:paraId="3B1BCBD1" w14:textId="2E4AE7FF" w:rsidR="001C2590" w:rsidRPr="00D06326" w:rsidRDefault="001C2590" w:rsidP="00D3347F">
            <w:pPr>
              <w:snapToGrid w:val="0"/>
              <w:spacing w:before="60" w:after="60" w:line="240" w:lineRule="auto"/>
              <w:jc w:val="center"/>
              <w:rPr>
                <w:color w:val="000000"/>
                <w:szCs w:val="24"/>
              </w:rPr>
            </w:pPr>
            <w:r w:rsidRPr="00F01402">
              <w:t>2,3%</w:t>
            </w:r>
          </w:p>
        </w:tc>
      </w:tr>
      <w:tr w:rsidR="001C2590" w14:paraId="09F51A0B"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6AE77745" w14:textId="1BBA6B33"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L</w:t>
            </w:r>
            <w:r>
              <w:rPr>
                <w:color w:val="000000"/>
                <w:szCs w:val="24"/>
                <w:lang w:val="en-US"/>
              </w:rPr>
              <w:t>itauen</w:t>
            </w:r>
          </w:p>
        </w:tc>
        <w:tc>
          <w:tcPr>
            <w:tcW w:w="1623" w:type="pct"/>
            <w:tcBorders>
              <w:top w:val="nil"/>
              <w:left w:val="nil"/>
              <w:bottom w:val="dotted" w:sz="4" w:space="0" w:color="auto"/>
              <w:right w:val="nil"/>
            </w:tcBorders>
            <w:shd w:val="clear" w:color="000000" w:fill="FFFFFF"/>
            <w:noWrap/>
            <w:vAlign w:val="center"/>
          </w:tcPr>
          <w:p w14:paraId="4CD7847B"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180</w:t>
            </w:r>
          </w:p>
        </w:tc>
        <w:tc>
          <w:tcPr>
            <w:tcW w:w="1055" w:type="pct"/>
            <w:tcBorders>
              <w:top w:val="nil"/>
              <w:left w:val="nil"/>
              <w:bottom w:val="dotted" w:sz="4" w:space="0" w:color="auto"/>
              <w:right w:val="nil"/>
            </w:tcBorders>
            <w:shd w:val="clear" w:color="000000" w:fill="FFFFFF"/>
          </w:tcPr>
          <w:p w14:paraId="03024A9D" w14:textId="0BABF3EF" w:rsidR="001C2590" w:rsidRPr="00D06326" w:rsidRDefault="001C2590" w:rsidP="00D3347F">
            <w:pPr>
              <w:snapToGrid w:val="0"/>
              <w:spacing w:before="60" w:after="60" w:line="240" w:lineRule="auto"/>
              <w:jc w:val="center"/>
              <w:rPr>
                <w:color w:val="000000"/>
                <w:szCs w:val="24"/>
              </w:rPr>
            </w:pPr>
            <w:r w:rsidRPr="00F01402">
              <w:t>1,4%</w:t>
            </w:r>
          </w:p>
        </w:tc>
      </w:tr>
      <w:tr w:rsidR="001C2590" w14:paraId="4FB612B0"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1AF4C389" w14:textId="742ED062"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Kroatien</w:t>
            </w:r>
          </w:p>
        </w:tc>
        <w:tc>
          <w:tcPr>
            <w:tcW w:w="1623" w:type="pct"/>
            <w:tcBorders>
              <w:top w:val="nil"/>
              <w:left w:val="nil"/>
              <w:bottom w:val="dotted" w:sz="4" w:space="0" w:color="auto"/>
              <w:right w:val="nil"/>
            </w:tcBorders>
            <w:shd w:val="clear" w:color="000000" w:fill="FFFFFF"/>
            <w:noWrap/>
            <w:vAlign w:val="center"/>
          </w:tcPr>
          <w:p w14:paraId="3AFE1755"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162</w:t>
            </w:r>
          </w:p>
        </w:tc>
        <w:tc>
          <w:tcPr>
            <w:tcW w:w="1055" w:type="pct"/>
            <w:tcBorders>
              <w:top w:val="nil"/>
              <w:left w:val="nil"/>
              <w:bottom w:val="dotted" w:sz="4" w:space="0" w:color="auto"/>
              <w:right w:val="nil"/>
            </w:tcBorders>
            <w:shd w:val="clear" w:color="000000" w:fill="FFFFFF"/>
          </w:tcPr>
          <w:p w14:paraId="40D1E7CA" w14:textId="16B971AB" w:rsidR="001C2590" w:rsidRPr="00D06326" w:rsidRDefault="001C2590" w:rsidP="00D3347F">
            <w:pPr>
              <w:snapToGrid w:val="0"/>
              <w:spacing w:before="60" w:after="60" w:line="240" w:lineRule="auto"/>
              <w:jc w:val="center"/>
              <w:rPr>
                <w:color w:val="000000"/>
                <w:szCs w:val="24"/>
              </w:rPr>
            </w:pPr>
            <w:r w:rsidRPr="00F01402">
              <w:t>1,3%</w:t>
            </w:r>
          </w:p>
        </w:tc>
      </w:tr>
      <w:tr w:rsidR="001C2590" w14:paraId="1AAEA6EF"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16F7CFC5" w14:textId="71058834"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Slowenien</w:t>
            </w:r>
          </w:p>
        </w:tc>
        <w:tc>
          <w:tcPr>
            <w:tcW w:w="1623" w:type="pct"/>
            <w:tcBorders>
              <w:top w:val="nil"/>
              <w:left w:val="nil"/>
              <w:bottom w:val="dotted" w:sz="4" w:space="0" w:color="auto"/>
              <w:right w:val="nil"/>
            </w:tcBorders>
            <w:shd w:val="clear" w:color="000000" w:fill="FFFFFF"/>
            <w:noWrap/>
            <w:vAlign w:val="center"/>
          </w:tcPr>
          <w:p w14:paraId="3BEA6646"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120</w:t>
            </w:r>
          </w:p>
        </w:tc>
        <w:tc>
          <w:tcPr>
            <w:tcW w:w="1055" w:type="pct"/>
            <w:tcBorders>
              <w:top w:val="nil"/>
              <w:left w:val="nil"/>
              <w:bottom w:val="dotted" w:sz="4" w:space="0" w:color="auto"/>
              <w:right w:val="nil"/>
            </w:tcBorders>
            <w:shd w:val="clear" w:color="000000" w:fill="FFFFFF"/>
          </w:tcPr>
          <w:p w14:paraId="2A625DA1" w14:textId="6952BEB7" w:rsidR="001C2590" w:rsidRPr="00D06326" w:rsidRDefault="001C2590" w:rsidP="00D3347F">
            <w:pPr>
              <w:snapToGrid w:val="0"/>
              <w:spacing w:before="60" w:after="60" w:line="240" w:lineRule="auto"/>
              <w:jc w:val="center"/>
              <w:rPr>
                <w:color w:val="000000"/>
                <w:szCs w:val="24"/>
              </w:rPr>
            </w:pPr>
            <w:r w:rsidRPr="00F01402">
              <w:t>1</w:t>
            </w:r>
            <w:r>
              <w:t>,0</w:t>
            </w:r>
            <w:r w:rsidRPr="00F01402">
              <w:t>%</w:t>
            </w:r>
          </w:p>
        </w:tc>
      </w:tr>
      <w:tr w:rsidR="001C2590" w14:paraId="5DF9B980"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3946D034" w14:textId="04F36D08" w:rsidR="001C2590" w:rsidRPr="00D06326" w:rsidRDefault="001C2590" w:rsidP="00D3347F">
            <w:pPr>
              <w:snapToGrid w:val="0"/>
              <w:spacing w:before="60" w:after="60" w:line="240" w:lineRule="auto"/>
              <w:jc w:val="left"/>
              <w:rPr>
                <w:color w:val="000000"/>
                <w:szCs w:val="24"/>
                <w:lang w:val="en-US"/>
              </w:rPr>
            </w:pPr>
            <w:r>
              <w:rPr>
                <w:color w:val="000000"/>
                <w:szCs w:val="24"/>
                <w:lang w:val="en-US"/>
              </w:rPr>
              <w:t>Lettland</w:t>
            </w:r>
          </w:p>
        </w:tc>
        <w:tc>
          <w:tcPr>
            <w:tcW w:w="1623" w:type="pct"/>
            <w:tcBorders>
              <w:top w:val="nil"/>
              <w:left w:val="nil"/>
              <w:bottom w:val="dotted" w:sz="4" w:space="0" w:color="auto"/>
              <w:right w:val="nil"/>
            </w:tcBorders>
            <w:shd w:val="clear" w:color="000000" w:fill="FFFFFF"/>
            <w:noWrap/>
            <w:vAlign w:val="center"/>
          </w:tcPr>
          <w:p w14:paraId="6CAE2943"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119</w:t>
            </w:r>
          </w:p>
        </w:tc>
        <w:tc>
          <w:tcPr>
            <w:tcW w:w="1055" w:type="pct"/>
            <w:tcBorders>
              <w:top w:val="nil"/>
              <w:left w:val="nil"/>
              <w:bottom w:val="dotted" w:sz="4" w:space="0" w:color="auto"/>
              <w:right w:val="nil"/>
            </w:tcBorders>
            <w:shd w:val="clear" w:color="000000" w:fill="FFFFFF"/>
          </w:tcPr>
          <w:p w14:paraId="7071EF64" w14:textId="64E531F1" w:rsidR="001C2590" w:rsidRPr="00D06326" w:rsidRDefault="001C2590" w:rsidP="00D3347F">
            <w:pPr>
              <w:snapToGrid w:val="0"/>
              <w:spacing w:before="60" w:after="60" w:line="240" w:lineRule="auto"/>
              <w:jc w:val="center"/>
              <w:rPr>
                <w:color w:val="000000"/>
                <w:szCs w:val="24"/>
              </w:rPr>
            </w:pPr>
            <w:r w:rsidRPr="00F01402">
              <w:t>0,9%</w:t>
            </w:r>
          </w:p>
        </w:tc>
      </w:tr>
      <w:tr w:rsidR="001C2590" w14:paraId="375B6E73"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504E4C2D" w14:textId="5D6FC885" w:rsidR="001C2590" w:rsidRPr="00D06326" w:rsidRDefault="001C2590" w:rsidP="00D3347F">
            <w:pPr>
              <w:snapToGrid w:val="0"/>
              <w:spacing w:before="60" w:after="60" w:line="240" w:lineRule="auto"/>
              <w:jc w:val="left"/>
              <w:rPr>
                <w:color w:val="000000"/>
                <w:szCs w:val="24"/>
                <w:lang w:val="en-US"/>
              </w:rPr>
            </w:pPr>
            <w:r>
              <w:rPr>
                <w:color w:val="000000"/>
                <w:szCs w:val="24"/>
                <w:lang w:val="en-US"/>
              </w:rPr>
              <w:t>Zypern</w:t>
            </w:r>
          </w:p>
        </w:tc>
        <w:tc>
          <w:tcPr>
            <w:tcW w:w="1623" w:type="pct"/>
            <w:tcBorders>
              <w:top w:val="nil"/>
              <w:left w:val="nil"/>
              <w:bottom w:val="dotted" w:sz="4" w:space="0" w:color="auto"/>
              <w:right w:val="nil"/>
            </w:tcBorders>
            <w:shd w:val="clear" w:color="000000" w:fill="FFFFFF"/>
            <w:noWrap/>
            <w:vAlign w:val="center"/>
          </w:tcPr>
          <w:p w14:paraId="66CD2AAB"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78</w:t>
            </w:r>
          </w:p>
        </w:tc>
        <w:tc>
          <w:tcPr>
            <w:tcW w:w="1055" w:type="pct"/>
            <w:tcBorders>
              <w:top w:val="nil"/>
              <w:left w:val="nil"/>
              <w:bottom w:val="dotted" w:sz="4" w:space="0" w:color="auto"/>
              <w:right w:val="nil"/>
            </w:tcBorders>
            <w:shd w:val="clear" w:color="000000" w:fill="FFFFFF"/>
          </w:tcPr>
          <w:p w14:paraId="67EAD788" w14:textId="3F846169" w:rsidR="001C2590" w:rsidRPr="00D06326" w:rsidRDefault="001C2590" w:rsidP="00D3347F">
            <w:pPr>
              <w:snapToGrid w:val="0"/>
              <w:spacing w:before="60" w:after="60" w:line="240" w:lineRule="auto"/>
              <w:jc w:val="center"/>
              <w:rPr>
                <w:color w:val="000000"/>
                <w:szCs w:val="24"/>
              </w:rPr>
            </w:pPr>
            <w:r w:rsidRPr="00F01402">
              <w:t>0,6%</w:t>
            </w:r>
          </w:p>
        </w:tc>
      </w:tr>
      <w:tr w:rsidR="001C2590" w14:paraId="3DE8CD64"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49A8F6C9" w14:textId="6B05EF1F"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L</w:t>
            </w:r>
            <w:r>
              <w:rPr>
                <w:color w:val="000000"/>
                <w:szCs w:val="24"/>
                <w:lang w:val="en-US"/>
              </w:rPr>
              <w:t>uxemburg</w:t>
            </w:r>
          </w:p>
        </w:tc>
        <w:tc>
          <w:tcPr>
            <w:tcW w:w="1623" w:type="pct"/>
            <w:tcBorders>
              <w:top w:val="nil"/>
              <w:left w:val="nil"/>
              <w:bottom w:val="dotted" w:sz="4" w:space="0" w:color="auto"/>
              <w:right w:val="nil"/>
            </w:tcBorders>
            <w:shd w:val="clear" w:color="000000" w:fill="FFFFFF"/>
            <w:noWrap/>
            <w:vAlign w:val="center"/>
          </w:tcPr>
          <w:p w14:paraId="72106205"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75</w:t>
            </w:r>
          </w:p>
        </w:tc>
        <w:tc>
          <w:tcPr>
            <w:tcW w:w="1055" w:type="pct"/>
            <w:tcBorders>
              <w:top w:val="nil"/>
              <w:left w:val="nil"/>
              <w:bottom w:val="dotted" w:sz="4" w:space="0" w:color="auto"/>
              <w:right w:val="nil"/>
            </w:tcBorders>
            <w:shd w:val="clear" w:color="000000" w:fill="FFFFFF"/>
          </w:tcPr>
          <w:p w14:paraId="798D5452" w14:textId="2BC724A7" w:rsidR="001C2590" w:rsidRPr="00D06326" w:rsidRDefault="001C2590" w:rsidP="00D3347F">
            <w:pPr>
              <w:snapToGrid w:val="0"/>
              <w:spacing w:before="60" w:after="60" w:line="240" w:lineRule="auto"/>
              <w:jc w:val="center"/>
              <w:rPr>
                <w:color w:val="000000"/>
                <w:szCs w:val="24"/>
              </w:rPr>
            </w:pPr>
            <w:r w:rsidRPr="00F01402">
              <w:t>0,6%</w:t>
            </w:r>
          </w:p>
        </w:tc>
      </w:tr>
      <w:tr w:rsidR="001C2590" w14:paraId="334B4251" w14:textId="77777777" w:rsidTr="00D06326">
        <w:trPr>
          <w:trHeight w:val="20"/>
          <w:jc w:val="center"/>
        </w:trPr>
        <w:tc>
          <w:tcPr>
            <w:tcW w:w="2322" w:type="pct"/>
            <w:tcBorders>
              <w:top w:val="nil"/>
              <w:left w:val="nil"/>
              <w:bottom w:val="dotted" w:sz="4" w:space="0" w:color="auto"/>
              <w:right w:val="nil"/>
            </w:tcBorders>
            <w:shd w:val="clear" w:color="000000" w:fill="FFFFFF"/>
            <w:vAlign w:val="center"/>
          </w:tcPr>
          <w:p w14:paraId="271C5C0F" w14:textId="2F98E4C6"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M</w:t>
            </w:r>
            <w:r>
              <w:rPr>
                <w:color w:val="000000"/>
                <w:szCs w:val="24"/>
                <w:lang w:val="en-US"/>
              </w:rPr>
              <w:t>alta</w:t>
            </w:r>
          </w:p>
        </w:tc>
        <w:tc>
          <w:tcPr>
            <w:tcW w:w="1623" w:type="pct"/>
            <w:tcBorders>
              <w:top w:val="nil"/>
              <w:left w:val="nil"/>
              <w:bottom w:val="dotted" w:sz="4" w:space="0" w:color="auto"/>
              <w:right w:val="nil"/>
            </w:tcBorders>
            <w:shd w:val="clear" w:color="000000" w:fill="FFFFFF"/>
            <w:noWrap/>
            <w:vAlign w:val="center"/>
          </w:tcPr>
          <w:p w14:paraId="0604600E"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74</w:t>
            </w:r>
          </w:p>
        </w:tc>
        <w:tc>
          <w:tcPr>
            <w:tcW w:w="1055" w:type="pct"/>
            <w:tcBorders>
              <w:top w:val="nil"/>
              <w:left w:val="nil"/>
              <w:bottom w:val="dotted" w:sz="4" w:space="0" w:color="auto"/>
              <w:right w:val="nil"/>
            </w:tcBorders>
            <w:shd w:val="clear" w:color="000000" w:fill="FFFFFF"/>
          </w:tcPr>
          <w:p w14:paraId="70E599D4" w14:textId="55321201" w:rsidR="001C2590" w:rsidRPr="00D06326" w:rsidRDefault="001C2590" w:rsidP="00D3347F">
            <w:pPr>
              <w:snapToGrid w:val="0"/>
              <w:spacing w:before="60" w:after="60" w:line="240" w:lineRule="auto"/>
              <w:jc w:val="center"/>
              <w:rPr>
                <w:color w:val="000000"/>
                <w:szCs w:val="24"/>
              </w:rPr>
            </w:pPr>
            <w:r w:rsidRPr="00F01402">
              <w:t>0,6%</w:t>
            </w:r>
          </w:p>
        </w:tc>
      </w:tr>
      <w:tr w:rsidR="001C2590" w14:paraId="32B91FB5" w14:textId="77777777" w:rsidTr="00A64BD8">
        <w:trPr>
          <w:trHeight w:val="20"/>
          <w:jc w:val="center"/>
        </w:trPr>
        <w:tc>
          <w:tcPr>
            <w:tcW w:w="2322" w:type="pct"/>
            <w:tcBorders>
              <w:top w:val="nil"/>
              <w:left w:val="nil"/>
              <w:bottom w:val="single" w:sz="6" w:space="0" w:color="auto"/>
              <w:right w:val="nil"/>
            </w:tcBorders>
            <w:shd w:val="clear" w:color="000000" w:fill="FFFFFF"/>
            <w:vAlign w:val="center"/>
          </w:tcPr>
          <w:p w14:paraId="693BF145" w14:textId="2D0F5EDB" w:rsidR="001C2590" w:rsidRPr="00D06326" w:rsidRDefault="001C2590" w:rsidP="00D3347F">
            <w:pPr>
              <w:snapToGrid w:val="0"/>
              <w:spacing w:before="60" w:after="60" w:line="240" w:lineRule="auto"/>
              <w:jc w:val="left"/>
              <w:rPr>
                <w:color w:val="000000"/>
                <w:szCs w:val="24"/>
                <w:lang w:val="en-US"/>
              </w:rPr>
            </w:pPr>
            <w:r w:rsidRPr="00D06326">
              <w:rPr>
                <w:color w:val="000000"/>
                <w:szCs w:val="24"/>
                <w:lang w:val="en-US"/>
              </w:rPr>
              <w:t>E</w:t>
            </w:r>
            <w:r>
              <w:rPr>
                <w:color w:val="000000"/>
                <w:szCs w:val="24"/>
                <w:lang w:val="en-US"/>
              </w:rPr>
              <w:t>stland</w:t>
            </w:r>
          </w:p>
        </w:tc>
        <w:tc>
          <w:tcPr>
            <w:tcW w:w="1623" w:type="pct"/>
            <w:tcBorders>
              <w:top w:val="nil"/>
              <w:left w:val="nil"/>
              <w:bottom w:val="single" w:sz="6" w:space="0" w:color="auto"/>
              <w:right w:val="nil"/>
            </w:tcBorders>
            <w:shd w:val="clear" w:color="000000" w:fill="FFFFFF"/>
            <w:noWrap/>
            <w:vAlign w:val="center"/>
          </w:tcPr>
          <w:p w14:paraId="3BA3C7B9" w14:textId="77777777" w:rsidR="001C2590" w:rsidRPr="00D06326" w:rsidRDefault="001C2590" w:rsidP="00D3347F">
            <w:pPr>
              <w:snapToGrid w:val="0"/>
              <w:spacing w:before="60" w:after="60" w:line="240" w:lineRule="auto"/>
              <w:jc w:val="center"/>
              <w:rPr>
                <w:color w:val="000000"/>
                <w:szCs w:val="24"/>
              </w:rPr>
            </w:pPr>
            <w:r w:rsidRPr="00D06326">
              <w:rPr>
                <w:color w:val="000000"/>
                <w:szCs w:val="24"/>
              </w:rPr>
              <w:t>54</w:t>
            </w:r>
          </w:p>
        </w:tc>
        <w:tc>
          <w:tcPr>
            <w:tcW w:w="1055" w:type="pct"/>
            <w:tcBorders>
              <w:top w:val="nil"/>
              <w:left w:val="nil"/>
              <w:bottom w:val="single" w:sz="6" w:space="0" w:color="auto"/>
              <w:right w:val="nil"/>
            </w:tcBorders>
            <w:shd w:val="clear" w:color="000000" w:fill="FFFFFF"/>
          </w:tcPr>
          <w:p w14:paraId="1531CE04" w14:textId="29365E3C" w:rsidR="001C2590" w:rsidRPr="00D06326" w:rsidRDefault="001C2590" w:rsidP="00D3347F">
            <w:pPr>
              <w:snapToGrid w:val="0"/>
              <w:spacing w:before="60" w:after="60" w:line="240" w:lineRule="auto"/>
              <w:jc w:val="center"/>
              <w:rPr>
                <w:color w:val="000000"/>
                <w:szCs w:val="24"/>
              </w:rPr>
            </w:pPr>
            <w:r w:rsidRPr="00F01402">
              <w:t>0,4%</w:t>
            </w:r>
          </w:p>
        </w:tc>
      </w:tr>
      <w:tr w:rsidR="00B66318" w:rsidRPr="00CF3B2D" w14:paraId="5EEA975F" w14:textId="4CC78B6C" w:rsidTr="00A64BD8">
        <w:trPr>
          <w:trHeight w:val="20"/>
          <w:jc w:val="center"/>
        </w:trPr>
        <w:tc>
          <w:tcPr>
            <w:tcW w:w="2322" w:type="pct"/>
            <w:tcBorders>
              <w:top w:val="single" w:sz="6" w:space="0" w:color="auto"/>
              <w:left w:val="nil"/>
              <w:bottom w:val="single" w:sz="6" w:space="0" w:color="auto"/>
              <w:right w:val="nil"/>
            </w:tcBorders>
            <w:shd w:val="clear" w:color="000000" w:fill="FFFFFF"/>
            <w:noWrap/>
            <w:vAlign w:val="center"/>
            <w:hideMark/>
          </w:tcPr>
          <w:p w14:paraId="2C998636" w14:textId="644F0C1D" w:rsidR="00B66318" w:rsidRPr="00CF3B2D" w:rsidRDefault="00D06326" w:rsidP="00D3347F">
            <w:pPr>
              <w:snapToGrid w:val="0"/>
              <w:spacing w:before="60" w:after="60" w:line="240" w:lineRule="auto"/>
              <w:jc w:val="left"/>
              <w:rPr>
                <w:b/>
                <w:bCs/>
                <w:color w:val="000000"/>
                <w:szCs w:val="24"/>
              </w:rPr>
            </w:pPr>
            <w:r>
              <w:rPr>
                <w:b/>
                <w:bCs/>
                <w:color w:val="000000"/>
                <w:szCs w:val="24"/>
              </w:rPr>
              <w:t>Summe</w:t>
            </w:r>
          </w:p>
        </w:tc>
        <w:tc>
          <w:tcPr>
            <w:tcW w:w="1623" w:type="pct"/>
            <w:tcBorders>
              <w:top w:val="single" w:sz="6" w:space="0" w:color="auto"/>
              <w:left w:val="nil"/>
              <w:bottom w:val="single" w:sz="6" w:space="0" w:color="auto"/>
              <w:right w:val="nil"/>
            </w:tcBorders>
            <w:shd w:val="clear" w:color="000000" w:fill="FFFFFF"/>
            <w:noWrap/>
            <w:vAlign w:val="center"/>
            <w:hideMark/>
          </w:tcPr>
          <w:p w14:paraId="18BE7DBE" w14:textId="77777777" w:rsidR="00B66318" w:rsidRPr="00CF3B2D" w:rsidRDefault="00B66318" w:rsidP="00D3347F">
            <w:pPr>
              <w:snapToGrid w:val="0"/>
              <w:spacing w:before="60" w:after="60" w:line="240" w:lineRule="auto"/>
              <w:jc w:val="center"/>
              <w:rPr>
                <w:b/>
                <w:bCs/>
                <w:color w:val="000000"/>
                <w:szCs w:val="24"/>
              </w:rPr>
            </w:pPr>
            <w:r>
              <w:rPr>
                <w:b/>
                <w:bCs/>
                <w:color w:val="000000"/>
                <w:szCs w:val="24"/>
              </w:rPr>
              <w:t>12.578</w:t>
            </w:r>
          </w:p>
        </w:tc>
        <w:tc>
          <w:tcPr>
            <w:tcW w:w="1055" w:type="pct"/>
            <w:tcBorders>
              <w:top w:val="single" w:sz="6" w:space="0" w:color="auto"/>
              <w:left w:val="nil"/>
              <w:bottom w:val="single" w:sz="6" w:space="0" w:color="auto"/>
              <w:right w:val="nil"/>
            </w:tcBorders>
            <w:shd w:val="clear" w:color="000000" w:fill="FFFFFF"/>
          </w:tcPr>
          <w:p w14:paraId="1E3C933D" w14:textId="298C7432" w:rsidR="00B66318" w:rsidRDefault="00D06326" w:rsidP="00D3347F">
            <w:pPr>
              <w:snapToGrid w:val="0"/>
              <w:spacing w:before="60" w:after="60" w:line="240" w:lineRule="auto"/>
              <w:jc w:val="center"/>
              <w:rPr>
                <w:b/>
                <w:bCs/>
                <w:color w:val="000000"/>
                <w:szCs w:val="24"/>
              </w:rPr>
            </w:pPr>
            <w:r>
              <w:rPr>
                <w:b/>
                <w:bCs/>
                <w:color w:val="000000"/>
                <w:szCs w:val="24"/>
              </w:rPr>
              <w:t>100%</w:t>
            </w:r>
          </w:p>
        </w:tc>
      </w:tr>
    </w:tbl>
    <w:p w14:paraId="37FB44A2" w14:textId="77777777" w:rsidR="00B22F24" w:rsidRDefault="00B22F24" w:rsidP="00536CD9">
      <w:pPr>
        <w:spacing w:line="276" w:lineRule="auto"/>
        <w:jc w:val="left"/>
      </w:pPr>
    </w:p>
    <w:p w14:paraId="27D86A67" w14:textId="77777777" w:rsidR="00B22F24" w:rsidRDefault="00B22F24">
      <w:pPr>
        <w:spacing w:line="276" w:lineRule="auto"/>
        <w:jc w:val="left"/>
      </w:pPr>
      <w:r>
        <w:br w:type="page"/>
      </w:r>
    </w:p>
    <w:p w14:paraId="247FD944" w14:textId="5FCAF111" w:rsidR="00E72AF2" w:rsidRDefault="00E72AF2" w:rsidP="00E72AF2">
      <w:pPr>
        <w:pStyle w:val="Beschriftung"/>
        <w:keepNext/>
        <w:spacing w:after="0"/>
        <w:ind w:left="1418" w:hanging="1418"/>
        <w:rPr>
          <w:i w:val="0"/>
          <w:iCs w:val="0"/>
          <w:color w:val="auto"/>
          <w:sz w:val="24"/>
          <w:szCs w:val="22"/>
        </w:rPr>
      </w:pPr>
      <w:bookmarkStart w:id="87" w:name="_Toc88423396"/>
      <w:r w:rsidRPr="00E72AF2">
        <w:rPr>
          <w:b/>
          <w:bCs/>
          <w:i w:val="0"/>
          <w:iCs w:val="0"/>
          <w:color w:val="auto"/>
          <w:sz w:val="24"/>
          <w:szCs w:val="22"/>
        </w:rPr>
        <w:lastRenderedPageBreak/>
        <w:t xml:space="preserve">Tabelle </w:t>
      </w:r>
      <w:r w:rsidRPr="00E72AF2">
        <w:rPr>
          <w:b/>
          <w:bCs/>
          <w:i w:val="0"/>
          <w:iCs w:val="0"/>
          <w:color w:val="auto"/>
          <w:sz w:val="24"/>
          <w:szCs w:val="22"/>
        </w:rPr>
        <w:fldChar w:fldCharType="begin"/>
      </w:r>
      <w:r w:rsidRPr="00E72AF2">
        <w:rPr>
          <w:b/>
          <w:bCs/>
          <w:i w:val="0"/>
          <w:iCs w:val="0"/>
          <w:color w:val="auto"/>
          <w:sz w:val="24"/>
          <w:szCs w:val="22"/>
        </w:rPr>
        <w:instrText xml:space="preserve"> SEQ Tabelle \* ARABIC </w:instrText>
      </w:r>
      <w:r w:rsidRPr="00E72AF2">
        <w:rPr>
          <w:b/>
          <w:bCs/>
          <w:i w:val="0"/>
          <w:iCs w:val="0"/>
          <w:color w:val="auto"/>
          <w:sz w:val="24"/>
          <w:szCs w:val="22"/>
        </w:rPr>
        <w:fldChar w:fldCharType="separate"/>
      </w:r>
      <w:r w:rsidR="00285390">
        <w:rPr>
          <w:b/>
          <w:bCs/>
          <w:i w:val="0"/>
          <w:iCs w:val="0"/>
          <w:noProof/>
          <w:color w:val="auto"/>
          <w:sz w:val="24"/>
          <w:szCs w:val="22"/>
        </w:rPr>
        <w:t>9</w:t>
      </w:r>
      <w:r w:rsidRPr="00E72AF2">
        <w:rPr>
          <w:b/>
          <w:bCs/>
          <w:i w:val="0"/>
          <w:iCs w:val="0"/>
          <w:color w:val="auto"/>
          <w:sz w:val="24"/>
          <w:szCs w:val="22"/>
        </w:rPr>
        <w:fldChar w:fldCharType="end"/>
      </w:r>
      <w:r w:rsidRPr="00E72AF2">
        <w:rPr>
          <w:b/>
          <w:bCs/>
          <w:i w:val="0"/>
          <w:iCs w:val="0"/>
          <w:color w:val="auto"/>
          <w:sz w:val="24"/>
          <w:szCs w:val="22"/>
        </w:rPr>
        <w:t>:</w:t>
      </w:r>
      <w:r w:rsidRPr="00E72AF2">
        <w:rPr>
          <w:i w:val="0"/>
          <w:iCs w:val="0"/>
          <w:color w:val="auto"/>
          <w:sz w:val="24"/>
          <w:szCs w:val="22"/>
        </w:rPr>
        <w:t xml:space="preserve"> </w:t>
      </w:r>
      <w:r>
        <w:rPr>
          <w:i w:val="0"/>
          <w:iCs w:val="0"/>
          <w:color w:val="auto"/>
          <w:sz w:val="24"/>
          <w:szCs w:val="22"/>
        </w:rPr>
        <w:tab/>
      </w:r>
      <w:r w:rsidRPr="00B477BA">
        <w:rPr>
          <w:i w:val="0"/>
          <w:iCs w:val="0"/>
          <w:color w:val="auto"/>
          <w:sz w:val="24"/>
          <w:szCs w:val="22"/>
        </w:rPr>
        <w:t>Korrelationskoeffizienten der Residuen der abhängigen Variablen für die multivariate Probit Regression</w:t>
      </w:r>
      <w:bookmarkEnd w:id="87"/>
    </w:p>
    <w:p w14:paraId="1A8D724A" w14:textId="13CD6D81" w:rsidR="00E72AF2" w:rsidRDefault="00E72AF2" w:rsidP="00E72AF2">
      <w:pPr>
        <w:spacing w:after="0"/>
      </w:pPr>
      <w:r w:rsidRPr="001A0BAE">
        <w:tab/>
      </w:r>
      <w:r w:rsidRPr="001A0BAE">
        <w:tab/>
        <w:t>eigene Darstellung</w:t>
      </w:r>
    </w:p>
    <w:tbl>
      <w:tblPr>
        <w:tblW w:w="5000" w:type="pct"/>
        <w:jc w:val="center"/>
        <w:tblLayout w:type="fixed"/>
        <w:tblLook w:val="04A0" w:firstRow="1" w:lastRow="0" w:firstColumn="1" w:lastColumn="0" w:noHBand="0" w:noVBand="1"/>
      </w:tblPr>
      <w:tblGrid>
        <w:gridCol w:w="960"/>
        <w:gridCol w:w="1552"/>
        <w:gridCol w:w="1552"/>
        <w:gridCol w:w="1552"/>
        <w:gridCol w:w="1552"/>
        <w:gridCol w:w="1552"/>
      </w:tblGrid>
      <w:tr w:rsidR="00DA6F12" w:rsidRPr="00CF3B2D" w14:paraId="410A6DDF" w14:textId="77777777" w:rsidTr="00E1702B">
        <w:trPr>
          <w:trHeight w:val="20"/>
          <w:jc w:val="center"/>
        </w:trPr>
        <w:tc>
          <w:tcPr>
            <w:tcW w:w="550" w:type="pct"/>
            <w:tcBorders>
              <w:top w:val="single" w:sz="8" w:space="0" w:color="auto"/>
              <w:left w:val="nil"/>
              <w:bottom w:val="single" w:sz="6" w:space="0" w:color="auto"/>
              <w:right w:val="nil"/>
            </w:tcBorders>
            <w:shd w:val="clear" w:color="000000" w:fill="FFFFFF"/>
            <w:noWrap/>
            <w:vAlign w:val="bottom"/>
            <w:hideMark/>
          </w:tcPr>
          <w:p w14:paraId="750685DC" w14:textId="2E01AB6F" w:rsidR="00DA6F12" w:rsidRPr="00DA6F12" w:rsidRDefault="00DA6F12" w:rsidP="00E1702B">
            <w:pPr>
              <w:snapToGrid w:val="0"/>
              <w:spacing w:before="120" w:after="120" w:line="240" w:lineRule="auto"/>
              <w:jc w:val="left"/>
              <w:rPr>
                <w:rFonts w:cs="Times New Roman"/>
                <w:b/>
                <w:bCs/>
                <w:i/>
                <w:color w:val="000000"/>
                <w:szCs w:val="24"/>
              </w:rPr>
            </w:pPr>
          </w:p>
        </w:tc>
        <w:tc>
          <w:tcPr>
            <w:tcW w:w="890" w:type="pct"/>
            <w:tcBorders>
              <w:top w:val="single" w:sz="8" w:space="0" w:color="auto"/>
              <w:left w:val="nil"/>
              <w:bottom w:val="single" w:sz="6" w:space="0" w:color="auto"/>
              <w:right w:val="nil"/>
            </w:tcBorders>
            <w:shd w:val="clear" w:color="000000" w:fill="FFFFFF"/>
            <w:noWrap/>
            <w:vAlign w:val="bottom"/>
            <w:hideMark/>
          </w:tcPr>
          <w:p w14:paraId="3990F1A2" w14:textId="0D717023" w:rsidR="00DA6F12" w:rsidRPr="00DA6F12" w:rsidRDefault="004F311F" w:rsidP="00E1702B">
            <w:pPr>
              <w:snapToGrid w:val="0"/>
              <w:spacing w:before="120" w:after="120" w:line="240" w:lineRule="auto"/>
              <w:jc w:val="left"/>
              <w:rPr>
                <w:rFonts w:cs="Times New Roman"/>
                <w:b/>
                <w:bCs/>
                <w:i/>
                <w:color w:val="000000"/>
                <w:szCs w:val="24"/>
              </w:rPr>
            </w:pPr>
            <m:oMathPara>
              <m:oMath>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rPr>
                      <m:t>H1</m:t>
                    </m:r>
                  </m:sub>
                </m:sSub>
              </m:oMath>
            </m:oMathPara>
          </w:p>
        </w:tc>
        <w:tc>
          <w:tcPr>
            <w:tcW w:w="890" w:type="pct"/>
            <w:tcBorders>
              <w:top w:val="single" w:sz="8" w:space="0" w:color="auto"/>
              <w:left w:val="nil"/>
              <w:bottom w:val="single" w:sz="6" w:space="0" w:color="auto"/>
              <w:right w:val="nil"/>
            </w:tcBorders>
            <w:shd w:val="clear" w:color="000000" w:fill="FFFFFF"/>
            <w:vAlign w:val="bottom"/>
          </w:tcPr>
          <w:p w14:paraId="7D3B1B30" w14:textId="7124BD4F" w:rsidR="00DA6F12" w:rsidRPr="00DA6F12" w:rsidRDefault="004F311F" w:rsidP="00E1702B">
            <w:pPr>
              <w:snapToGrid w:val="0"/>
              <w:spacing w:before="120" w:after="120" w:line="240" w:lineRule="auto"/>
              <w:jc w:val="left"/>
              <w:rPr>
                <w:rFonts w:cs="Times New Roman"/>
                <w:b/>
                <w:bCs/>
                <w:i/>
                <w:color w:val="000000"/>
                <w:szCs w:val="24"/>
              </w:rPr>
            </w:pPr>
            <m:oMathPara>
              <m:oMath>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rPr>
                      <m:t>H2</m:t>
                    </m:r>
                  </m:sub>
                </m:sSub>
              </m:oMath>
            </m:oMathPara>
          </w:p>
        </w:tc>
        <w:tc>
          <w:tcPr>
            <w:tcW w:w="890" w:type="pct"/>
            <w:tcBorders>
              <w:top w:val="single" w:sz="8" w:space="0" w:color="auto"/>
              <w:left w:val="nil"/>
              <w:bottom w:val="single" w:sz="6" w:space="0" w:color="auto"/>
              <w:right w:val="nil"/>
            </w:tcBorders>
            <w:shd w:val="clear" w:color="000000" w:fill="FFFFFF"/>
            <w:vAlign w:val="bottom"/>
          </w:tcPr>
          <w:p w14:paraId="09132831" w14:textId="4623C7D3" w:rsidR="00DA6F12" w:rsidRPr="00DA6F12" w:rsidRDefault="004F311F" w:rsidP="00E1702B">
            <w:pPr>
              <w:snapToGrid w:val="0"/>
              <w:spacing w:before="120" w:after="120" w:line="240" w:lineRule="auto"/>
              <w:jc w:val="left"/>
              <w:rPr>
                <w:rFonts w:cs="Times New Roman"/>
                <w:b/>
                <w:bCs/>
                <w:i/>
                <w:color w:val="000000"/>
                <w:szCs w:val="24"/>
              </w:rPr>
            </w:pPr>
            <m:oMathPara>
              <m:oMath>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rPr>
                      <m:t>H3</m:t>
                    </m:r>
                  </m:sub>
                </m:sSub>
              </m:oMath>
            </m:oMathPara>
          </w:p>
        </w:tc>
        <w:tc>
          <w:tcPr>
            <w:tcW w:w="890" w:type="pct"/>
            <w:tcBorders>
              <w:top w:val="single" w:sz="8" w:space="0" w:color="auto"/>
              <w:left w:val="nil"/>
              <w:bottom w:val="single" w:sz="6" w:space="0" w:color="auto"/>
              <w:right w:val="nil"/>
            </w:tcBorders>
            <w:shd w:val="clear" w:color="000000" w:fill="FFFFFF"/>
            <w:vAlign w:val="bottom"/>
          </w:tcPr>
          <w:p w14:paraId="0900EC0B" w14:textId="5C49500E" w:rsidR="00DA6F12" w:rsidRPr="00DA6F12" w:rsidRDefault="004F311F" w:rsidP="00E1702B">
            <w:pPr>
              <w:snapToGrid w:val="0"/>
              <w:spacing w:before="120" w:after="120" w:line="240" w:lineRule="auto"/>
              <w:jc w:val="left"/>
              <w:rPr>
                <w:rFonts w:cs="Times New Roman"/>
                <w:b/>
                <w:bCs/>
                <w:i/>
                <w:color w:val="000000"/>
                <w:szCs w:val="24"/>
              </w:rPr>
            </w:pPr>
            <m:oMathPara>
              <m:oMath>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rPr>
                      <m:t>H4</m:t>
                    </m:r>
                  </m:sub>
                </m:sSub>
              </m:oMath>
            </m:oMathPara>
          </w:p>
        </w:tc>
        <w:tc>
          <w:tcPr>
            <w:tcW w:w="890" w:type="pct"/>
            <w:tcBorders>
              <w:top w:val="single" w:sz="8" w:space="0" w:color="auto"/>
              <w:left w:val="nil"/>
              <w:bottom w:val="single" w:sz="6" w:space="0" w:color="auto"/>
              <w:right w:val="nil"/>
            </w:tcBorders>
            <w:shd w:val="clear" w:color="000000" w:fill="FFFFFF"/>
            <w:vAlign w:val="bottom"/>
          </w:tcPr>
          <w:p w14:paraId="7E8EA2D9" w14:textId="187CD1F8" w:rsidR="00DA6F12" w:rsidRPr="00DA6F12" w:rsidRDefault="004F311F" w:rsidP="00E1702B">
            <w:pPr>
              <w:snapToGrid w:val="0"/>
              <w:spacing w:before="120" w:after="120" w:line="240" w:lineRule="auto"/>
              <w:jc w:val="left"/>
              <w:rPr>
                <w:rFonts w:cs="Times New Roman"/>
                <w:b/>
                <w:bCs/>
                <w:i/>
                <w:color w:val="000000"/>
                <w:szCs w:val="24"/>
              </w:rPr>
            </w:pPr>
            <m:oMathPara>
              <m:oMath>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rPr>
                      <m:t>H5</m:t>
                    </m:r>
                  </m:sub>
                </m:sSub>
              </m:oMath>
            </m:oMathPara>
          </w:p>
        </w:tc>
      </w:tr>
      <w:tr w:rsidR="00FD68B9" w:rsidRPr="00FC4EB7" w14:paraId="285A58B8" w14:textId="77777777" w:rsidTr="00E1702B">
        <w:trPr>
          <w:trHeight w:val="20"/>
          <w:jc w:val="center"/>
        </w:trPr>
        <w:tc>
          <w:tcPr>
            <w:tcW w:w="550" w:type="pct"/>
            <w:tcBorders>
              <w:top w:val="nil"/>
              <w:left w:val="nil"/>
            </w:tcBorders>
            <w:shd w:val="clear" w:color="000000" w:fill="FFFFFF"/>
          </w:tcPr>
          <w:p w14:paraId="488F540B" w14:textId="73A84D6D" w:rsidR="00DA6F12" w:rsidRPr="00DA6F12" w:rsidRDefault="004F311F" w:rsidP="00E1702B">
            <w:pPr>
              <w:snapToGrid w:val="0"/>
              <w:spacing w:before="120" w:after="120" w:line="240" w:lineRule="auto"/>
              <w:jc w:val="left"/>
              <w:rPr>
                <w:rFonts w:cs="Times New Roman"/>
                <w:i/>
                <w:szCs w:val="24"/>
              </w:rPr>
            </w:pPr>
            <m:oMathPara>
              <m:oMath>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rPr>
                      <m:t>H2</m:t>
                    </m:r>
                  </m:sub>
                </m:sSub>
              </m:oMath>
            </m:oMathPara>
          </w:p>
          <w:p w14:paraId="4BDD65E8" w14:textId="612E4EBB" w:rsidR="00FD68B9" w:rsidRPr="00DA6F12" w:rsidRDefault="00FD68B9" w:rsidP="00E1702B">
            <w:pPr>
              <w:pStyle w:val="Listenabsatz"/>
              <w:snapToGrid w:val="0"/>
              <w:spacing w:before="120" w:after="120" w:line="240" w:lineRule="auto"/>
              <w:ind w:left="142"/>
              <w:jc w:val="left"/>
              <w:rPr>
                <w:rFonts w:cs="Times New Roman"/>
                <w:i/>
                <w:color w:val="000000"/>
                <w:szCs w:val="24"/>
              </w:rPr>
            </w:pPr>
          </w:p>
        </w:tc>
        <w:tc>
          <w:tcPr>
            <w:tcW w:w="890" w:type="pct"/>
            <w:tcBorders>
              <w:top w:val="nil"/>
              <w:right w:val="nil"/>
            </w:tcBorders>
            <w:shd w:val="clear" w:color="000000" w:fill="FFFFFF"/>
            <w:noWrap/>
          </w:tcPr>
          <w:p w14:paraId="079B59EA" w14:textId="53CD245E" w:rsidR="00FD68B9" w:rsidRPr="002F2B4D" w:rsidRDefault="00DA6F12" w:rsidP="00E1702B">
            <w:pPr>
              <w:spacing w:before="120" w:after="120" w:line="240" w:lineRule="auto"/>
              <w:jc w:val="left"/>
              <w:rPr>
                <w:rFonts w:cs="Times New Roman"/>
                <w:sz w:val="20"/>
                <w:szCs w:val="20"/>
              </w:rPr>
            </w:pPr>
            <w:r w:rsidRPr="002F2B4D">
              <w:rPr>
                <w:rFonts w:cs="Times New Roman"/>
                <w:sz w:val="20"/>
                <w:szCs w:val="20"/>
              </w:rPr>
              <w:t>-0,084***</w:t>
            </w:r>
            <w:r w:rsidRPr="002F2B4D">
              <w:rPr>
                <w:rFonts w:cs="Times New Roman"/>
                <w:sz w:val="20"/>
                <w:szCs w:val="20"/>
              </w:rPr>
              <w:br/>
              <w:t>(0,017)</w:t>
            </w:r>
          </w:p>
        </w:tc>
        <w:tc>
          <w:tcPr>
            <w:tcW w:w="890" w:type="pct"/>
            <w:tcBorders>
              <w:top w:val="nil"/>
              <w:right w:val="nil"/>
            </w:tcBorders>
            <w:shd w:val="clear" w:color="000000" w:fill="FFFFFF"/>
          </w:tcPr>
          <w:p w14:paraId="6DD5174F" w14:textId="20A64CC8" w:rsidR="00FD68B9" w:rsidRPr="002F2B4D" w:rsidRDefault="00FD68B9" w:rsidP="00E1702B">
            <w:pPr>
              <w:snapToGrid w:val="0"/>
              <w:spacing w:before="120" w:after="120" w:line="240" w:lineRule="auto"/>
              <w:jc w:val="left"/>
              <w:rPr>
                <w:rFonts w:cs="Times New Roman"/>
                <w:sz w:val="20"/>
                <w:szCs w:val="20"/>
              </w:rPr>
            </w:pPr>
          </w:p>
        </w:tc>
        <w:tc>
          <w:tcPr>
            <w:tcW w:w="890" w:type="pct"/>
            <w:tcBorders>
              <w:top w:val="nil"/>
              <w:right w:val="nil"/>
            </w:tcBorders>
            <w:shd w:val="clear" w:color="000000" w:fill="FFFFFF"/>
          </w:tcPr>
          <w:p w14:paraId="22EC1F79" w14:textId="1A326E91" w:rsidR="00FD68B9" w:rsidRPr="002F2B4D" w:rsidRDefault="00FD68B9" w:rsidP="00E1702B">
            <w:pPr>
              <w:snapToGrid w:val="0"/>
              <w:spacing w:before="120" w:after="120" w:line="240" w:lineRule="auto"/>
              <w:jc w:val="left"/>
              <w:rPr>
                <w:rFonts w:cs="Times New Roman"/>
                <w:sz w:val="20"/>
                <w:szCs w:val="20"/>
              </w:rPr>
            </w:pPr>
          </w:p>
        </w:tc>
        <w:tc>
          <w:tcPr>
            <w:tcW w:w="890" w:type="pct"/>
            <w:tcBorders>
              <w:top w:val="nil"/>
              <w:right w:val="nil"/>
            </w:tcBorders>
            <w:shd w:val="clear" w:color="000000" w:fill="FFFFFF"/>
          </w:tcPr>
          <w:p w14:paraId="57801C7A" w14:textId="181935D2" w:rsidR="00FD68B9" w:rsidRPr="002F2B4D" w:rsidRDefault="00FD68B9" w:rsidP="00E1702B">
            <w:pPr>
              <w:snapToGrid w:val="0"/>
              <w:spacing w:before="120" w:after="120" w:line="240" w:lineRule="auto"/>
              <w:jc w:val="left"/>
              <w:rPr>
                <w:rFonts w:cs="Times New Roman"/>
                <w:sz w:val="20"/>
                <w:szCs w:val="20"/>
              </w:rPr>
            </w:pPr>
          </w:p>
        </w:tc>
        <w:tc>
          <w:tcPr>
            <w:tcW w:w="890" w:type="pct"/>
            <w:tcBorders>
              <w:top w:val="nil"/>
              <w:right w:val="nil"/>
            </w:tcBorders>
            <w:shd w:val="clear" w:color="000000" w:fill="FFFFFF"/>
          </w:tcPr>
          <w:p w14:paraId="441D051F" w14:textId="01BF046B" w:rsidR="00FD68B9" w:rsidRPr="002F2B4D" w:rsidRDefault="00FD68B9" w:rsidP="00E1702B">
            <w:pPr>
              <w:snapToGrid w:val="0"/>
              <w:spacing w:before="120" w:after="120" w:line="240" w:lineRule="auto"/>
              <w:jc w:val="left"/>
              <w:rPr>
                <w:rFonts w:cs="Times New Roman"/>
                <w:sz w:val="20"/>
                <w:szCs w:val="20"/>
              </w:rPr>
            </w:pPr>
          </w:p>
        </w:tc>
      </w:tr>
      <w:tr w:rsidR="00DA6F12" w:rsidRPr="00A2275F" w14:paraId="6BCE3E8C" w14:textId="77777777" w:rsidTr="00E1702B">
        <w:trPr>
          <w:trHeight w:val="20"/>
          <w:jc w:val="center"/>
        </w:trPr>
        <w:tc>
          <w:tcPr>
            <w:tcW w:w="550" w:type="pct"/>
            <w:tcBorders>
              <w:top w:val="nil"/>
              <w:left w:val="nil"/>
            </w:tcBorders>
            <w:shd w:val="clear" w:color="000000" w:fill="FFFFFF"/>
          </w:tcPr>
          <w:p w14:paraId="2D0A583F" w14:textId="35707E5A" w:rsidR="00DA6F12" w:rsidRPr="00DA6F12" w:rsidRDefault="004F311F" w:rsidP="00E1702B">
            <w:pPr>
              <w:snapToGrid w:val="0"/>
              <w:spacing w:before="120" w:after="120" w:line="240" w:lineRule="auto"/>
              <w:jc w:val="left"/>
              <w:rPr>
                <w:rFonts w:cs="Times New Roman"/>
                <w:i/>
                <w:szCs w:val="24"/>
              </w:rPr>
            </w:pPr>
            <m:oMathPara>
              <m:oMath>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rPr>
                      <m:t>H3</m:t>
                    </m:r>
                  </m:sub>
                </m:sSub>
              </m:oMath>
            </m:oMathPara>
          </w:p>
        </w:tc>
        <w:tc>
          <w:tcPr>
            <w:tcW w:w="890" w:type="pct"/>
            <w:tcBorders>
              <w:top w:val="nil"/>
              <w:right w:val="nil"/>
            </w:tcBorders>
            <w:shd w:val="clear" w:color="000000" w:fill="FFFFFF"/>
            <w:noWrap/>
          </w:tcPr>
          <w:p w14:paraId="00E834B8" w14:textId="0E3D6EEF" w:rsidR="00DA6F12" w:rsidRPr="002F2B4D" w:rsidRDefault="00DA6F12" w:rsidP="00E1702B">
            <w:pPr>
              <w:snapToGrid w:val="0"/>
              <w:spacing w:before="120" w:after="120" w:line="240" w:lineRule="auto"/>
              <w:jc w:val="left"/>
              <w:rPr>
                <w:rFonts w:cs="Times New Roman"/>
                <w:sz w:val="20"/>
                <w:szCs w:val="20"/>
              </w:rPr>
            </w:pPr>
            <w:r w:rsidRPr="002F2B4D">
              <w:rPr>
                <w:rFonts w:cs="Times New Roman"/>
                <w:sz w:val="20"/>
                <w:szCs w:val="20"/>
              </w:rPr>
              <w:t>-0,091***</w:t>
            </w:r>
            <w:r w:rsidRPr="002F2B4D">
              <w:rPr>
                <w:rFonts w:cs="Times New Roman"/>
                <w:sz w:val="20"/>
                <w:szCs w:val="20"/>
              </w:rPr>
              <w:br/>
              <w:t>(0,017)</w:t>
            </w:r>
          </w:p>
        </w:tc>
        <w:tc>
          <w:tcPr>
            <w:tcW w:w="890" w:type="pct"/>
            <w:tcBorders>
              <w:top w:val="nil"/>
              <w:right w:val="nil"/>
            </w:tcBorders>
            <w:shd w:val="clear" w:color="000000" w:fill="FFFFFF"/>
          </w:tcPr>
          <w:p w14:paraId="673B236D" w14:textId="209CD075" w:rsidR="00DA6F12" w:rsidRPr="002F2B4D" w:rsidRDefault="00DA6F12" w:rsidP="00E1702B">
            <w:pPr>
              <w:snapToGrid w:val="0"/>
              <w:spacing w:before="120" w:after="120" w:line="240" w:lineRule="auto"/>
              <w:jc w:val="left"/>
              <w:rPr>
                <w:rFonts w:cs="Times New Roman"/>
                <w:sz w:val="20"/>
                <w:szCs w:val="20"/>
              </w:rPr>
            </w:pPr>
            <w:r w:rsidRPr="002F2B4D">
              <w:rPr>
                <w:rFonts w:cs="Times New Roman"/>
                <w:sz w:val="20"/>
                <w:szCs w:val="20"/>
              </w:rPr>
              <w:t>-0,110***</w:t>
            </w:r>
            <w:r w:rsidRPr="002F2B4D">
              <w:rPr>
                <w:rFonts w:cs="Times New Roman"/>
                <w:sz w:val="20"/>
                <w:szCs w:val="20"/>
              </w:rPr>
              <w:br/>
              <w:t>(0,017)</w:t>
            </w:r>
          </w:p>
        </w:tc>
        <w:tc>
          <w:tcPr>
            <w:tcW w:w="890" w:type="pct"/>
            <w:tcBorders>
              <w:top w:val="nil"/>
              <w:right w:val="nil"/>
            </w:tcBorders>
            <w:shd w:val="clear" w:color="000000" w:fill="FFFFFF"/>
          </w:tcPr>
          <w:p w14:paraId="62CAE95C" w14:textId="2FCD9143" w:rsidR="00DA6F12" w:rsidRPr="002F2B4D" w:rsidRDefault="00DA6F12" w:rsidP="00E1702B">
            <w:pPr>
              <w:snapToGrid w:val="0"/>
              <w:spacing w:before="120" w:after="120" w:line="240" w:lineRule="auto"/>
              <w:jc w:val="left"/>
              <w:rPr>
                <w:rFonts w:cs="Times New Roman"/>
                <w:sz w:val="20"/>
                <w:szCs w:val="20"/>
              </w:rPr>
            </w:pPr>
          </w:p>
        </w:tc>
        <w:tc>
          <w:tcPr>
            <w:tcW w:w="890" w:type="pct"/>
            <w:tcBorders>
              <w:top w:val="nil"/>
              <w:right w:val="nil"/>
            </w:tcBorders>
            <w:shd w:val="clear" w:color="000000" w:fill="FFFFFF"/>
          </w:tcPr>
          <w:p w14:paraId="1D674EC8" w14:textId="139E025E" w:rsidR="00DA6F12" w:rsidRPr="002F2B4D" w:rsidRDefault="00DA6F12" w:rsidP="00E1702B">
            <w:pPr>
              <w:snapToGrid w:val="0"/>
              <w:spacing w:before="120" w:after="120" w:line="240" w:lineRule="auto"/>
              <w:jc w:val="left"/>
              <w:rPr>
                <w:rFonts w:cs="Times New Roman"/>
                <w:sz w:val="20"/>
                <w:szCs w:val="20"/>
              </w:rPr>
            </w:pPr>
          </w:p>
        </w:tc>
        <w:tc>
          <w:tcPr>
            <w:tcW w:w="890" w:type="pct"/>
            <w:tcBorders>
              <w:top w:val="nil"/>
              <w:right w:val="nil"/>
            </w:tcBorders>
            <w:shd w:val="clear" w:color="000000" w:fill="FFFFFF"/>
          </w:tcPr>
          <w:p w14:paraId="5F30BCF7" w14:textId="3B5A55E5" w:rsidR="00DA6F12" w:rsidRPr="002F2B4D" w:rsidRDefault="00DA6F12" w:rsidP="00E1702B">
            <w:pPr>
              <w:snapToGrid w:val="0"/>
              <w:spacing w:before="120" w:after="120" w:line="240" w:lineRule="auto"/>
              <w:jc w:val="left"/>
              <w:rPr>
                <w:rFonts w:cs="Times New Roman"/>
                <w:sz w:val="20"/>
                <w:szCs w:val="20"/>
              </w:rPr>
            </w:pPr>
          </w:p>
        </w:tc>
      </w:tr>
      <w:tr w:rsidR="00DA6F12" w:rsidRPr="00A2275F" w14:paraId="6B4CF0F1" w14:textId="77777777" w:rsidTr="00E1702B">
        <w:trPr>
          <w:trHeight w:val="20"/>
          <w:jc w:val="center"/>
        </w:trPr>
        <w:tc>
          <w:tcPr>
            <w:tcW w:w="550" w:type="pct"/>
            <w:tcBorders>
              <w:left w:val="nil"/>
            </w:tcBorders>
            <w:shd w:val="clear" w:color="000000" w:fill="FFFFFF"/>
          </w:tcPr>
          <w:p w14:paraId="6242737F" w14:textId="7E9FE4E9" w:rsidR="00DA6F12" w:rsidRPr="00DA6F12" w:rsidRDefault="004F311F" w:rsidP="00E1702B">
            <w:pPr>
              <w:snapToGrid w:val="0"/>
              <w:spacing w:before="120" w:after="120" w:line="240" w:lineRule="auto"/>
              <w:jc w:val="left"/>
              <w:rPr>
                <w:rFonts w:cs="Times New Roman"/>
                <w:i/>
                <w:szCs w:val="24"/>
              </w:rPr>
            </w:pPr>
            <m:oMathPara>
              <m:oMath>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rPr>
                      <m:t>H4</m:t>
                    </m:r>
                  </m:sub>
                </m:sSub>
              </m:oMath>
            </m:oMathPara>
          </w:p>
        </w:tc>
        <w:tc>
          <w:tcPr>
            <w:tcW w:w="890" w:type="pct"/>
            <w:tcBorders>
              <w:right w:val="nil"/>
            </w:tcBorders>
            <w:shd w:val="clear" w:color="000000" w:fill="FFFFFF"/>
            <w:noWrap/>
          </w:tcPr>
          <w:p w14:paraId="2A55CC0B" w14:textId="65D57787" w:rsidR="00DA6F12" w:rsidRPr="002F2B4D" w:rsidRDefault="00DA6F12" w:rsidP="00E1702B">
            <w:pPr>
              <w:snapToGrid w:val="0"/>
              <w:spacing w:before="120" w:after="120" w:line="240" w:lineRule="auto"/>
              <w:jc w:val="left"/>
              <w:rPr>
                <w:rFonts w:cs="Times New Roman"/>
                <w:sz w:val="20"/>
                <w:szCs w:val="20"/>
              </w:rPr>
            </w:pPr>
            <w:r w:rsidRPr="002F2B4D">
              <w:rPr>
                <w:rFonts w:cs="Times New Roman"/>
                <w:sz w:val="20"/>
                <w:szCs w:val="20"/>
              </w:rPr>
              <w:t>-0,109***</w:t>
            </w:r>
            <w:r w:rsidRPr="002F2B4D">
              <w:rPr>
                <w:rFonts w:cs="Times New Roman"/>
                <w:sz w:val="20"/>
                <w:szCs w:val="20"/>
              </w:rPr>
              <w:br/>
              <w:t>(0,018)</w:t>
            </w:r>
          </w:p>
        </w:tc>
        <w:tc>
          <w:tcPr>
            <w:tcW w:w="890" w:type="pct"/>
            <w:tcBorders>
              <w:right w:val="nil"/>
            </w:tcBorders>
            <w:shd w:val="clear" w:color="000000" w:fill="FFFFFF"/>
          </w:tcPr>
          <w:p w14:paraId="388193F8" w14:textId="3AF5D532" w:rsidR="00DA6F12" w:rsidRPr="002F2B4D" w:rsidRDefault="00DA6F12" w:rsidP="00E1702B">
            <w:pPr>
              <w:snapToGrid w:val="0"/>
              <w:spacing w:before="120" w:after="120" w:line="240" w:lineRule="auto"/>
              <w:jc w:val="left"/>
              <w:rPr>
                <w:rFonts w:cs="Times New Roman"/>
                <w:sz w:val="20"/>
                <w:szCs w:val="20"/>
              </w:rPr>
            </w:pPr>
            <w:r w:rsidRPr="002F2B4D">
              <w:rPr>
                <w:rFonts w:cs="Times New Roman"/>
                <w:sz w:val="20"/>
                <w:szCs w:val="20"/>
              </w:rPr>
              <w:t>-0,093***</w:t>
            </w:r>
            <w:r w:rsidRPr="002F2B4D">
              <w:rPr>
                <w:rFonts w:cs="Times New Roman"/>
                <w:sz w:val="20"/>
                <w:szCs w:val="20"/>
              </w:rPr>
              <w:br/>
              <w:t>(0,018)</w:t>
            </w:r>
          </w:p>
        </w:tc>
        <w:tc>
          <w:tcPr>
            <w:tcW w:w="890" w:type="pct"/>
            <w:tcBorders>
              <w:right w:val="nil"/>
            </w:tcBorders>
            <w:shd w:val="clear" w:color="000000" w:fill="FFFFFF"/>
          </w:tcPr>
          <w:p w14:paraId="5E165FFE" w14:textId="5024C08F" w:rsidR="00DA6F12" w:rsidRPr="002F2B4D" w:rsidRDefault="00DA6F12" w:rsidP="00E1702B">
            <w:pPr>
              <w:snapToGrid w:val="0"/>
              <w:spacing w:before="120" w:after="120" w:line="240" w:lineRule="auto"/>
              <w:jc w:val="left"/>
              <w:rPr>
                <w:rFonts w:cs="Times New Roman"/>
                <w:sz w:val="20"/>
                <w:szCs w:val="20"/>
              </w:rPr>
            </w:pPr>
            <w:r w:rsidRPr="002F2B4D">
              <w:rPr>
                <w:rFonts w:cs="Times New Roman"/>
                <w:sz w:val="20"/>
                <w:szCs w:val="20"/>
              </w:rPr>
              <w:t>-0,079***</w:t>
            </w:r>
            <w:r w:rsidRPr="002F2B4D">
              <w:rPr>
                <w:rFonts w:cs="Times New Roman"/>
                <w:sz w:val="20"/>
                <w:szCs w:val="20"/>
              </w:rPr>
              <w:br/>
              <w:t>(0,018)</w:t>
            </w:r>
          </w:p>
        </w:tc>
        <w:tc>
          <w:tcPr>
            <w:tcW w:w="890" w:type="pct"/>
            <w:tcBorders>
              <w:right w:val="nil"/>
            </w:tcBorders>
            <w:shd w:val="clear" w:color="000000" w:fill="FFFFFF"/>
          </w:tcPr>
          <w:p w14:paraId="1B6D7761" w14:textId="77777777" w:rsidR="00DA6F12" w:rsidRPr="002F2B4D" w:rsidRDefault="00DA6F12" w:rsidP="00E1702B">
            <w:pPr>
              <w:snapToGrid w:val="0"/>
              <w:spacing w:before="120" w:after="120" w:line="240" w:lineRule="auto"/>
              <w:jc w:val="left"/>
              <w:rPr>
                <w:rFonts w:cs="Times New Roman"/>
                <w:sz w:val="20"/>
                <w:szCs w:val="20"/>
              </w:rPr>
            </w:pPr>
          </w:p>
        </w:tc>
        <w:tc>
          <w:tcPr>
            <w:tcW w:w="890" w:type="pct"/>
            <w:tcBorders>
              <w:right w:val="nil"/>
            </w:tcBorders>
            <w:shd w:val="clear" w:color="000000" w:fill="FFFFFF"/>
          </w:tcPr>
          <w:p w14:paraId="259F4CAB" w14:textId="77777777" w:rsidR="00DA6F12" w:rsidRPr="002F2B4D" w:rsidRDefault="00DA6F12" w:rsidP="00E1702B">
            <w:pPr>
              <w:snapToGrid w:val="0"/>
              <w:spacing w:before="120" w:after="120" w:line="240" w:lineRule="auto"/>
              <w:jc w:val="left"/>
              <w:rPr>
                <w:rFonts w:cs="Times New Roman"/>
                <w:sz w:val="20"/>
                <w:szCs w:val="20"/>
              </w:rPr>
            </w:pPr>
          </w:p>
        </w:tc>
      </w:tr>
      <w:tr w:rsidR="00DA6F12" w:rsidRPr="00A2275F" w14:paraId="61450AD9" w14:textId="77777777" w:rsidTr="00E1702B">
        <w:trPr>
          <w:trHeight w:val="20"/>
          <w:jc w:val="center"/>
        </w:trPr>
        <w:tc>
          <w:tcPr>
            <w:tcW w:w="550" w:type="pct"/>
            <w:tcBorders>
              <w:left w:val="nil"/>
            </w:tcBorders>
            <w:shd w:val="clear" w:color="000000" w:fill="FFFFFF"/>
          </w:tcPr>
          <w:p w14:paraId="190487C6" w14:textId="0D2893A6" w:rsidR="00DA6F12" w:rsidRPr="00DA6F12" w:rsidRDefault="004F311F" w:rsidP="00E1702B">
            <w:pPr>
              <w:snapToGrid w:val="0"/>
              <w:spacing w:before="120" w:after="120" w:line="240" w:lineRule="auto"/>
              <w:jc w:val="left"/>
              <w:rPr>
                <w:rFonts w:cs="Times New Roman"/>
                <w:i/>
                <w:szCs w:val="24"/>
              </w:rPr>
            </w:pPr>
            <m:oMathPara>
              <m:oMath>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rPr>
                      <m:t>H5</m:t>
                    </m:r>
                  </m:sub>
                </m:sSub>
              </m:oMath>
            </m:oMathPara>
          </w:p>
        </w:tc>
        <w:tc>
          <w:tcPr>
            <w:tcW w:w="890" w:type="pct"/>
            <w:tcBorders>
              <w:right w:val="nil"/>
            </w:tcBorders>
            <w:shd w:val="clear" w:color="000000" w:fill="FFFFFF"/>
            <w:noWrap/>
          </w:tcPr>
          <w:p w14:paraId="5DD96994" w14:textId="4957526E" w:rsidR="00DA6F12" w:rsidRPr="002F2B4D" w:rsidRDefault="00DA6F12" w:rsidP="00E1702B">
            <w:pPr>
              <w:snapToGrid w:val="0"/>
              <w:spacing w:before="120" w:after="120" w:line="240" w:lineRule="auto"/>
              <w:jc w:val="left"/>
              <w:rPr>
                <w:rFonts w:cs="Times New Roman"/>
                <w:sz w:val="20"/>
                <w:szCs w:val="20"/>
              </w:rPr>
            </w:pPr>
            <w:r w:rsidRPr="002F2B4D">
              <w:rPr>
                <w:rFonts w:cs="Times New Roman"/>
                <w:sz w:val="20"/>
                <w:szCs w:val="20"/>
              </w:rPr>
              <w:t>-0,106***</w:t>
            </w:r>
            <w:r w:rsidRPr="002F2B4D">
              <w:rPr>
                <w:rFonts w:cs="Times New Roman"/>
                <w:sz w:val="20"/>
                <w:szCs w:val="20"/>
              </w:rPr>
              <w:br/>
              <w:t>(0,015)</w:t>
            </w:r>
          </w:p>
        </w:tc>
        <w:tc>
          <w:tcPr>
            <w:tcW w:w="890" w:type="pct"/>
            <w:tcBorders>
              <w:right w:val="nil"/>
            </w:tcBorders>
            <w:shd w:val="clear" w:color="000000" w:fill="FFFFFF"/>
          </w:tcPr>
          <w:p w14:paraId="78B44ADF" w14:textId="0400BDF4" w:rsidR="00DA6F12" w:rsidRPr="002F2B4D" w:rsidRDefault="00DA6F12" w:rsidP="00E1702B">
            <w:pPr>
              <w:snapToGrid w:val="0"/>
              <w:spacing w:before="120" w:after="120" w:line="240" w:lineRule="auto"/>
              <w:jc w:val="left"/>
              <w:rPr>
                <w:rFonts w:cs="Times New Roman"/>
                <w:sz w:val="20"/>
                <w:szCs w:val="20"/>
              </w:rPr>
            </w:pPr>
            <w:r w:rsidRPr="002F2B4D">
              <w:rPr>
                <w:rFonts w:cs="Times New Roman"/>
                <w:sz w:val="20"/>
                <w:szCs w:val="20"/>
              </w:rPr>
              <w:t>-0,098***</w:t>
            </w:r>
            <w:r w:rsidRPr="002F2B4D">
              <w:rPr>
                <w:rFonts w:cs="Times New Roman"/>
                <w:sz w:val="20"/>
                <w:szCs w:val="20"/>
              </w:rPr>
              <w:br/>
              <w:t>(0,015)</w:t>
            </w:r>
          </w:p>
        </w:tc>
        <w:tc>
          <w:tcPr>
            <w:tcW w:w="890" w:type="pct"/>
            <w:tcBorders>
              <w:right w:val="nil"/>
            </w:tcBorders>
            <w:shd w:val="clear" w:color="000000" w:fill="FFFFFF"/>
          </w:tcPr>
          <w:p w14:paraId="37A953BC" w14:textId="2CFC1859" w:rsidR="00DA6F12" w:rsidRPr="002F2B4D" w:rsidRDefault="00DA6F12" w:rsidP="00E1702B">
            <w:pPr>
              <w:snapToGrid w:val="0"/>
              <w:spacing w:before="120" w:after="120" w:line="240" w:lineRule="auto"/>
              <w:jc w:val="left"/>
              <w:rPr>
                <w:rFonts w:cs="Times New Roman"/>
                <w:sz w:val="20"/>
                <w:szCs w:val="20"/>
              </w:rPr>
            </w:pPr>
            <w:r w:rsidRPr="002F2B4D">
              <w:rPr>
                <w:rFonts w:cs="Times New Roman"/>
                <w:sz w:val="20"/>
                <w:szCs w:val="20"/>
              </w:rPr>
              <w:t>-0,083***</w:t>
            </w:r>
            <w:r w:rsidRPr="002F2B4D">
              <w:rPr>
                <w:rFonts w:cs="Times New Roman"/>
                <w:sz w:val="20"/>
                <w:szCs w:val="20"/>
              </w:rPr>
              <w:br/>
              <w:t>(0,016)</w:t>
            </w:r>
          </w:p>
        </w:tc>
        <w:tc>
          <w:tcPr>
            <w:tcW w:w="890" w:type="pct"/>
            <w:tcBorders>
              <w:right w:val="nil"/>
            </w:tcBorders>
            <w:shd w:val="clear" w:color="000000" w:fill="FFFFFF"/>
          </w:tcPr>
          <w:p w14:paraId="75FE1D8C" w14:textId="788E794F" w:rsidR="00DA6F12" w:rsidRPr="002F2B4D" w:rsidRDefault="00DA6F12" w:rsidP="00E1702B">
            <w:pPr>
              <w:spacing w:before="120" w:after="120" w:line="240" w:lineRule="auto"/>
              <w:jc w:val="left"/>
              <w:rPr>
                <w:rFonts w:cs="Times New Roman"/>
                <w:sz w:val="20"/>
                <w:szCs w:val="20"/>
              </w:rPr>
            </w:pPr>
            <w:r w:rsidRPr="002F2B4D">
              <w:rPr>
                <w:rFonts w:cs="Times New Roman"/>
                <w:sz w:val="20"/>
                <w:szCs w:val="20"/>
              </w:rPr>
              <w:t>-0,066***</w:t>
            </w:r>
            <w:r w:rsidRPr="002F2B4D">
              <w:rPr>
                <w:rFonts w:cs="Times New Roman"/>
                <w:sz w:val="20"/>
                <w:szCs w:val="20"/>
              </w:rPr>
              <w:br/>
              <w:t>(0,016)</w:t>
            </w:r>
          </w:p>
        </w:tc>
        <w:tc>
          <w:tcPr>
            <w:tcW w:w="890" w:type="pct"/>
            <w:tcBorders>
              <w:right w:val="nil"/>
            </w:tcBorders>
            <w:shd w:val="clear" w:color="000000" w:fill="FFFFFF"/>
          </w:tcPr>
          <w:p w14:paraId="649FCB3F" w14:textId="77777777" w:rsidR="00DA6F12" w:rsidRPr="002F2B4D" w:rsidRDefault="00DA6F12" w:rsidP="00E1702B">
            <w:pPr>
              <w:snapToGrid w:val="0"/>
              <w:spacing w:before="120" w:after="120" w:line="240" w:lineRule="auto"/>
              <w:jc w:val="left"/>
              <w:rPr>
                <w:rFonts w:cs="Times New Roman"/>
                <w:sz w:val="20"/>
                <w:szCs w:val="20"/>
              </w:rPr>
            </w:pPr>
          </w:p>
        </w:tc>
      </w:tr>
      <w:tr w:rsidR="00DA6F12" w:rsidRPr="00A2275F" w14:paraId="60309AE2" w14:textId="77777777" w:rsidTr="00E1702B">
        <w:trPr>
          <w:trHeight w:val="20"/>
          <w:jc w:val="center"/>
        </w:trPr>
        <w:tc>
          <w:tcPr>
            <w:tcW w:w="550" w:type="pct"/>
            <w:tcBorders>
              <w:left w:val="nil"/>
              <w:bottom w:val="single" w:sz="8" w:space="0" w:color="auto"/>
            </w:tcBorders>
            <w:shd w:val="clear" w:color="000000" w:fill="FFFFFF"/>
          </w:tcPr>
          <w:p w14:paraId="2FC6495F" w14:textId="3432EF48" w:rsidR="00DA6F12" w:rsidRPr="00DA6F12" w:rsidRDefault="004F311F" w:rsidP="00E1702B">
            <w:pPr>
              <w:snapToGrid w:val="0"/>
              <w:spacing w:before="120" w:after="120" w:line="240" w:lineRule="auto"/>
              <w:jc w:val="left"/>
              <w:rPr>
                <w:rFonts w:cs="Times New Roman"/>
                <w:i/>
                <w:szCs w:val="24"/>
              </w:rPr>
            </w:pPr>
            <m:oMathPara>
              <m:oMath>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rPr>
                      <m:t>H6</m:t>
                    </m:r>
                  </m:sub>
                </m:sSub>
              </m:oMath>
            </m:oMathPara>
          </w:p>
        </w:tc>
        <w:tc>
          <w:tcPr>
            <w:tcW w:w="890" w:type="pct"/>
            <w:tcBorders>
              <w:bottom w:val="single" w:sz="8" w:space="0" w:color="auto"/>
              <w:right w:val="nil"/>
            </w:tcBorders>
            <w:shd w:val="clear" w:color="000000" w:fill="FFFFFF"/>
            <w:noWrap/>
          </w:tcPr>
          <w:p w14:paraId="64F97FA0" w14:textId="36021E61" w:rsidR="00DA6F12" w:rsidRPr="002F2B4D" w:rsidRDefault="00DA6F12" w:rsidP="00E1702B">
            <w:pPr>
              <w:snapToGrid w:val="0"/>
              <w:spacing w:before="120" w:after="120" w:line="240" w:lineRule="auto"/>
              <w:jc w:val="left"/>
              <w:rPr>
                <w:rFonts w:cs="Times New Roman"/>
                <w:sz w:val="20"/>
                <w:szCs w:val="20"/>
              </w:rPr>
            </w:pPr>
            <w:r w:rsidRPr="002F2B4D">
              <w:rPr>
                <w:rFonts w:cs="Times New Roman"/>
                <w:sz w:val="20"/>
                <w:szCs w:val="20"/>
              </w:rPr>
              <w:t>-0,182***</w:t>
            </w:r>
            <w:r w:rsidRPr="002F2B4D">
              <w:rPr>
                <w:rFonts w:cs="Times New Roman"/>
                <w:sz w:val="20"/>
                <w:szCs w:val="20"/>
              </w:rPr>
              <w:br/>
              <w:t>(0,012)</w:t>
            </w:r>
          </w:p>
        </w:tc>
        <w:tc>
          <w:tcPr>
            <w:tcW w:w="890" w:type="pct"/>
            <w:tcBorders>
              <w:bottom w:val="single" w:sz="8" w:space="0" w:color="auto"/>
              <w:right w:val="nil"/>
            </w:tcBorders>
            <w:shd w:val="clear" w:color="000000" w:fill="FFFFFF"/>
          </w:tcPr>
          <w:p w14:paraId="52A20D38" w14:textId="2B83E480" w:rsidR="00DA6F12" w:rsidRPr="002F2B4D" w:rsidRDefault="00DA6F12" w:rsidP="00E1702B">
            <w:pPr>
              <w:snapToGrid w:val="0"/>
              <w:spacing w:before="120" w:after="120" w:line="240" w:lineRule="auto"/>
              <w:jc w:val="left"/>
              <w:rPr>
                <w:rFonts w:cs="Times New Roman"/>
                <w:sz w:val="20"/>
                <w:szCs w:val="20"/>
              </w:rPr>
            </w:pPr>
            <w:r w:rsidRPr="002F2B4D">
              <w:rPr>
                <w:rFonts w:cs="Times New Roman"/>
                <w:sz w:val="20"/>
                <w:szCs w:val="20"/>
              </w:rPr>
              <w:t>-0,138***</w:t>
            </w:r>
            <w:r w:rsidRPr="002F2B4D">
              <w:rPr>
                <w:rFonts w:cs="Times New Roman"/>
                <w:sz w:val="20"/>
                <w:szCs w:val="20"/>
              </w:rPr>
              <w:br/>
              <w:t>(0,012)</w:t>
            </w:r>
          </w:p>
        </w:tc>
        <w:tc>
          <w:tcPr>
            <w:tcW w:w="890" w:type="pct"/>
            <w:tcBorders>
              <w:bottom w:val="single" w:sz="8" w:space="0" w:color="auto"/>
              <w:right w:val="nil"/>
            </w:tcBorders>
            <w:shd w:val="clear" w:color="000000" w:fill="FFFFFF"/>
          </w:tcPr>
          <w:p w14:paraId="2DE1ECFE" w14:textId="5E3EE579" w:rsidR="00DA6F12" w:rsidRPr="002F2B4D" w:rsidRDefault="00DA6F12" w:rsidP="00E1702B">
            <w:pPr>
              <w:snapToGrid w:val="0"/>
              <w:spacing w:before="120" w:after="120" w:line="240" w:lineRule="auto"/>
              <w:jc w:val="left"/>
              <w:rPr>
                <w:rFonts w:cs="Times New Roman"/>
                <w:sz w:val="20"/>
                <w:szCs w:val="20"/>
              </w:rPr>
            </w:pPr>
            <w:r w:rsidRPr="002F2B4D">
              <w:rPr>
                <w:rFonts w:cs="Times New Roman"/>
                <w:sz w:val="20"/>
                <w:szCs w:val="20"/>
              </w:rPr>
              <w:t>-0,106***</w:t>
            </w:r>
            <w:r w:rsidRPr="002F2B4D">
              <w:rPr>
                <w:rFonts w:cs="Times New Roman"/>
                <w:sz w:val="20"/>
                <w:szCs w:val="20"/>
              </w:rPr>
              <w:br/>
              <w:t>(0,013)</w:t>
            </w:r>
          </w:p>
        </w:tc>
        <w:tc>
          <w:tcPr>
            <w:tcW w:w="890" w:type="pct"/>
            <w:tcBorders>
              <w:bottom w:val="single" w:sz="8" w:space="0" w:color="auto"/>
              <w:right w:val="nil"/>
            </w:tcBorders>
            <w:shd w:val="clear" w:color="000000" w:fill="FFFFFF"/>
          </w:tcPr>
          <w:p w14:paraId="4F4DA955" w14:textId="4B276054" w:rsidR="00DA6F12" w:rsidRPr="002F2B4D" w:rsidRDefault="00DA6F12" w:rsidP="00E1702B">
            <w:pPr>
              <w:spacing w:before="120" w:after="120" w:line="240" w:lineRule="auto"/>
              <w:jc w:val="left"/>
              <w:rPr>
                <w:rFonts w:cs="Times New Roman"/>
                <w:sz w:val="20"/>
                <w:szCs w:val="20"/>
              </w:rPr>
            </w:pPr>
            <w:r w:rsidRPr="002F2B4D">
              <w:rPr>
                <w:rFonts w:cs="Times New Roman"/>
                <w:sz w:val="20"/>
                <w:szCs w:val="20"/>
              </w:rPr>
              <w:t>-0,062***</w:t>
            </w:r>
            <w:r w:rsidRPr="002F2B4D">
              <w:rPr>
                <w:rFonts w:cs="Times New Roman"/>
                <w:sz w:val="20"/>
                <w:szCs w:val="20"/>
              </w:rPr>
              <w:br/>
              <w:t>(0,013)</w:t>
            </w:r>
          </w:p>
        </w:tc>
        <w:tc>
          <w:tcPr>
            <w:tcW w:w="890" w:type="pct"/>
            <w:tcBorders>
              <w:bottom w:val="single" w:sz="8" w:space="0" w:color="auto"/>
              <w:right w:val="nil"/>
            </w:tcBorders>
            <w:shd w:val="clear" w:color="000000" w:fill="FFFFFF"/>
          </w:tcPr>
          <w:p w14:paraId="73E62BF0" w14:textId="5E0A7AFF" w:rsidR="00DA6F12" w:rsidRPr="002F2B4D" w:rsidRDefault="00DA6F12" w:rsidP="00E1702B">
            <w:pPr>
              <w:spacing w:before="120" w:after="120" w:line="240" w:lineRule="auto"/>
              <w:jc w:val="left"/>
              <w:rPr>
                <w:rFonts w:cs="Times New Roman"/>
                <w:sz w:val="20"/>
                <w:szCs w:val="20"/>
              </w:rPr>
            </w:pPr>
            <w:r w:rsidRPr="002F2B4D">
              <w:rPr>
                <w:rFonts w:cs="Times New Roman"/>
                <w:sz w:val="20"/>
                <w:szCs w:val="20"/>
              </w:rPr>
              <w:t>-0,146***</w:t>
            </w:r>
            <w:r w:rsidRPr="002F2B4D">
              <w:rPr>
                <w:rFonts w:cs="Times New Roman"/>
                <w:sz w:val="20"/>
                <w:szCs w:val="20"/>
              </w:rPr>
              <w:br/>
              <w:t>(0,013)</w:t>
            </w:r>
          </w:p>
        </w:tc>
      </w:tr>
    </w:tbl>
    <w:p w14:paraId="5D2C6EBD" w14:textId="77777777" w:rsidR="00B44ECE" w:rsidRPr="0092115E" w:rsidRDefault="00B44ECE" w:rsidP="00B44ECE">
      <w:pPr>
        <w:spacing w:after="0"/>
        <w:rPr>
          <w:sz w:val="16"/>
          <w:szCs w:val="14"/>
        </w:rPr>
      </w:pPr>
      <w:r w:rsidRPr="0092115E">
        <w:rPr>
          <w:sz w:val="16"/>
          <w:szCs w:val="14"/>
        </w:rPr>
        <w:t>Multivariates Probit Model; Standardfehler sind in Klammern</w:t>
      </w:r>
      <w:r>
        <w:rPr>
          <w:sz w:val="16"/>
          <w:szCs w:val="14"/>
        </w:rPr>
        <w:t xml:space="preserve"> angegeben</w:t>
      </w:r>
      <w:r w:rsidRPr="0092115E">
        <w:rPr>
          <w:sz w:val="16"/>
          <w:szCs w:val="14"/>
        </w:rPr>
        <w:t>; Wald-Test:   ***p &lt; 0,01   **p &lt; 0,05   *p &lt; 0,1</w:t>
      </w:r>
    </w:p>
    <w:p w14:paraId="4F45DF61" w14:textId="77777777" w:rsidR="00AA3212" w:rsidRDefault="00AA3212" w:rsidP="00B22F24">
      <w:pPr>
        <w:pStyle w:val="Beschriftung"/>
        <w:keepNext/>
        <w:spacing w:after="0"/>
        <w:ind w:left="1418" w:hanging="1418"/>
        <w:rPr>
          <w:b/>
          <w:bCs/>
          <w:i w:val="0"/>
          <w:iCs w:val="0"/>
          <w:color w:val="auto"/>
          <w:sz w:val="24"/>
          <w:szCs w:val="22"/>
        </w:rPr>
      </w:pPr>
    </w:p>
    <w:p w14:paraId="3C055E7A" w14:textId="77777777" w:rsidR="00AA3212" w:rsidRDefault="00AA3212">
      <w:pPr>
        <w:spacing w:line="276" w:lineRule="auto"/>
        <w:jc w:val="left"/>
        <w:rPr>
          <w:b/>
          <w:bCs/>
        </w:rPr>
      </w:pPr>
      <w:r>
        <w:rPr>
          <w:b/>
          <w:bCs/>
          <w:i/>
          <w:iCs/>
        </w:rPr>
        <w:br w:type="page"/>
      </w:r>
    </w:p>
    <w:p w14:paraId="71469013" w14:textId="439F542D" w:rsidR="00820280" w:rsidRDefault="00820280" w:rsidP="00820280">
      <w:pPr>
        <w:pStyle w:val="Beschriftung"/>
        <w:keepNext/>
        <w:spacing w:after="0"/>
        <w:ind w:left="1418" w:hanging="1418"/>
        <w:jc w:val="left"/>
        <w:rPr>
          <w:i w:val="0"/>
          <w:iCs w:val="0"/>
          <w:color w:val="auto"/>
          <w:sz w:val="24"/>
          <w:szCs w:val="22"/>
        </w:rPr>
      </w:pPr>
      <w:bookmarkStart w:id="88" w:name="_Toc88423397"/>
      <w:r w:rsidRPr="00820280">
        <w:rPr>
          <w:b/>
          <w:bCs/>
          <w:i w:val="0"/>
          <w:iCs w:val="0"/>
          <w:color w:val="auto"/>
          <w:sz w:val="24"/>
          <w:szCs w:val="22"/>
        </w:rPr>
        <w:lastRenderedPageBreak/>
        <w:t xml:space="preserve">Tabelle </w:t>
      </w:r>
      <w:r w:rsidRPr="00820280">
        <w:rPr>
          <w:b/>
          <w:bCs/>
          <w:i w:val="0"/>
          <w:iCs w:val="0"/>
          <w:color w:val="auto"/>
          <w:sz w:val="24"/>
          <w:szCs w:val="22"/>
        </w:rPr>
        <w:fldChar w:fldCharType="begin"/>
      </w:r>
      <w:r w:rsidRPr="00820280">
        <w:rPr>
          <w:b/>
          <w:bCs/>
          <w:i w:val="0"/>
          <w:iCs w:val="0"/>
          <w:color w:val="auto"/>
          <w:sz w:val="24"/>
          <w:szCs w:val="22"/>
        </w:rPr>
        <w:instrText xml:space="preserve"> SEQ Tabelle \* ARABIC </w:instrText>
      </w:r>
      <w:r w:rsidRPr="00820280">
        <w:rPr>
          <w:b/>
          <w:bCs/>
          <w:i w:val="0"/>
          <w:iCs w:val="0"/>
          <w:color w:val="auto"/>
          <w:sz w:val="24"/>
          <w:szCs w:val="22"/>
        </w:rPr>
        <w:fldChar w:fldCharType="separate"/>
      </w:r>
      <w:r w:rsidR="00285390">
        <w:rPr>
          <w:b/>
          <w:bCs/>
          <w:i w:val="0"/>
          <w:iCs w:val="0"/>
          <w:noProof/>
          <w:color w:val="auto"/>
          <w:sz w:val="24"/>
          <w:szCs w:val="22"/>
        </w:rPr>
        <w:t>10</w:t>
      </w:r>
      <w:r w:rsidRPr="00820280">
        <w:rPr>
          <w:b/>
          <w:bCs/>
          <w:i w:val="0"/>
          <w:iCs w:val="0"/>
          <w:color w:val="auto"/>
          <w:sz w:val="24"/>
          <w:szCs w:val="22"/>
        </w:rPr>
        <w:fldChar w:fldCharType="end"/>
      </w:r>
      <w:r w:rsidRPr="00820280">
        <w:rPr>
          <w:b/>
          <w:bCs/>
          <w:i w:val="0"/>
          <w:iCs w:val="0"/>
          <w:color w:val="auto"/>
          <w:sz w:val="24"/>
          <w:szCs w:val="22"/>
        </w:rPr>
        <w:t>:</w:t>
      </w:r>
      <w:r w:rsidRPr="00820280">
        <w:t xml:space="preserve"> </w:t>
      </w:r>
      <w:r w:rsidR="005F53DA">
        <w:tab/>
      </w:r>
      <w:r w:rsidRPr="00B22F24">
        <w:rPr>
          <w:i w:val="0"/>
          <w:iCs w:val="0"/>
          <w:color w:val="auto"/>
          <w:sz w:val="24"/>
          <w:szCs w:val="22"/>
        </w:rPr>
        <w:t>Regressionsergebnisse der unabhängigen univariaten logistischen Regression</w:t>
      </w:r>
      <w:r>
        <w:rPr>
          <w:i w:val="0"/>
          <w:iCs w:val="0"/>
          <w:color w:val="auto"/>
          <w:sz w:val="24"/>
          <w:szCs w:val="22"/>
        </w:rPr>
        <w:t>en für jede Hypothese</w:t>
      </w:r>
      <w:bookmarkEnd w:id="88"/>
    </w:p>
    <w:p w14:paraId="3B121207" w14:textId="6655E5CA" w:rsidR="00820280" w:rsidRPr="00393FD7" w:rsidRDefault="00820280" w:rsidP="00820280">
      <w:pPr>
        <w:spacing w:after="0"/>
        <w:jc w:val="left"/>
      </w:pPr>
      <w:r w:rsidRPr="001A0BAE">
        <w:tab/>
      </w:r>
      <w:r w:rsidRPr="001A0BAE">
        <w:tab/>
        <w:t>eigene Darstellung</w:t>
      </w:r>
      <w:r w:rsidR="004A3151" w:rsidRPr="004A3151">
        <w:t xml:space="preserve"> </w:t>
      </w:r>
      <w:r w:rsidR="004A3151">
        <w:t>nach Masiak et al. (2019), S. 323 f.</w:t>
      </w:r>
    </w:p>
    <w:tbl>
      <w:tblPr>
        <w:tblW w:w="5000" w:type="pct"/>
        <w:jc w:val="center"/>
        <w:tblLayout w:type="fixed"/>
        <w:tblLook w:val="04A0" w:firstRow="1" w:lastRow="0" w:firstColumn="1" w:lastColumn="0" w:noHBand="0" w:noVBand="1"/>
      </w:tblPr>
      <w:tblGrid>
        <w:gridCol w:w="2094"/>
        <w:gridCol w:w="1104"/>
        <w:gridCol w:w="1104"/>
        <w:gridCol w:w="1106"/>
        <w:gridCol w:w="1104"/>
        <w:gridCol w:w="1104"/>
        <w:gridCol w:w="1104"/>
      </w:tblGrid>
      <w:tr w:rsidR="00485743" w:rsidRPr="00CF3B2D" w14:paraId="439A351E" w14:textId="77777777" w:rsidTr="00103BF8">
        <w:trPr>
          <w:trHeight w:val="20"/>
          <w:jc w:val="center"/>
        </w:trPr>
        <w:tc>
          <w:tcPr>
            <w:tcW w:w="1201" w:type="pct"/>
            <w:tcBorders>
              <w:top w:val="single" w:sz="8" w:space="0" w:color="auto"/>
              <w:left w:val="nil"/>
              <w:bottom w:val="single" w:sz="6" w:space="0" w:color="auto"/>
              <w:right w:val="nil"/>
            </w:tcBorders>
            <w:shd w:val="clear" w:color="000000" w:fill="FFFFFF"/>
            <w:noWrap/>
            <w:vAlign w:val="bottom"/>
            <w:hideMark/>
          </w:tcPr>
          <w:p w14:paraId="066B24BC" w14:textId="77777777" w:rsidR="00485743" w:rsidRPr="002D11BF" w:rsidRDefault="00485743" w:rsidP="00485743">
            <w:pPr>
              <w:snapToGrid w:val="0"/>
              <w:spacing w:after="0" w:line="240" w:lineRule="auto"/>
              <w:jc w:val="left"/>
              <w:rPr>
                <w:b/>
                <w:bCs/>
                <w:color w:val="000000"/>
                <w:sz w:val="16"/>
                <w:szCs w:val="16"/>
              </w:rPr>
            </w:pPr>
            <w:r w:rsidRPr="002D11BF">
              <w:rPr>
                <w:b/>
                <w:bCs/>
                <w:color w:val="000000"/>
                <w:sz w:val="16"/>
                <w:szCs w:val="16"/>
              </w:rPr>
              <w:t>Variable</w:t>
            </w:r>
          </w:p>
        </w:tc>
        <w:tc>
          <w:tcPr>
            <w:tcW w:w="633" w:type="pct"/>
            <w:tcBorders>
              <w:top w:val="single" w:sz="8" w:space="0" w:color="auto"/>
              <w:left w:val="nil"/>
              <w:bottom w:val="single" w:sz="6" w:space="0" w:color="auto"/>
              <w:right w:val="nil"/>
            </w:tcBorders>
            <w:shd w:val="clear" w:color="000000" w:fill="FFFFFF"/>
            <w:noWrap/>
            <w:vAlign w:val="bottom"/>
            <w:hideMark/>
          </w:tcPr>
          <w:p w14:paraId="576D0574" w14:textId="77777777" w:rsidR="00485743" w:rsidRDefault="00485743" w:rsidP="00485743">
            <w:pPr>
              <w:snapToGrid w:val="0"/>
              <w:spacing w:after="0" w:line="240" w:lineRule="auto"/>
              <w:jc w:val="left"/>
              <w:rPr>
                <w:b/>
                <w:bCs/>
                <w:color w:val="000000"/>
                <w:sz w:val="16"/>
                <w:szCs w:val="16"/>
              </w:rPr>
            </w:pPr>
            <w:r>
              <w:rPr>
                <w:b/>
                <w:bCs/>
                <w:color w:val="000000"/>
                <w:sz w:val="16"/>
                <w:szCs w:val="16"/>
              </w:rPr>
              <w:t>Darlehen</w:t>
            </w:r>
          </w:p>
          <w:p w14:paraId="0C772616"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H1</w:t>
            </w:r>
          </w:p>
        </w:tc>
        <w:tc>
          <w:tcPr>
            <w:tcW w:w="633" w:type="pct"/>
            <w:tcBorders>
              <w:top w:val="single" w:sz="8" w:space="0" w:color="auto"/>
              <w:left w:val="nil"/>
              <w:bottom w:val="single" w:sz="6" w:space="0" w:color="auto"/>
              <w:right w:val="nil"/>
            </w:tcBorders>
            <w:shd w:val="clear" w:color="000000" w:fill="FFFFFF"/>
            <w:vAlign w:val="bottom"/>
          </w:tcPr>
          <w:p w14:paraId="51FCBF88" w14:textId="77777777" w:rsidR="00485743" w:rsidRDefault="00485743" w:rsidP="00485743">
            <w:pPr>
              <w:snapToGrid w:val="0"/>
              <w:spacing w:after="0" w:line="240" w:lineRule="auto"/>
              <w:jc w:val="left"/>
              <w:rPr>
                <w:b/>
                <w:bCs/>
                <w:color w:val="000000"/>
                <w:sz w:val="16"/>
                <w:szCs w:val="16"/>
              </w:rPr>
            </w:pPr>
            <w:r>
              <w:rPr>
                <w:b/>
                <w:bCs/>
                <w:color w:val="000000"/>
                <w:sz w:val="16"/>
                <w:szCs w:val="16"/>
              </w:rPr>
              <w:t>Flexible Schulden</w:t>
            </w:r>
          </w:p>
          <w:p w14:paraId="684C9E51"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H2</w:t>
            </w:r>
          </w:p>
        </w:tc>
        <w:tc>
          <w:tcPr>
            <w:tcW w:w="634" w:type="pct"/>
            <w:tcBorders>
              <w:top w:val="single" w:sz="8" w:space="0" w:color="auto"/>
              <w:left w:val="nil"/>
              <w:bottom w:val="single" w:sz="6" w:space="0" w:color="auto"/>
              <w:right w:val="nil"/>
            </w:tcBorders>
            <w:shd w:val="clear" w:color="000000" w:fill="FFFFFF"/>
            <w:vAlign w:val="bottom"/>
          </w:tcPr>
          <w:p w14:paraId="11C03E66" w14:textId="77777777" w:rsidR="00485743" w:rsidRDefault="00485743" w:rsidP="00485743">
            <w:pPr>
              <w:snapToGrid w:val="0"/>
              <w:spacing w:after="0" w:line="240" w:lineRule="auto"/>
              <w:jc w:val="left"/>
              <w:rPr>
                <w:b/>
                <w:bCs/>
                <w:color w:val="000000"/>
                <w:sz w:val="16"/>
                <w:szCs w:val="16"/>
              </w:rPr>
            </w:pPr>
            <w:r>
              <w:rPr>
                <w:b/>
                <w:bCs/>
                <w:color w:val="000000"/>
                <w:sz w:val="16"/>
                <w:szCs w:val="16"/>
              </w:rPr>
              <w:t>Lieferanten-kredite</w:t>
            </w:r>
          </w:p>
          <w:p w14:paraId="0518B93C" w14:textId="17268010" w:rsidR="00485743" w:rsidRPr="002D11BF" w:rsidRDefault="00485743" w:rsidP="00485743">
            <w:pPr>
              <w:snapToGrid w:val="0"/>
              <w:spacing w:after="0" w:line="240" w:lineRule="auto"/>
              <w:jc w:val="left"/>
              <w:rPr>
                <w:b/>
                <w:bCs/>
                <w:color w:val="000000"/>
                <w:sz w:val="16"/>
                <w:szCs w:val="16"/>
              </w:rPr>
            </w:pPr>
            <w:r>
              <w:rPr>
                <w:b/>
                <w:bCs/>
                <w:color w:val="000000"/>
                <w:sz w:val="16"/>
                <w:szCs w:val="16"/>
              </w:rPr>
              <w:t>H3</w:t>
            </w:r>
          </w:p>
        </w:tc>
        <w:tc>
          <w:tcPr>
            <w:tcW w:w="633" w:type="pct"/>
            <w:tcBorders>
              <w:top w:val="single" w:sz="8" w:space="0" w:color="auto"/>
              <w:left w:val="nil"/>
              <w:bottom w:val="single" w:sz="6" w:space="0" w:color="auto"/>
              <w:right w:val="nil"/>
            </w:tcBorders>
            <w:shd w:val="clear" w:color="000000" w:fill="FFFFFF"/>
            <w:vAlign w:val="bottom"/>
          </w:tcPr>
          <w:p w14:paraId="45D3CB43" w14:textId="77777777" w:rsidR="00485743" w:rsidRDefault="00485743" w:rsidP="00485743">
            <w:pPr>
              <w:snapToGrid w:val="0"/>
              <w:spacing w:after="0" w:line="240" w:lineRule="auto"/>
              <w:jc w:val="left"/>
              <w:rPr>
                <w:b/>
                <w:bCs/>
                <w:color w:val="000000"/>
                <w:sz w:val="16"/>
                <w:szCs w:val="16"/>
              </w:rPr>
            </w:pPr>
            <w:r>
              <w:rPr>
                <w:b/>
                <w:bCs/>
                <w:color w:val="000000"/>
                <w:sz w:val="16"/>
                <w:szCs w:val="16"/>
              </w:rPr>
              <w:t>Zuschüsse</w:t>
            </w:r>
          </w:p>
          <w:p w14:paraId="708DB07F" w14:textId="6929B190" w:rsidR="00485743" w:rsidRPr="002D11BF" w:rsidRDefault="00485743" w:rsidP="00485743">
            <w:pPr>
              <w:snapToGrid w:val="0"/>
              <w:spacing w:after="0" w:line="240" w:lineRule="auto"/>
              <w:jc w:val="left"/>
              <w:rPr>
                <w:b/>
                <w:bCs/>
                <w:color w:val="000000"/>
                <w:sz w:val="16"/>
                <w:szCs w:val="16"/>
              </w:rPr>
            </w:pPr>
            <w:r>
              <w:rPr>
                <w:b/>
                <w:bCs/>
                <w:color w:val="000000"/>
                <w:sz w:val="16"/>
                <w:szCs w:val="16"/>
              </w:rPr>
              <w:t>H4</w:t>
            </w:r>
          </w:p>
        </w:tc>
        <w:tc>
          <w:tcPr>
            <w:tcW w:w="633" w:type="pct"/>
            <w:tcBorders>
              <w:top w:val="single" w:sz="8" w:space="0" w:color="auto"/>
              <w:left w:val="nil"/>
              <w:bottom w:val="single" w:sz="6" w:space="0" w:color="auto"/>
              <w:right w:val="nil"/>
            </w:tcBorders>
            <w:shd w:val="clear" w:color="000000" w:fill="FFFFFF"/>
            <w:vAlign w:val="bottom"/>
          </w:tcPr>
          <w:p w14:paraId="06B8FC3D" w14:textId="77777777" w:rsidR="00485743" w:rsidRDefault="00485743" w:rsidP="00485743">
            <w:pPr>
              <w:snapToGrid w:val="0"/>
              <w:spacing w:after="0" w:line="240" w:lineRule="auto"/>
              <w:jc w:val="left"/>
              <w:rPr>
                <w:b/>
                <w:bCs/>
                <w:color w:val="000000"/>
                <w:sz w:val="16"/>
                <w:szCs w:val="16"/>
              </w:rPr>
            </w:pPr>
            <w:r>
              <w:rPr>
                <w:b/>
                <w:bCs/>
                <w:color w:val="000000"/>
                <w:sz w:val="16"/>
                <w:szCs w:val="16"/>
              </w:rPr>
              <w:t>Asset-   basiert</w:t>
            </w:r>
          </w:p>
          <w:p w14:paraId="01B16CA2"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H5</w:t>
            </w:r>
          </w:p>
        </w:tc>
        <w:tc>
          <w:tcPr>
            <w:tcW w:w="633" w:type="pct"/>
            <w:tcBorders>
              <w:top w:val="single" w:sz="8" w:space="0" w:color="auto"/>
              <w:left w:val="nil"/>
              <w:bottom w:val="single" w:sz="6" w:space="0" w:color="auto"/>
              <w:right w:val="nil"/>
            </w:tcBorders>
            <w:shd w:val="clear" w:color="000000" w:fill="FFFFFF"/>
            <w:vAlign w:val="bottom"/>
          </w:tcPr>
          <w:p w14:paraId="0EA1265F" w14:textId="77777777" w:rsidR="00485743" w:rsidRDefault="00485743" w:rsidP="00485743">
            <w:pPr>
              <w:snapToGrid w:val="0"/>
              <w:spacing w:after="0" w:line="240" w:lineRule="auto"/>
              <w:jc w:val="left"/>
              <w:rPr>
                <w:b/>
                <w:bCs/>
                <w:color w:val="000000"/>
                <w:sz w:val="16"/>
                <w:szCs w:val="16"/>
              </w:rPr>
            </w:pPr>
            <w:r>
              <w:rPr>
                <w:b/>
                <w:bCs/>
                <w:color w:val="000000"/>
                <w:sz w:val="16"/>
                <w:szCs w:val="16"/>
              </w:rPr>
              <w:t>Innen-finanzierung</w:t>
            </w:r>
          </w:p>
          <w:p w14:paraId="5749C1BC"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H6</w:t>
            </w:r>
          </w:p>
        </w:tc>
      </w:tr>
      <w:tr w:rsidR="00B22F24" w:rsidRPr="00FC4EB7" w14:paraId="4AE2D4EA" w14:textId="77777777" w:rsidTr="00103BF8">
        <w:trPr>
          <w:trHeight w:val="20"/>
          <w:jc w:val="center"/>
        </w:trPr>
        <w:tc>
          <w:tcPr>
            <w:tcW w:w="1201" w:type="pct"/>
            <w:tcBorders>
              <w:top w:val="nil"/>
              <w:left w:val="nil"/>
              <w:right w:val="nil"/>
            </w:tcBorders>
            <w:shd w:val="clear" w:color="000000" w:fill="FFFFFF"/>
          </w:tcPr>
          <w:p w14:paraId="0DF4A85A" w14:textId="77777777" w:rsidR="00B22F24" w:rsidRPr="00FC4EB7" w:rsidRDefault="00B22F24" w:rsidP="003B1C0E">
            <w:pPr>
              <w:snapToGrid w:val="0"/>
              <w:spacing w:before="40" w:after="40" w:line="240" w:lineRule="auto"/>
              <w:jc w:val="left"/>
              <w:rPr>
                <w:color w:val="000000"/>
                <w:sz w:val="16"/>
                <w:szCs w:val="16"/>
              </w:rPr>
            </w:pPr>
            <w:r>
              <w:rPr>
                <w:i/>
                <w:iCs/>
                <w:color w:val="000000"/>
                <w:sz w:val="16"/>
                <w:szCs w:val="16"/>
              </w:rPr>
              <w:t>Unabhängige Variablen</w:t>
            </w:r>
          </w:p>
        </w:tc>
        <w:tc>
          <w:tcPr>
            <w:tcW w:w="633" w:type="pct"/>
            <w:tcBorders>
              <w:top w:val="nil"/>
              <w:left w:val="nil"/>
              <w:right w:val="nil"/>
            </w:tcBorders>
            <w:shd w:val="clear" w:color="000000" w:fill="FFFFFF"/>
          </w:tcPr>
          <w:p w14:paraId="7DEB401C"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left w:val="nil"/>
              <w:right w:val="nil"/>
            </w:tcBorders>
            <w:shd w:val="clear" w:color="000000" w:fill="FFFFFF"/>
          </w:tcPr>
          <w:p w14:paraId="450773F3" w14:textId="77777777" w:rsidR="00B22F24" w:rsidRPr="00FC4EB7" w:rsidRDefault="00B22F24" w:rsidP="003B1C0E">
            <w:pPr>
              <w:snapToGrid w:val="0"/>
              <w:spacing w:before="40" w:after="40" w:line="240" w:lineRule="auto"/>
              <w:jc w:val="left"/>
              <w:rPr>
                <w:color w:val="000000"/>
                <w:sz w:val="16"/>
                <w:szCs w:val="16"/>
              </w:rPr>
            </w:pPr>
          </w:p>
        </w:tc>
        <w:tc>
          <w:tcPr>
            <w:tcW w:w="634" w:type="pct"/>
            <w:tcBorders>
              <w:top w:val="nil"/>
              <w:left w:val="nil"/>
              <w:right w:val="nil"/>
            </w:tcBorders>
            <w:shd w:val="clear" w:color="000000" w:fill="FFFFFF"/>
          </w:tcPr>
          <w:p w14:paraId="49F7FBD5"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left w:val="nil"/>
              <w:right w:val="nil"/>
            </w:tcBorders>
            <w:shd w:val="clear" w:color="000000" w:fill="FFFFFF"/>
          </w:tcPr>
          <w:p w14:paraId="4984E9F4"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left w:val="nil"/>
              <w:right w:val="nil"/>
            </w:tcBorders>
            <w:shd w:val="clear" w:color="000000" w:fill="FFFFFF"/>
          </w:tcPr>
          <w:p w14:paraId="0B100BBD"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left w:val="nil"/>
              <w:right w:val="nil"/>
            </w:tcBorders>
            <w:shd w:val="clear" w:color="000000" w:fill="FFFFFF"/>
          </w:tcPr>
          <w:p w14:paraId="019EF9D3" w14:textId="77777777" w:rsidR="00B22F24" w:rsidRPr="00FC4EB7" w:rsidRDefault="00B22F24" w:rsidP="003B1C0E">
            <w:pPr>
              <w:snapToGrid w:val="0"/>
              <w:spacing w:before="40" w:after="40" w:line="240" w:lineRule="auto"/>
              <w:jc w:val="left"/>
              <w:rPr>
                <w:color w:val="000000"/>
                <w:sz w:val="16"/>
                <w:szCs w:val="16"/>
              </w:rPr>
            </w:pPr>
          </w:p>
        </w:tc>
      </w:tr>
      <w:tr w:rsidR="00B22F24" w:rsidRPr="00FC4EB7" w14:paraId="3B1F6080" w14:textId="77777777" w:rsidTr="00103BF8">
        <w:trPr>
          <w:trHeight w:val="20"/>
          <w:jc w:val="center"/>
        </w:trPr>
        <w:tc>
          <w:tcPr>
            <w:tcW w:w="1201" w:type="pct"/>
            <w:tcBorders>
              <w:top w:val="nil"/>
              <w:left w:val="nil"/>
            </w:tcBorders>
            <w:shd w:val="clear" w:color="000000" w:fill="FFFFFF"/>
          </w:tcPr>
          <w:p w14:paraId="7B0EF6DD" w14:textId="77777777" w:rsidR="00B22F24" w:rsidRPr="00F906E9" w:rsidRDefault="00B22F24" w:rsidP="003B1C0E">
            <w:pPr>
              <w:snapToGrid w:val="0"/>
              <w:spacing w:before="40" w:after="40" w:line="240" w:lineRule="auto"/>
              <w:jc w:val="left"/>
              <w:rPr>
                <w:b/>
                <w:bCs/>
                <w:color w:val="000000"/>
                <w:sz w:val="16"/>
                <w:szCs w:val="16"/>
              </w:rPr>
            </w:pPr>
            <w:r w:rsidRPr="00F906E9">
              <w:rPr>
                <w:b/>
                <w:bCs/>
                <w:color w:val="000000"/>
                <w:sz w:val="16"/>
                <w:szCs w:val="16"/>
              </w:rPr>
              <w:t>Unternehmensgröße</w:t>
            </w:r>
          </w:p>
        </w:tc>
        <w:tc>
          <w:tcPr>
            <w:tcW w:w="633" w:type="pct"/>
            <w:tcBorders>
              <w:top w:val="nil"/>
              <w:right w:val="nil"/>
            </w:tcBorders>
            <w:shd w:val="clear" w:color="000000" w:fill="FFFFFF"/>
            <w:noWrap/>
          </w:tcPr>
          <w:p w14:paraId="08216A22"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right w:val="nil"/>
            </w:tcBorders>
            <w:shd w:val="clear" w:color="000000" w:fill="FFFFFF"/>
          </w:tcPr>
          <w:p w14:paraId="04F158EC" w14:textId="77777777" w:rsidR="00B22F24" w:rsidRPr="00FC4EB7" w:rsidRDefault="00B22F24" w:rsidP="003B1C0E">
            <w:pPr>
              <w:snapToGrid w:val="0"/>
              <w:spacing w:before="40" w:after="40" w:line="240" w:lineRule="auto"/>
              <w:jc w:val="left"/>
              <w:rPr>
                <w:color w:val="000000"/>
                <w:sz w:val="16"/>
                <w:szCs w:val="16"/>
              </w:rPr>
            </w:pPr>
          </w:p>
        </w:tc>
        <w:tc>
          <w:tcPr>
            <w:tcW w:w="634" w:type="pct"/>
            <w:tcBorders>
              <w:top w:val="nil"/>
              <w:right w:val="nil"/>
            </w:tcBorders>
            <w:shd w:val="clear" w:color="000000" w:fill="FFFFFF"/>
          </w:tcPr>
          <w:p w14:paraId="39ECFC8C"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right w:val="nil"/>
            </w:tcBorders>
            <w:shd w:val="clear" w:color="000000" w:fill="FFFFFF"/>
          </w:tcPr>
          <w:p w14:paraId="53A16425"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right w:val="nil"/>
            </w:tcBorders>
            <w:shd w:val="clear" w:color="000000" w:fill="FFFFFF"/>
          </w:tcPr>
          <w:p w14:paraId="718BBEBF"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left w:val="nil"/>
              <w:right w:val="nil"/>
            </w:tcBorders>
            <w:shd w:val="clear" w:color="000000" w:fill="FFFFFF"/>
          </w:tcPr>
          <w:p w14:paraId="1921A764" w14:textId="77777777" w:rsidR="00B22F24" w:rsidRPr="00FC4EB7" w:rsidRDefault="00B22F24" w:rsidP="003B1C0E">
            <w:pPr>
              <w:snapToGrid w:val="0"/>
              <w:spacing w:before="40" w:after="40" w:line="240" w:lineRule="auto"/>
              <w:jc w:val="left"/>
              <w:rPr>
                <w:color w:val="000000"/>
                <w:sz w:val="16"/>
                <w:szCs w:val="16"/>
              </w:rPr>
            </w:pPr>
          </w:p>
        </w:tc>
      </w:tr>
      <w:tr w:rsidR="003E7080" w:rsidRPr="00FC4EB7" w14:paraId="53DF38D1" w14:textId="77777777" w:rsidTr="00005CD2">
        <w:trPr>
          <w:trHeight w:val="20"/>
          <w:jc w:val="center"/>
        </w:trPr>
        <w:tc>
          <w:tcPr>
            <w:tcW w:w="1201" w:type="pct"/>
            <w:tcBorders>
              <w:top w:val="nil"/>
              <w:left w:val="nil"/>
            </w:tcBorders>
            <w:shd w:val="clear" w:color="000000" w:fill="FFFFFF"/>
          </w:tcPr>
          <w:p w14:paraId="3DC5D8AE" w14:textId="1928F512" w:rsidR="003E7080" w:rsidRPr="00FC4EB7" w:rsidRDefault="005572F3" w:rsidP="001A4E15">
            <w:pPr>
              <w:pStyle w:val="Listenabsatz"/>
              <w:numPr>
                <w:ilvl w:val="0"/>
                <w:numId w:val="10"/>
              </w:numPr>
              <w:snapToGrid w:val="0"/>
              <w:spacing w:before="40" w:after="40" w:line="240" w:lineRule="auto"/>
              <w:ind w:left="142" w:hanging="142"/>
              <w:jc w:val="left"/>
              <w:rPr>
                <w:color w:val="000000"/>
                <w:sz w:val="16"/>
                <w:szCs w:val="16"/>
              </w:rPr>
            </w:pPr>
            <w:r w:rsidRPr="00FC4EB7">
              <w:rPr>
                <w:color w:val="000000"/>
                <w:sz w:val="16"/>
                <w:szCs w:val="16"/>
              </w:rPr>
              <w:t>Kleinstunternehmen</w:t>
            </w:r>
          </w:p>
        </w:tc>
        <w:tc>
          <w:tcPr>
            <w:tcW w:w="633" w:type="pct"/>
            <w:tcBorders>
              <w:top w:val="nil"/>
              <w:right w:val="nil"/>
            </w:tcBorders>
            <w:shd w:val="clear" w:color="000000" w:fill="FFFFFF"/>
            <w:noWrap/>
          </w:tcPr>
          <w:p w14:paraId="6A165E4E" w14:textId="251E759F"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-0,754***</w:t>
            </w:r>
            <w:r w:rsidRPr="00005CD2">
              <w:rPr>
                <w:rFonts w:cs="Times New Roman"/>
                <w:sz w:val="16"/>
                <w:szCs w:val="16"/>
              </w:rPr>
              <w:br/>
              <w:t>(0,088)</w:t>
            </w:r>
          </w:p>
        </w:tc>
        <w:tc>
          <w:tcPr>
            <w:tcW w:w="633" w:type="pct"/>
            <w:tcBorders>
              <w:top w:val="nil"/>
              <w:right w:val="nil"/>
            </w:tcBorders>
            <w:shd w:val="clear" w:color="000000" w:fill="FFFFFF"/>
          </w:tcPr>
          <w:p w14:paraId="772CC108" w14:textId="08ACCC23"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0,592***</w:t>
            </w:r>
            <w:r w:rsidRPr="00005CD2">
              <w:rPr>
                <w:rFonts w:cs="Times New Roman"/>
                <w:sz w:val="16"/>
                <w:szCs w:val="16"/>
              </w:rPr>
              <w:br/>
              <w:t>(0,088)</w:t>
            </w:r>
          </w:p>
        </w:tc>
        <w:tc>
          <w:tcPr>
            <w:tcW w:w="634" w:type="pct"/>
            <w:tcBorders>
              <w:top w:val="nil"/>
              <w:right w:val="nil"/>
            </w:tcBorders>
            <w:shd w:val="clear" w:color="000000" w:fill="FFFFFF"/>
          </w:tcPr>
          <w:p w14:paraId="0AF642ED" w14:textId="59A47620"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-0,443***</w:t>
            </w:r>
            <w:r w:rsidRPr="00005CD2">
              <w:rPr>
                <w:rFonts w:cs="Times New Roman"/>
                <w:sz w:val="16"/>
                <w:szCs w:val="16"/>
              </w:rPr>
              <w:br/>
              <w:t>(0,088)</w:t>
            </w:r>
          </w:p>
        </w:tc>
        <w:tc>
          <w:tcPr>
            <w:tcW w:w="633" w:type="pct"/>
            <w:tcBorders>
              <w:top w:val="nil"/>
              <w:right w:val="nil"/>
            </w:tcBorders>
            <w:shd w:val="clear" w:color="000000" w:fill="FFFFFF"/>
          </w:tcPr>
          <w:p w14:paraId="24722AAF" w14:textId="69355C04"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-0,845***</w:t>
            </w:r>
            <w:r w:rsidRPr="00005CD2">
              <w:rPr>
                <w:rFonts w:cs="Times New Roman"/>
                <w:sz w:val="16"/>
                <w:szCs w:val="16"/>
              </w:rPr>
              <w:br/>
              <w:t>(0,101)</w:t>
            </w:r>
          </w:p>
        </w:tc>
        <w:tc>
          <w:tcPr>
            <w:tcW w:w="633" w:type="pct"/>
            <w:tcBorders>
              <w:top w:val="nil"/>
              <w:right w:val="nil"/>
            </w:tcBorders>
            <w:shd w:val="clear" w:color="000000" w:fill="FFFFFF"/>
          </w:tcPr>
          <w:p w14:paraId="4ADC31F9" w14:textId="16B7DA0D"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-0,456***</w:t>
            </w:r>
            <w:r w:rsidRPr="00005CD2">
              <w:rPr>
                <w:rFonts w:cs="Times New Roman"/>
                <w:sz w:val="16"/>
                <w:szCs w:val="16"/>
              </w:rPr>
              <w:br/>
              <w:t>(0,081)</w:t>
            </w:r>
          </w:p>
        </w:tc>
        <w:tc>
          <w:tcPr>
            <w:tcW w:w="633" w:type="pct"/>
            <w:tcBorders>
              <w:top w:val="nil"/>
              <w:left w:val="nil"/>
              <w:right w:val="nil"/>
            </w:tcBorders>
            <w:shd w:val="clear" w:color="000000" w:fill="FFFFFF"/>
          </w:tcPr>
          <w:p w14:paraId="7C75F259" w14:textId="57AF87A9"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1,178***</w:t>
            </w:r>
            <w:r w:rsidRPr="00005CD2">
              <w:rPr>
                <w:rFonts w:cs="Times New Roman"/>
                <w:sz w:val="16"/>
                <w:szCs w:val="16"/>
              </w:rPr>
              <w:br/>
              <w:t>(0,057)</w:t>
            </w:r>
          </w:p>
        </w:tc>
      </w:tr>
      <w:tr w:rsidR="003E7080" w:rsidRPr="00A2275F" w14:paraId="4BCA34A6" w14:textId="77777777" w:rsidTr="00005CD2">
        <w:trPr>
          <w:trHeight w:val="20"/>
          <w:jc w:val="center"/>
        </w:trPr>
        <w:tc>
          <w:tcPr>
            <w:tcW w:w="1201" w:type="pct"/>
            <w:tcBorders>
              <w:top w:val="nil"/>
              <w:left w:val="nil"/>
            </w:tcBorders>
            <w:shd w:val="clear" w:color="000000" w:fill="FFFFFF"/>
          </w:tcPr>
          <w:p w14:paraId="359386C3" w14:textId="77777777" w:rsidR="003E7080" w:rsidRPr="00FC4EB7" w:rsidRDefault="003E7080" w:rsidP="001A4E15">
            <w:pPr>
              <w:pStyle w:val="Listenabsatz"/>
              <w:numPr>
                <w:ilvl w:val="0"/>
                <w:numId w:val="10"/>
              </w:numPr>
              <w:snapToGrid w:val="0"/>
              <w:spacing w:before="40" w:after="40" w:line="240" w:lineRule="auto"/>
              <w:ind w:left="142" w:hanging="142"/>
              <w:jc w:val="left"/>
              <w:rPr>
                <w:color w:val="000000"/>
                <w:sz w:val="16"/>
                <w:szCs w:val="16"/>
              </w:rPr>
            </w:pPr>
            <w:r w:rsidRPr="00FC4EB7">
              <w:rPr>
                <w:color w:val="000000"/>
                <w:sz w:val="16"/>
                <w:szCs w:val="16"/>
              </w:rPr>
              <w:t>Kleine Unternehmen</w:t>
            </w:r>
          </w:p>
        </w:tc>
        <w:tc>
          <w:tcPr>
            <w:tcW w:w="633" w:type="pct"/>
            <w:tcBorders>
              <w:top w:val="nil"/>
              <w:right w:val="nil"/>
            </w:tcBorders>
            <w:shd w:val="clear" w:color="000000" w:fill="FFFFFF"/>
            <w:noWrap/>
          </w:tcPr>
          <w:p w14:paraId="77A5C2B3" w14:textId="51FA4373"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-0,243***</w:t>
            </w:r>
            <w:r w:rsidRPr="00005CD2">
              <w:rPr>
                <w:rFonts w:cs="Times New Roman"/>
                <w:sz w:val="16"/>
                <w:szCs w:val="16"/>
              </w:rPr>
              <w:br/>
              <w:t>(0,079)</w:t>
            </w:r>
          </w:p>
        </w:tc>
        <w:tc>
          <w:tcPr>
            <w:tcW w:w="633" w:type="pct"/>
            <w:tcBorders>
              <w:top w:val="nil"/>
              <w:right w:val="nil"/>
            </w:tcBorders>
            <w:shd w:val="clear" w:color="000000" w:fill="FFFFFF"/>
          </w:tcPr>
          <w:p w14:paraId="2D2B4164" w14:textId="3134BAD1"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0,231***</w:t>
            </w:r>
            <w:r w:rsidRPr="00005CD2">
              <w:rPr>
                <w:rFonts w:cs="Times New Roman"/>
                <w:sz w:val="16"/>
                <w:szCs w:val="16"/>
              </w:rPr>
              <w:br/>
              <w:t>(0,088)</w:t>
            </w:r>
          </w:p>
        </w:tc>
        <w:tc>
          <w:tcPr>
            <w:tcW w:w="634" w:type="pct"/>
            <w:tcBorders>
              <w:top w:val="nil"/>
              <w:right w:val="nil"/>
            </w:tcBorders>
            <w:shd w:val="clear" w:color="000000" w:fill="FFFFFF"/>
          </w:tcPr>
          <w:p w14:paraId="6F78769C" w14:textId="6FBCF1AC"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-0,220***</w:t>
            </w:r>
            <w:r w:rsidRPr="00005CD2">
              <w:rPr>
                <w:rFonts w:cs="Times New Roman"/>
                <w:sz w:val="16"/>
                <w:szCs w:val="16"/>
              </w:rPr>
              <w:br/>
              <w:t>(0,084)</w:t>
            </w:r>
          </w:p>
        </w:tc>
        <w:tc>
          <w:tcPr>
            <w:tcW w:w="633" w:type="pct"/>
            <w:tcBorders>
              <w:top w:val="nil"/>
              <w:right w:val="nil"/>
            </w:tcBorders>
            <w:shd w:val="clear" w:color="000000" w:fill="FFFFFF"/>
          </w:tcPr>
          <w:p w14:paraId="7B6B4457" w14:textId="3F973353"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-0,398***</w:t>
            </w:r>
            <w:r w:rsidRPr="00005CD2">
              <w:rPr>
                <w:rFonts w:cs="Times New Roman"/>
                <w:sz w:val="16"/>
                <w:szCs w:val="16"/>
              </w:rPr>
              <w:br/>
              <w:t>(0,087)</w:t>
            </w:r>
          </w:p>
        </w:tc>
        <w:tc>
          <w:tcPr>
            <w:tcW w:w="633" w:type="pct"/>
            <w:tcBorders>
              <w:top w:val="nil"/>
              <w:right w:val="nil"/>
            </w:tcBorders>
            <w:shd w:val="clear" w:color="000000" w:fill="FFFFFF"/>
          </w:tcPr>
          <w:p w14:paraId="5D29BF9B" w14:textId="514E3E28"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0,004</w:t>
            </w:r>
            <w:r w:rsidRPr="00005CD2">
              <w:rPr>
                <w:rFonts w:cs="Times New Roman"/>
                <w:sz w:val="16"/>
                <w:szCs w:val="16"/>
              </w:rPr>
              <w:br/>
              <w:t>(0,071)</w:t>
            </w:r>
          </w:p>
        </w:tc>
        <w:tc>
          <w:tcPr>
            <w:tcW w:w="633" w:type="pct"/>
            <w:tcBorders>
              <w:top w:val="nil"/>
              <w:left w:val="nil"/>
              <w:right w:val="nil"/>
            </w:tcBorders>
            <w:shd w:val="clear" w:color="000000" w:fill="FFFFFF"/>
          </w:tcPr>
          <w:p w14:paraId="25A87CD8" w14:textId="1C65AF96"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0,599***</w:t>
            </w:r>
            <w:r w:rsidRPr="00005CD2">
              <w:rPr>
                <w:rFonts w:cs="Times New Roman"/>
                <w:sz w:val="16"/>
                <w:szCs w:val="16"/>
              </w:rPr>
              <w:br/>
              <w:t>(0,057)</w:t>
            </w:r>
          </w:p>
        </w:tc>
      </w:tr>
      <w:tr w:rsidR="003E7080" w:rsidRPr="00A2275F" w14:paraId="2E81C65D" w14:textId="77777777" w:rsidTr="00005CD2">
        <w:trPr>
          <w:trHeight w:val="20"/>
          <w:jc w:val="center"/>
        </w:trPr>
        <w:tc>
          <w:tcPr>
            <w:tcW w:w="1201" w:type="pct"/>
            <w:tcBorders>
              <w:left w:val="nil"/>
              <w:bottom w:val="dotted" w:sz="4" w:space="0" w:color="auto"/>
            </w:tcBorders>
            <w:shd w:val="clear" w:color="000000" w:fill="FFFFFF"/>
          </w:tcPr>
          <w:p w14:paraId="27529767" w14:textId="77777777" w:rsidR="003E7080" w:rsidRPr="00FC4EB7" w:rsidRDefault="003E7080" w:rsidP="001A4E15">
            <w:pPr>
              <w:pStyle w:val="Listenabsatz"/>
              <w:numPr>
                <w:ilvl w:val="0"/>
                <w:numId w:val="10"/>
              </w:numPr>
              <w:snapToGrid w:val="0"/>
              <w:spacing w:before="40" w:after="40" w:line="240" w:lineRule="auto"/>
              <w:ind w:left="142" w:hanging="142"/>
              <w:jc w:val="left"/>
              <w:rPr>
                <w:color w:val="000000"/>
                <w:sz w:val="16"/>
                <w:szCs w:val="16"/>
              </w:rPr>
            </w:pPr>
            <w:r w:rsidRPr="00FC4EB7">
              <w:rPr>
                <w:color w:val="000000"/>
                <w:sz w:val="16"/>
                <w:szCs w:val="16"/>
              </w:rPr>
              <w:t>Mittlere Unternehmen</w:t>
            </w:r>
            <w:r>
              <w:rPr>
                <w:color w:val="000000"/>
                <w:sz w:val="16"/>
                <w:szCs w:val="16"/>
              </w:rPr>
              <w:t xml:space="preserve"> (Referenzgruppe)</w:t>
            </w:r>
          </w:p>
        </w:tc>
        <w:tc>
          <w:tcPr>
            <w:tcW w:w="633" w:type="pct"/>
            <w:tcBorders>
              <w:bottom w:val="dotted" w:sz="4" w:space="0" w:color="auto"/>
              <w:right w:val="nil"/>
            </w:tcBorders>
            <w:shd w:val="clear" w:color="000000" w:fill="FFFFFF"/>
            <w:noWrap/>
          </w:tcPr>
          <w:p w14:paraId="26870EC1"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bottom w:val="dotted" w:sz="4" w:space="0" w:color="auto"/>
              <w:right w:val="nil"/>
            </w:tcBorders>
            <w:shd w:val="clear" w:color="000000" w:fill="FFFFFF"/>
          </w:tcPr>
          <w:p w14:paraId="264DCEC4" w14:textId="77777777" w:rsidR="003E7080" w:rsidRPr="00005CD2" w:rsidRDefault="003E7080" w:rsidP="003E7080">
            <w:pPr>
              <w:snapToGrid w:val="0"/>
              <w:spacing w:before="40" w:after="40" w:line="240" w:lineRule="auto"/>
              <w:jc w:val="left"/>
              <w:rPr>
                <w:rFonts w:cs="Times New Roman"/>
                <w:sz w:val="16"/>
                <w:szCs w:val="16"/>
              </w:rPr>
            </w:pPr>
          </w:p>
        </w:tc>
        <w:tc>
          <w:tcPr>
            <w:tcW w:w="634" w:type="pct"/>
            <w:tcBorders>
              <w:bottom w:val="dotted" w:sz="4" w:space="0" w:color="auto"/>
              <w:right w:val="nil"/>
            </w:tcBorders>
            <w:shd w:val="clear" w:color="000000" w:fill="FFFFFF"/>
          </w:tcPr>
          <w:p w14:paraId="12020814"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bottom w:val="dotted" w:sz="4" w:space="0" w:color="auto"/>
              <w:right w:val="nil"/>
            </w:tcBorders>
            <w:shd w:val="clear" w:color="000000" w:fill="FFFFFF"/>
          </w:tcPr>
          <w:p w14:paraId="72FC96B1"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bottom w:val="dotted" w:sz="4" w:space="0" w:color="auto"/>
              <w:right w:val="nil"/>
            </w:tcBorders>
            <w:shd w:val="clear" w:color="000000" w:fill="FFFFFF"/>
          </w:tcPr>
          <w:p w14:paraId="5F2E03AD"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left w:val="nil"/>
              <w:bottom w:val="dotted" w:sz="4" w:space="0" w:color="auto"/>
              <w:right w:val="nil"/>
            </w:tcBorders>
            <w:shd w:val="clear" w:color="000000" w:fill="FFFFFF"/>
          </w:tcPr>
          <w:p w14:paraId="034FFBF6" w14:textId="77777777" w:rsidR="003E7080" w:rsidRPr="00005CD2" w:rsidRDefault="003E7080" w:rsidP="003E7080">
            <w:pPr>
              <w:snapToGrid w:val="0"/>
              <w:spacing w:before="40" w:after="40" w:line="240" w:lineRule="auto"/>
              <w:jc w:val="left"/>
              <w:rPr>
                <w:rFonts w:cs="Times New Roman"/>
                <w:sz w:val="16"/>
                <w:szCs w:val="16"/>
              </w:rPr>
            </w:pPr>
          </w:p>
        </w:tc>
      </w:tr>
      <w:tr w:rsidR="003E7080" w:rsidRPr="00FC4EB7" w14:paraId="61E3A76E" w14:textId="77777777" w:rsidTr="00005CD2">
        <w:trPr>
          <w:trHeight w:val="20"/>
          <w:jc w:val="center"/>
        </w:trPr>
        <w:tc>
          <w:tcPr>
            <w:tcW w:w="1201" w:type="pct"/>
            <w:tcBorders>
              <w:left w:val="nil"/>
              <w:bottom w:val="dotted" w:sz="4" w:space="0" w:color="auto"/>
            </w:tcBorders>
            <w:shd w:val="clear" w:color="000000" w:fill="FFFFFF"/>
          </w:tcPr>
          <w:p w14:paraId="43A3A7E4" w14:textId="77777777" w:rsidR="003E7080" w:rsidRPr="00F906E9" w:rsidRDefault="003E7080" w:rsidP="003E7080">
            <w:pPr>
              <w:snapToGrid w:val="0"/>
              <w:spacing w:before="40" w:after="40" w:line="240" w:lineRule="auto"/>
              <w:jc w:val="left"/>
              <w:rPr>
                <w:i/>
                <w:iCs/>
                <w:color w:val="000000"/>
                <w:sz w:val="16"/>
                <w:szCs w:val="16"/>
              </w:rPr>
            </w:pPr>
            <w:r w:rsidRPr="00F906E9">
              <w:rPr>
                <w:i/>
                <w:iCs/>
                <w:color w:val="000000"/>
                <w:sz w:val="16"/>
                <w:szCs w:val="16"/>
              </w:rPr>
              <w:t>Ergebnisse des t-Tests</w:t>
            </w:r>
          </w:p>
        </w:tc>
        <w:tc>
          <w:tcPr>
            <w:tcW w:w="633" w:type="pct"/>
            <w:tcBorders>
              <w:bottom w:val="dotted" w:sz="4" w:space="0" w:color="auto"/>
              <w:right w:val="nil"/>
            </w:tcBorders>
            <w:shd w:val="clear" w:color="000000" w:fill="FFFFFF"/>
            <w:noWrap/>
          </w:tcPr>
          <w:p w14:paraId="786CB8F5" w14:textId="0A92F629"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p &lt; 0,01</w:t>
            </w:r>
          </w:p>
        </w:tc>
        <w:tc>
          <w:tcPr>
            <w:tcW w:w="633" w:type="pct"/>
            <w:tcBorders>
              <w:bottom w:val="dotted" w:sz="4" w:space="0" w:color="auto"/>
              <w:right w:val="nil"/>
            </w:tcBorders>
            <w:shd w:val="clear" w:color="000000" w:fill="FFFFFF"/>
          </w:tcPr>
          <w:p w14:paraId="7E0074C1" w14:textId="5F0211DB"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p &lt; 0,01</w:t>
            </w:r>
          </w:p>
        </w:tc>
        <w:tc>
          <w:tcPr>
            <w:tcW w:w="634" w:type="pct"/>
            <w:tcBorders>
              <w:bottom w:val="dotted" w:sz="4" w:space="0" w:color="auto"/>
              <w:right w:val="nil"/>
            </w:tcBorders>
            <w:shd w:val="clear" w:color="000000" w:fill="FFFFFF"/>
          </w:tcPr>
          <w:p w14:paraId="728C03BA" w14:textId="2840AE33"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p &lt; 0,0</w:t>
            </w:r>
            <w:r>
              <w:rPr>
                <w:rFonts w:cs="Times New Roman"/>
                <w:sz w:val="16"/>
                <w:szCs w:val="16"/>
              </w:rPr>
              <w:t>1</w:t>
            </w:r>
          </w:p>
        </w:tc>
        <w:tc>
          <w:tcPr>
            <w:tcW w:w="633" w:type="pct"/>
            <w:tcBorders>
              <w:bottom w:val="dotted" w:sz="4" w:space="0" w:color="auto"/>
              <w:right w:val="nil"/>
            </w:tcBorders>
            <w:shd w:val="clear" w:color="000000" w:fill="FFFFFF"/>
          </w:tcPr>
          <w:p w14:paraId="0077DAE7" w14:textId="630BDBC0"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p &lt; 0,01</w:t>
            </w:r>
          </w:p>
        </w:tc>
        <w:tc>
          <w:tcPr>
            <w:tcW w:w="633" w:type="pct"/>
            <w:tcBorders>
              <w:bottom w:val="dotted" w:sz="4" w:space="0" w:color="auto"/>
              <w:right w:val="nil"/>
            </w:tcBorders>
            <w:shd w:val="clear" w:color="000000" w:fill="FFFFFF"/>
          </w:tcPr>
          <w:p w14:paraId="11158BCA" w14:textId="160D0CA7"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p &lt; 0,01</w:t>
            </w:r>
          </w:p>
        </w:tc>
        <w:tc>
          <w:tcPr>
            <w:tcW w:w="633" w:type="pct"/>
            <w:tcBorders>
              <w:left w:val="nil"/>
              <w:bottom w:val="dotted" w:sz="4" w:space="0" w:color="auto"/>
              <w:right w:val="nil"/>
            </w:tcBorders>
            <w:shd w:val="clear" w:color="000000" w:fill="FFFFFF"/>
          </w:tcPr>
          <w:p w14:paraId="02A07CE2" w14:textId="78F02A6D"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p &lt; 0,01</w:t>
            </w:r>
          </w:p>
        </w:tc>
      </w:tr>
      <w:tr w:rsidR="003E7080" w:rsidRPr="00FC4EB7" w14:paraId="5656850E" w14:textId="77777777" w:rsidTr="00005CD2">
        <w:trPr>
          <w:trHeight w:val="20"/>
          <w:jc w:val="center"/>
        </w:trPr>
        <w:tc>
          <w:tcPr>
            <w:tcW w:w="1201" w:type="pct"/>
            <w:tcBorders>
              <w:top w:val="nil"/>
              <w:left w:val="nil"/>
              <w:right w:val="nil"/>
            </w:tcBorders>
            <w:shd w:val="clear" w:color="000000" w:fill="FFFFFF"/>
          </w:tcPr>
          <w:p w14:paraId="759B076E" w14:textId="77777777" w:rsidR="003E7080" w:rsidRPr="00FC4EB7" w:rsidRDefault="003E7080" w:rsidP="003E7080">
            <w:pPr>
              <w:snapToGrid w:val="0"/>
              <w:spacing w:before="40" w:after="40" w:line="240" w:lineRule="auto"/>
              <w:jc w:val="left"/>
              <w:rPr>
                <w:i/>
                <w:iCs/>
                <w:color w:val="000000"/>
                <w:sz w:val="16"/>
                <w:szCs w:val="16"/>
              </w:rPr>
            </w:pPr>
            <w:r w:rsidRPr="00FC4EB7">
              <w:rPr>
                <w:i/>
                <w:iCs/>
                <w:color w:val="000000"/>
                <w:sz w:val="16"/>
                <w:szCs w:val="16"/>
              </w:rPr>
              <w:t>Kontrollvariablen</w:t>
            </w:r>
          </w:p>
        </w:tc>
        <w:tc>
          <w:tcPr>
            <w:tcW w:w="633" w:type="pct"/>
            <w:tcBorders>
              <w:top w:val="nil"/>
              <w:left w:val="nil"/>
              <w:right w:val="nil"/>
            </w:tcBorders>
            <w:shd w:val="clear" w:color="000000" w:fill="FFFFFF"/>
            <w:noWrap/>
          </w:tcPr>
          <w:p w14:paraId="577905AA"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58DB2A97" w14:textId="77777777" w:rsidR="003E7080" w:rsidRPr="00005CD2" w:rsidRDefault="003E7080" w:rsidP="003E7080">
            <w:pPr>
              <w:snapToGrid w:val="0"/>
              <w:spacing w:before="40" w:after="40" w:line="240" w:lineRule="auto"/>
              <w:jc w:val="left"/>
              <w:rPr>
                <w:rFonts w:cs="Times New Roman"/>
                <w:sz w:val="16"/>
                <w:szCs w:val="16"/>
              </w:rPr>
            </w:pPr>
          </w:p>
        </w:tc>
        <w:tc>
          <w:tcPr>
            <w:tcW w:w="634" w:type="pct"/>
            <w:tcBorders>
              <w:top w:val="nil"/>
              <w:left w:val="nil"/>
              <w:right w:val="nil"/>
            </w:tcBorders>
            <w:shd w:val="clear" w:color="000000" w:fill="FFFFFF"/>
          </w:tcPr>
          <w:p w14:paraId="6AFDC8E8"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25115542"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25008AE3"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20DCEC00" w14:textId="77777777" w:rsidR="003E7080" w:rsidRPr="00005CD2" w:rsidRDefault="003E7080" w:rsidP="003E7080">
            <w:pPr>
              <w:snapToGrid w:val="0"/>
              <w:spacing w:before="40" w:after="40" w:line="240" w:lineRule="auto"/>
              <w:jc w:val="left"/>
              <w:rPr>
                <w:rFonts w:cs="Times New Roman"/>
                <w:sz w:val="16"/>
                <w:szCs w:val="16"/>
              </w:rPr>
            </w:pPr>
          </w:p>
        </w:tc>
      </w:tr>
      <w:tr w:rsidR="003E7080" w:rsidRPr="00FC4EB7" w14:paraId="74F209A6" w14:textId="77777777" w:rsidTr="00005CD2">
        <w:trPr>
          <w:trHeight w:val="20"/>
          <w:jc w:val="center"/>
        </w:trPr>
        <w:tc>
          <w:tcPr>
            <w:tcW w:w="1201" w:type="pct"/>
            <w:tcBorders>
              <w:top w:val="nil"/>
              <w:left w:val="nil"/>
            </w:tcBorders>
            <w:shd w:val="clear" w:color="000000" w:fill="FFFFFF"/>
          </w:tcPr>
          <w:p w14:paraId="503B47BF" w14:textId="77777777" w:rsidR="003E7080" w:rsidRPr="00F906E9" w:rsidRDefault="003E7080" w:rsidP="003E7080">
            <w:pPr>
              <w:snapToGrid w:val="0"/>
              <w:spacing w:before="40" w:after="40" w:line="240" w:lineRule="auto"/>
              <w:jc w:val="left"/>
              <w:rPr>
                <w:b/>
                <w:bCs/>
                <w:color w:val="000000"/>
                <w:sz w:val="16"/>
                <w:szCs w:val="16"/>
              </w:rPr>
            </w:pPr>
            <w:r w:rsidRPr="00F906E9">
              <w:rPr>
                <w:b/>
                <w:bCs/>
                <w:color w:val="000000"/>
                <w:sz w:val="16"/>
                <w:szCs w:val="16"/>
              </w:rPr>
              <w:t>Unternehmensalter</w:t>
            </w:r>
          </w:p>
        </w:tc>
        <w:tc>
          <w:tcPr>
            <w:tcW w:w="633" w:type="pct"/>
            <w:tcBorders>
              <w:top w:val="nil"/>
              <w:right w:val="nil"/>
            </w:tcBorders>
            <w:shd w:val="clear" w:color="000000" w:fill="FFFFFF"/>
            <w:noWrap/>
          </w:tcPr>
          <w:p w14:paraId="0D3C462D"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right w:val="nil"/>
            </w:tcBorders>
            <w:shd w:val="clear" w:color="000000" w:fill="FFFFFF"/>
          </w:tcPr>
          <w:p w14:paraId="5C5CF361" w14:textId="77777777" w:rsidR="003E7080" w:rsidRPr="00005CD2" w:rsidRDefault="003E7080" w:rsidP="003E7080">
            <w:pPr>
              <w:snapToGrid w:val="0"/>
              <w:spacing w:before="40" w:after="40" w:line="240" w:lineRule="auto"/>
              <w:jc w:val="left"/>
              <w:rPr>
                <w:rFonts w:cs="Times New Roman"/>
                <w:sz w:val="16"/>
                <w:szCs w:val="16"/>
              </w:rPr>
            </w:pPr>
          </w:p>
        </w:tc>
        <w:tc>
          <w:tcPr>
            <w:tcW w:w="634" w:type="pct"/>
            <w:tcBorders>
              <w:top w:val="nil"/>
              <w:right w:val="nil"/>
            </w:tcBorders>
            <w:shd w:val="clear" w:color="000000" w:fill="FFFFFF"/>
          </w:tcPr>
          <w:p w14:paraId="74F1B191"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right w:val="nil"/>
            </w:tcBorders>
            <w:shd w:val="clear" w:color="000000" w:fill="FFFFFF"/>
          </w:tcPr>
          <w:p w14:paraId="77360600"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right w:val="nil"/>
            </w:tcBorders>
            <w:shd w:val="clear" w:color="000000" w:fill="FFFFFF"/>
          </w:tcPr>
          <w:p w14:paraId="6E9137CA"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54164215" w14:textId="77777777" w:rsidR="003E7080" w:rsidRPr="00005CD2" w:rsidRDefault="003E7080" w:rsidP="003E7080">
            <w:pPr>
              <w:snapToGrid w:val="0"/>
              <w:spacing w:before="40" w:after="40" w:line="240" w:lineRule="auto"/>
              <w:jc w:val="left"/>
              <w:rPr>
                <w:rFonts w:cs="Times New Roman"/>
                <w:sz w:val="16"/>
                <w:szCs w:val="16"/>
              </w:rPr>
            </w:pPr>
          </w:p>
        </w:tc>
      </w:tr>
      <w:tr w:rsidR="003E7080" w:rsidRPr="00FC4EB7" w14:paraId="6BFC2D67" w14:textId="77777777" w:rsidTr="00005CD2">
        <w:trPr>
          <w:trHeight w:val="20"/>
          <w:jc w:val="center"/>
        </w:trPr>
        <w:tc>
          <w:tcPr>
            <w:tcW w:w="1201" w:type="pct"/>
            <w:tcBorders>
              <w:top w:val="nil"/>
              <w:left w:val="nil"/>
            </w:tcBorders>
            <w:shd w:val="clear" w:color="000000" w:fill="FFFFFF"/>
          </w:tcPr>
          <w:p w14:paraId="04692656" w14:textId="77777777" w:rsidR="003E7080" w:rsidRPr="00F01B0A" w:rsidRDefault="003E7080" w:rsidP="001A4E15">
            <w:pPr>
              <w:pStyle w:val="Listenabsatz"/>
              <w:numPr>
                <w:ilvl w:val="0"/>
                <w:numId w:val="10"/>
              </w:numPr>
              <w:snapToGrid w:val="0"/>
              <w:spacing w:before="40" w:after="40" w:line="240" w:lineRule="auto"/>
              <w:ind w:left="142" w:hanging="142"/>
              <w:jc w:val="left"/>
              <w:rPr>
                <w:color w:val="000000"/>
                <w:sz w:val="16"/>
                <w:szCs w:val="16"/>
              </w:rPr>
            </w:pPr>
            <w:r w:rsidRPr="00F01B0A">
              <w:rPr>
                <w:color w:val="000000"/>
                <w:sz w:val="16"/>
                <w:szCs w:val="16"/>
              </w:rPr>
              <w:t>&lt;2 Jahre</w:t>
            </w:r>
          </w:p>
        </w:tc>
        <w:tc>
          <w:tcPr>
            <w:tcW w:w="633" w:type="pct"/>
            <w:tcBorders>
              <w:top w:val="nil"/>
              <w:right w:val="nil"/>
            </w:tcBorders>
            <w:shd w:val="clear" w:color="000000" w:fill="FFFFFF"/>
            <w:noWrap/>
          </w:tcPr>
          <w:p w14:paraId="50F05CA0" w14:textId="137AB265"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0,060</w:t>
            </w:r>
            <w:r w:rsidRPr="00005CD2">
              <w:rPr>
                <w:rFonts w:cs="Times New Roman"/>
                <w:sz w:val="16"/>
                <w:szCs w:val="16"/>
              </w:rPr>
              <w:br/>
              <w:t>(0,293)</w:t>
            </w:r>
          </w:p>
        </w:tc>
        <w:tc>
          <w:tcPr>
            <w:tcW w:w="633" w:type="pct"/>
            <w:tcBorders>
              <w:top w:val="nil"/>
              <w:right w:val="nil"/>
            </w:tcBorders>
            <w:shd w:val="clear" w:color="000000" w:fill="FFFFFF"/>
          </w:tcPr>
          <w:p w14:paraId="301E467C" w14:textId="12247D01"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-1,176**</w:t>
            </w:r>
            <w:r w:rsidRPr="00005CD2">
              <w:rPr>
                <w:rFonts w:cs="Times New Roman"/>
                <w:sz w:val="16"/>
                <w:szCs w:val="16"/>
              </w:rPr>
              <w:br/>
              <w:t>(0,460)</w:t>
            </w:r>
          </w:p>
        </w:tc>
        <w:tc>
          <w:tcPr>
            <w:tcW w:w="634" w:type="pct"/>
            <w:tcBorders>
              <w:top w:val="nil"/>
              <w:right w:val="nil"/>
            </w:tcBorders>
            <w:shd w:val="clear" w:color="000000" w:fill="FFFFFF"/>
          </w:tcPr>
          <w:p w14:paraId="1482CD27" w14:textId="24763B43"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-0,394</w:t>
            </w:r>
            <w:r w:rsidRPr="00005CD2">
              <w:rPr>
                <w:rFonts w:cs="Times New Roman"/>
                <w:sz w:val="16"/>
                <w:szCs w:val="16"/>
              </w:rPr>
              <w:br/>
              <w:t>(0,376)</w:t>
            </w:r>
          </w:p>
        </w:tc>
        <w:tc>
          <w:tcPr>
            <w:tcW w:w="633" w:type="pct"/>
            <w:tcBorders>
              <w:top w:val="nil"/>
              <w:right w:val="nil"/>
            </w:tcBorders>
            <w:shd w:val="clear" w:color="000000" w:fill="FFFFFF"/>
          </w:tcPr>
          <w:p w14:paraId="79051D4B" w14:textId="4410A661"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0,105</w:t>
            </w:r>
            <w:r w:rsidRPr="00005CD2">
              <w:rPr>
                <w:rFonts w:cs="Times New Roman"/>
                <w:sz w:val="16"/>
                <w:szCs w:val="16"/>
              </w:rPr>
              <w:br/>
              <w:t>(0,341)</w:t>
            </w:r>
          </w:p>
        </w:tc>
        <w:tc>
          <w:tcPr>
            <w:tcW w:w="633" w:type="pct"/>
            <w:tcBorders>
              <w:top w:val="nil"/>
              <w:right w:val="nil"/>
            </w:tcBorders>
            <w:shd w:val="clear" w:color="000000" w:fill="FFFFFF"/>
          </w:tcPr>
          <w:p w14:paraId="5441B510" w14:textId="1A917B39"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0,060</w:t>
            </w:r>
            <w:r w:rsidRPr="00005CD2">
              <w:rPr>
                <w:rFonts w:cs="Times New Roman"/>
                <w:sz w:val="16"/>
                <w:szCs w:val="16"/>
              </w:rPr>
              <w:br/>
              <w:t>(0,281)</w:t>
            </w:r>
          </w:p>
        </w:tc>
        <w:tc>
          <w:tcPr>
            <w:tcW w:w="633" w:type="pct"/>
            <w:tcBorders>
              <w:top w:val="nil"/>
              <w:left w:val="nil"/>
              <w:right w:val="nil"/>
            </w:tcBorders>
            <w:shd w:val="clear" w:color="000000" w:fill="FFFFFF"/>
          </w:tcPr>
          <w:p w14:paraId="77CC1986" w14:textId="263DE540"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0,061</w:t>
            </w:r>
            <w:r w:rsidRPr="00005CD2">
              <w:rPr>
                <w:rFonts w:cs="Times New Roman"/>
                <w:sz w:val="16"/>
                <w:szCs w:val="16"/>
              </w:rPr>
              <w:br/>
              <w:t>(0,187)</w:t>
            </w:r>
          </w:p>
        </w:tc>
      </w:tr>
      <w:tr w:rsidR="003E7080" w:rsidRPr="00FC4EB7" w14:paraId="12CC160F" w14:textId="77777777" w:rsidTr="00005CD2">
        <w:trPr>
          <w:trHeight w:val="20"/>
          <w:jc w:val="center"/>
        </w:trPr>
        <w:tc>
          <w:tcPr>
            <w:tcW w:w="1201" w:type="pct"/>
            <w:tcBorders>
              <w:top w:val="nil"/>
              <w:left w:val="nil"/>
            </w:tcBorders>
            <w:shd w:val="clear" w:color="000000" w:fill="FFFFFF"/>
          </w:tcPr>
          <w:p w14:paraId="4466AED8" w14:textId="77777777" w:rsidR="003E7080" w:rsidRPr="00F01B0A" w:rsidRDefault="003E7080" w:rsidP="001A4E15">
            <w:pPr>
              <w:pStyle w:val="Listenabsatz"/>
              <w:numPr>
                <w:ilvl w:val="0"/>
                <w:numId w:val="10"/>
              </w:numPr>
              <w:snapToGrid w:val="0"/>
              <w:spacing w:before="40" w:after="40" w:line="240" w:lineRule="auto"/>
              <w:ind w:left="142" w:hanging="142"/>
              <w:jc w:val="left"/>
              <w:rPr>
                <w:color w:val="000000"/>
                <w:sz w:val="16"/>
                <w:szCs w:val="16"/>
              </w:rPr>
            </w:pPr>
            <w:r w:rsidRPr="00F01B0A">
              <w:rPr>
                <w:color w:val="000000"/>
                <w:sz w:val="16"/>
                <w:szCs w:val="16"/>
              </w:rPr>
              <w:t>2–4 Jahre</w:t>
            </w:r>
          </w:p>
        </w:tc>
        <w:tc>
          <w:tcPr>
            <w:tcW w:w="633" w:type="pct"/>
            <w:tcBorders>
              <w:top w:val="nil"/>
              <w:right w:val="nil"/>
            </w:tcBorders>
            <w:shd w:val="clear" w:color="000000" w:fill="FFFFFF"/>
            <w:noWrap/>
          </w:tcPr>
          <w:p w14:paraId="324E79FF" w14:textId="458879B9"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-0,281</w:t>
            </w:r>
            <w:r w:rsidRPr="00005CD2">
              <w:rPr>
                <w:rFonts w:cs="Times New Roman"/>
                <w:sz w:val="16"/>
                <w:szCs w:val="16"/>
              </w:rPr>
              <w:br/>
              <w:t>(0,211)</w:t>
            </w:r>
          </w:p>
        </w:tc>
        <w:tc>
          <w:tcPr>
            <w:tcW w:w="633" w:type="pct"/>
            <w:tcBorders>
              <w:top w:val="nil"/>
              <w:right w:val="nil"/>
            </w:tcBorders>
            <w:shd w:val="clear" w:color="000000" w:fill="FFFFFF"/>
          </w:tcPr>
          <w:p w14:paraId="07AB0A33" w14:textId="48AC8766"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-0,188</w:t>
            </w:r>
            <w:r w:rsidRPr="00005CD2">
              <w:rPr>
                <w:rFonts w:cs="Times New Roman"/>
                <w:sz w:val="16"/>
                <w:szCs w:val="16"/>
              </w:rPr>
              <w:br/>
              <w:t>(0,186)</w:t>
            </w:r>
          </w:p>
        </w:tc>
        <w:tc>
          <w:tcPr>
            <w:tcW w:w="634" w:type="pct"/>
            <w:tcBorders>
              <w:top w:val="nil"/>
              <w:right w:val="nil"/>
            </w:tcBorders>
            <w:shd w:val="clear" w:color="000000" w:fill="FFFFFF"/>
          </w:tcPr>
          <w:p w14:paraId="47B302D8" w14:textId="6B9B716C"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0,005</w:t>
            </w:r>
            <w:r w:rsidRPr="00005CD2">
              <w:rPr>
                <w:rFonts w:cs="Times New Roman"/>
                <w:sz w:val="16"/>
                <w:szCs w:val="16"/>
              </w:rPr>
              <w:br/>
              <w:t>(0,189)</w:t>
            </w:r>
          </w:p>
        </w:tc>
        <w:tc>
          <w:tcPr>
            <w:tcW w:w="633" w:type="pct"/>
            <w:tcBorders>
              <w:top w:val="nil"/>
              <w:right w:val="nil"/>
            </w:tcBorders>
            <w:shd w:val="clear" w:color="000000" w:fill="FFFFFF"/>
          </w:tcPr>
          <w:p w14:paraId="3980FAC6" w14:textId="5713930D"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-0,355</w:t>
            </w:r>
            <w:r w:rsidRPr="00005CD2">
              <w:rPr>
                <w:rFonts w:cs="Times New Roman"/>
                <w:sz w:val="16"/>
                <w:szCs w:val="16"/>
              </w:rPr>
              <w:br/>
              <w:t>(0,250)</w:t>
            </w:r>
          </w:p>
        </w:tc>
        <w:tc>
          <w:tcPr>
            <w:tcW w:w="633" w:type="pct"/>
            <w:tcBorders>
              <w:top w:val="nil"/>
              <w:right w:val="nil"/>
            </w:tcBorders>
            <w:shd w:val="clear" w:color="000000" w:fill="FFFFFF"/>
          </w:tcPr>
          <w:p w14:paraId="242163C2" w14:textId="251F59E7"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0,154</w:t>
            </w:r>
            <w:r w:rsidRPr="00005CD2">
              <w:rPr>
                <w:rFonts w:cs="Times New Roman"/>
                <w:sz w:val="16"/>
                <w:szCs w:val="16"/>
              </w:rPr>
              <w:br/>
              <w:t>(0,163)</w:t>
            </w:r>
          </w:p>
        </w:tc>
        <w:tc>
          <w:tcPr>
            <w:tcW w:w="633" w:type="pct"/>
            <w:tcBorders>
              <w:top w:val="nil"/>
              <w:left w:val="nil"/>
              <w:right w:val="nil"/>
            </w:tcBorders>
            <w:shd w:val="clear" w:color="000000" w:fill="FFFFFF"/>
          </w:tcPr>
          <w:p w14:paraId="2FFCDD8C" w14:textId="35D77D82"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0,089</w:t>
            </w:r>
            <w:r w:rsidRPr="00005CD2">
              <w:rPr>
                <w:rFonts w:cs="Times New Roman"/>
                <w:sz w:val="16"/>
                <w:szCs w:val="16"/>
              </w:rPr>
              <w:br/>
              <w:t>(0,114)</w:t>
            </w:r>
          </w:p>
        </w:tc>
      </w:tr>
      <w:tr w:rsidR="003E7080" w:rsidRPr="00FC4EB7" w14:paraId="3D4BD9A5" w14:textId="77777777" w:rsidTr="00005CD2">
        <w:trPr>
          <w:trHeight w:val="20"/>
          <w:jc w:val="center"/>
        </w:trPr>
        <w:tc>
          <w:tcPr>
            <w:tcW w:w="1201" w:type="pct"/>
            <w:tcBorders>
              <w:top w:val="nil"/>
              <w:left w:val="nil"/>
            </w:tcBorders>
            <w:shd w:val="clear" w:color="000000" w:fill="FFFFFF"/>
          </w:tcPr>
          <w:p w14:paraId="3A76FAE4" w14:textId="77777777" w:rsidR="003E7080" w:rsidRPr="00F01B0A" w:rsidRDefault="003E7080" w:rsidP="001A4E15">
            <w:pPr>
              <w:pStyle w:val="Listenabsatz"/>
              <w:numPr>
                <w:ilvl w:val="0"/>
                <w:numId w:val="10"/>
              </w:numPr>
              <w:snapToGrid w:val="0"/>
              <w:spacing w:before="40" w:after="40" w:line="240" w:lineRule="auto"/>
              <w:ind w:left="142" w:hanging="142"/>
              <w:jc w:val="left"/>
              <w:rPr>
                <w:color w:val="000000"/>
                <w:sz w:val="16"/>
                <w:szCs w:val="16"/>
              </w:rPr>
            </w:pPr>
            <w:r w:rsidRPr="00F01B0A">
              <w:rPr>
                <w:color w:val="000000"/>
                <w:sz w:val="16"/>
                <w:szCs w:val="16"/>
              </w:rPr>
              <w:t>5–9 Jahre</w:t>
            </w:r>
          </w:p>
        </w:tc>
        <w:tc>
          <w:tcPr>
            <w:tcW w:w="633" w:type="pct"/>
            <w:tcBorders>
              <w:top w:val="nil"/>
              <w:right w:val="nil"/>
            </w:tcBorders>
            <w:shd w:val="clear" w:color="000000" w:fill="FFFFFF"/>
            <w:noWrap/>
          </w:tcPr>
          <w:p w14:paraId="0183D493" w14:textId="1F538372"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-0,289**</w:t>
            </w:r>
            <w:r w:rsidRPr="00005CD2">
              <w:rPr>
                <w:rFonts w:cs="Times New Roman"/>
                <w:sz w:val="16"/>
                <w:szCs w:val="16"/>
              </w:rPr>
              <w:br/>
              <w:t>(0,125)</w:t>
            </w:r>
          </w:p>
        </w:tc>
        <w:tc>
          <w:tcPr>
            <w:tcW w:w="633" w:type="pct"/>
            <w:tcBorders>
              <w:top w:val="nil"/>
              <w:right w:val="nil"/>
            </w:tcBorders>
            <w:shd w:val="clear" w:color="000000" w:fill="FFFFFF"/>
          </w:tcPr>
          <w:p w14:paraId="397EB36A" w14:textId="498EBC1F"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0,075</w:t>
            </w:r>
            <w:r w:rsidRPr="00005CD2">
              <w:rPr>
                <w:rFonts w:cs="Times New Roman"/>
                <w:sz w:val="16"/>
                <w:szCs w:val="16"/>
              </w:rPr>
              <w:br/>
              <w:t>(0,103)</w:t>
            </w:r>
          </w:p>
        </w:tc>
        <w:tc>
          <w:tcPr>
            <w:tcW w:w="634" w:type="pct"/>
            <w:tcBorders>
              <w:top w:val="nil"/>
              <w:right w:val="nil"/>
            </w:tcBorders>
            <w:shd w:val="clear" w:color="000000" w:fill="FFFFFF"/>
          </w:tcPr>
          <w:p w14:paraId="4CB5C333" w14:textId="5BB561A5"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0,129</w:t>
            </w:r>
            <w:r w:rsidRPr="00005CD2">
              <w:rPr>
                <w:rFonts w:cs="Times New Roman"/>
                <w:sz w:val="16"/>
                <w:szCs w:val="16"/>
              </w:rPr>
              <w:br/>
              <w:t>(0,114)</w:t>
            </w:r>
          </w:p>
        </w:tc>
        <w:tc>
          <w:tcPr>
            <w:tcW w:w="633" w:type="pct"/>
            <w:tcBorders>
              <w:top w:val="nil"/>
              <w:right w:val="nil"/>
            </w:tcBorders>
            <w:shd w:val="clear" w:color="000000" w:fill="FFFFFF"/>
          </w:tcPr>
          <w:p w14:paraId="740E4AB9" w14:textId="56F97FB0"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-0,081</w:t>
            </w:r>
            <w:r w:rsidRPr="00005CD2">
              <w:rPr>
                <w:rFonts w:cs="Times New Roman"/>
                <w:sz w:val="16"/>
                <w:szCs w:val="16"/>
              </w:rPr>
              <w:br/>
              <w:t>(0,133)</w:t>
            </w:r>
          </w:p>
        </w:tc>
        <w:tc>
          <w:tcPr>
            <w:tcW w:w="633" w:type="pct"/>
            <w:tcBorders>
              <w:top w:val="nil"/>
              <w:right w:val="nil"/>
            </w:tcBorders>
            <w:shd w:val="clear" w:color="000000" w:fill="FFFFFF"/>
          </w:tcPr>
          <w:p w14:paraId="63559B2F" w14:textId="07B91948"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0,005</w:t>
            </w:r>
            <w:r w:rsidRPr="00005CD2">
              <w:rPr>
                <w:rFonts w:cs="Times New Roman"/>
                <w:sz w:val="16"/>
                <w:szCs w:val="16"/>
              </w:rPr>
              <w:br/>
              <w:t>(0,102)</w:t>
            </w:r>
          </w:p>
        </w:tc>
        <w:tc>
          <w:tcPr>
            <w:tcW w:w="633" w:type="pct"/>
            <w:tcBorders>
              <w:top w:val="nil"/>
              <w:left w:val="nil"/>
              <w:right w:val="nil"/>
            </w:tcBorders>
            <w:shd w:val="clear" w:color="000000" w:fill="FFFFFF"/>
          </w:tcPr>
          <w:p w14:paraId="662F3D34" w14:textId="4C6CF4E3"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-0,042</w:t>
            </w:r>
            <w:r w:rsidRPr="00005CD2">
              <w:rPr>
                <w:rFonts w:cs="Times New Roman"/>
                <w:sz w:val="16"/>
                <w:szCs w:val="16"/>
              </w:rPr>
              <w:br/>
              <w:t>(0,070)</w:t>
            </w:r>
          </w:p>
        </w:tc>
      </w:tr>
      <w:tr w:rsidR="003E7080" w:rsidRPr="00FC4EB7" w14:paraId="3D02A8E3" w14:textId="77777777" w:rsidTr="00005CD2">
        <w:trPr>
          <w:trHeight w:val="20"/>
          <w:jc w:val="center"/>
        </w:trPr>
        <w:tc>
          <w:tcPr>
            <w:tcW w:w="1201" w:type="pct"/>
            <w:tcBorders>
              <w:top w:val="nil"/>
              <w:left w:val="nil"/>
            </w:tcBorders>
            <w:shd w:val="clear" w:color="000000" w:fill="FFFFFF"/>
          </w:tcPr>
          <w:p w14:paraId="21E95C0B" w14:textId="77777777" w:rsidR="003E7080" w:rsidRPr="00F01B0A" w:rsidRDefault="003E7080" w:rsidP="001A4E15">
            <w:pPr>
              <w:pStyle w:val="Listenabsatz"/>
              <w:numPr>
                <w:ilvl w:val="0"/>
                <w:numId w:val="10"/>
              </w:numPr>
              <w:snapToGrid w:val="0"/>
              <w:spacing w:before="40" w:after="40" w:line="240" w:lineRule="auto"/>
              <w:ind w:left="142" w:hanging="142"/>
              <w:jc w:val="left"/>
              <w:rPr>
                <w:color w:val="000000"/>
                <w:sz w:val="16"/>
                <w:szCs w:val="16"/>
              </w:rPr>
            </w:pPr>
            <w:r w:rsidRPr="00F01B0A">
              <w:rPr>
                <w:color w:val="000000"/>
                <w:sz w:val="16"/>
                <w:szCs w:val="16"/>
              </w:rPr>
              <w:t>&gt;9 Jahre</w:t>
            </w:r>
            <w:r>
              <w:rPr>
                <w:color w:val="000000"/>
                <w:sz w:val="16"/>
                <w:szCs w:val="16"/>
              </w:rPr>
              <w:t xml:space="preserve"> (Referenzgruppe)</w:t>
            </w:r>
          </w:p>
        </w:tc>
        <w:tc>
          <w:tcPr>
            <w:tcW w:w="633" w:type="pct"/>
            <w:tcBorders>
              <w:top w:val="nil"/>
              <w:right w:val="nil"/>
            </w:tcBorders>
            <w:shd w:val="clear" w:color="000000" w:fill="FFFFFF"/>
            <w:noWrap/>
          </w:tcPr>
          <w:p w14:paraId="107CE851"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right w:val="nil"/>
            </w:tcBorders>
            <w:shd w:val="clear" w:color="000000" w:fill="FFFFFF"/>
          </w:tcPr>
          <w:p w14:paraId="22E9287F" w14:textId="77777777" w:rsidR="003E7080" w:rsidRPr="00005CD2" w:rsidRDefault="003E7080" w:rsidP="003E7080">
            <w:pPr>
              <w:snapToGrid w:val="0"/>
              <w:spacing w:before="40" w:after="40" w:line="240" w:lineRule="auto"/>
              <w:jc w:val="left"/>
              <w:rPr>
                <w:rFonts w:cs="Times New Roman"/>
                <w:sz w:val="16"/>
                <w:szCs w:val="16"/>
              </w:rPr>
            </w:pPr>
          </w:p>
        </w:tc>
        <w:tc>
          <w:tcPr>
            <w:tcW w:w="634" w:type="pct"/>
            <w:tcBorders>
              <w:top w:val="nil"/>
              <w:right w:val="nil"/>
            </w:tcBorders>
            <w:shd w:val="clear" w:color="000000" w:fill="FFFFFF"/>
          </w:tcPr>
          <w:p w14:paraId="65C34509"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right w:val="nil"/>
            </w:tcBorders>
            <w:shd w:val="clear" w:color="000000" w:fill="FFFFFF"/>
          </w:tcPr>
          <w:p w14:paraId="0F3C4D41"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right w:val="nil"/>
            </w:tcBorders>
            <w:shd w:val="clear" w:color="000000" w:fill="FFFFFF"/>
          </w:tcPr>
          <w:p w14:paraId="176C6812"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34E12985" w14:textId="77777777" w:rsidR="003E7080" w:rsidRPr="00005CD2" w:rsidRDefault="003E7080" w:rsidP="003E7080">
            <w:pPr>
              <w:snapToGrid w:val="0"/>
              <w:spacing w:before="40" w:after="40" w:line="240" w:lineRule="auto"/>
              <w:jc w:val="left"/>
              <w:rPr>
                <w:rFonts w:cs="Times New Roman"/>
                <w:sz w:val="16"/>
                <w:szCs w:val="16"/>
              </w:rPr>
            </w:pPr>
          </w:p>
        </w:tc>
      </w:tr>
      <w:tr w:rsidR="003E7080" w:rsidRPr="00FC4EB7" w14:paraId="3716FCCC" w14:textId="77777777" w:rsidTr="00005CD2">
        <w:trPr>
          <w:trHeight w:val="20"/>
          <w:jc w:val="center"/>
        </w:trPr>
        <w:tc>
          <w:tcPr>
            <w:tcW w:w="1201" w:type="pct"/>
            <w:tcBorders>
              <w:top w:val="nil"/>
              <w:left w:val="nil"/>
              <w:right w:val="nil"/>
            </w:tcBorders>
            <w:shd w:val="clear" w:color="000000" w:fill="FFFFFF"/>
          </w:tcPr>
          <w:p w14:paraId="2A15D094" w14:textId="77777777" w:rsidR="003E7080" w:rsidRPr="00F906E9" w:rsidRDefault="003E7080" w:rsidP="003E7080">
            <w:pPr>
              <w:snapToGrid w:val="0"/>
              <w:spacing w:before="40" w:after="40" w:line="240" w:lineRule="auto"/>
              <w:jc w:val="left"/>
              <w:rPr>
                <w:b/>
                <w:bCs/>
                <w:color w:val="000000"/>
                <w:sz w:val="16"/>
                <w:szCs w:val="16"/>
              </w:rPr>
            </w:pPr>
            <w:r w:rsidRPr="00F906E9">
              <w:rPr>
                <w:b/>
                <w:bCs/>
                <w:color w:val="000000"/>
                <w:sz w:val="16"/>
                <w:szCs w:val="16"/>
              </w:rPr>
              <w:t>Gesellschafterstruktur</w:t>
            </w:r>
          </w:p>
        </w:tc>
        <w:tc>
          <w:tcPr>
            <w:tcW w:w="633" w:type="pct"/>
            <w:tcBorders>
              <w:top w:val="nil"/>
              <w:left w:val="nil"/>
              <w:right w:val="nil"/>
            </w:tcBorders>
            <w:shd w:val="clear" w:color="000000" w:fill="FFFFFF"/>
            <w:noWrap/>
          </w:tcPr>
          <w:p w14:paraId="21EF7584"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7A7C01D2" w14:textId="77777777" w:rsidR="003E7080" w:rsidRPr="00005CD2" w:rsidRDefault="003E7080" w:rsidP="003E7080">
            <w:pPr>
              <w:snapToGrid w:val="0"/>
              <w:spacing w:before="40" w:after="40" w:line="240" w:lineRule="auto"/>
              <w:jc w:val="left"/>
              <w:rPr>
                <w:rFonts w:cs="Times New Roman"/>
                <w:sz w:val="16"/>
                <w:szCs w:val="16"/>
              </w:rPr>
            </w:pPr>
          </w:p>
        </w:tc>
        <w:tc>
          <w:tcPr>
            <w:tcW w:w="634" w:type="pct"/>
            <w:tcBorders>
              <w:top w:val="nil"/>
              <w:left w:val="nil"/>
              <w:right w:val="nil"/>
            </w:tcBorders>
            <w:shd w:val="clear" w:color="000000" w:fill="FFFFFF"/>
          </w:tcPr>
          <w:p w14:paraId="025ED053"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0A6ABD86"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3BF56818"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50A723D8" w14:textId="77777777" w:rsidR="003E7080" w:rsidRPr="00005CD2" w:rsidRDefault="003E7080" w:rsidP="003E7080">
            <w:pPr>
              <w:snapToGrid w:val="0"/>
              <w:spacing w:before="40" w:after="40" w:line="240" w:lineRule="auto"/>
              <w:jc w:val="left"/>
              <w:rPr>
                <w:rFonts w:cs="Times New Roman"/>
                <w:sz w:val="16"/>
                <w:szCs w:val="16"/>
              </w:rPr>
            </w:pPr>
          </w:p>
        </w:tc>
      </w:tr>
      <w:tr w:rsidR="003E7080" w:rsidRPr="00FC4EB7" w14:paraId="2EB75481" w14:textId="77777777" w:rsidTr="00005CD2">
        <w:trPr>
          <w:trHeight w:val="20"/>
          <w:jc w:val="center"/>
        </w:trPr>
        <w:tc>
          <w:tcPr>
            <w:tcW w:w="1201" w:type="pct"/>
            <w:tcBorders>
              <w:top w:val="nil"/>
              <w:left w:val="nil"/>
              <w:right w:val="nil"/>
            </w:tcBorders>
            <w:shd w:val="clear" w:color="000000" w:fill="FFFFFF"/>
          </w:tcPr>
          <w:p w14:paraId="07ECE419" w14:textId="77777777" w:rsidR="003E7080" w:rsidRPr="00FC4EB7" w:rsidRDefault="003E7080"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VC / BA</w:t>
            </w:r>
          </w:p>
        </w:tc>
        <w:tc>
          <w:tcPr>
            <w:tcW w:w="633" w:type="pct"/>
            <w:tcBorders>
              <w:top w:val="nil"/>
              <w:left w:val="nil"/>
              <w:right w:val="nil"/>
            </w:tcBorders>
            <w:shd w:val="clear" w:color="000000" w:fill="FFFFFF"/>
            <w:noWrap/>
          </w:tcPr>
          <w:p w14:paraId="25F73939" w14:textId="62CD87E3"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0,425</w:t>
            </w:r>
            <w:r w:rsidRPr="00005CD2">
              <w:rPr>
                <w:rFonts w:cs="Times New Roman"/>
                <w:sz w:val="16"/>
                <w:szCs w:val="16"/>
              </w:rPr>
              <w:br/>
              <w:t>(0,445)</w:t>
            </w:r>
          </w:p>
        </w:tc>
        <w:tc>
          <w:tcPr>
            <w:tcW w:w="633" w:type="pct"/>
            <w:tcBorders>
              <w:top w:val="nil"/>
              <w:left w:val="nil"/>
              <w:right w:val="nil"/>
            </w:tcBorders>
            <w:shd w:val="clear" w:color="000000" w:fill="FFFFFF"/>
          </w:tcPr>
          <w:p w14:paraId="185B04A5" w14:textId="704E68AA"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-0,298</w:t>
            </w:r>
            <w:r w:rsidRPr="00005CD2">
              <w:rPr>
                <w:rFonts w:cs="Times New Roman"/>
                <w:sz w:val="16"/>
                <w:szCs w:val="16"/>
              </w:rPr>
              <w:br/>
              <w:t>(0,516)</w:t>
            </w:r>
          </w:p>
        </w:tc>
        <w:tc>
          <w:tcPr>
            <w:tcW w:w="634" w:type="pct"/>
            <w:tcBorders>
              <w:top w:val="nil"/>
              <w:left w:val="nil"/>
              <w:right w:val="nil"/>
            </w:tcBorders>
            <w:shd w:val="clear" w:color="000000" w:fill="FFFFFF"/>
          </w:tcPr>
          <w:p w14:paraId="76CDE59C" w14:textId="1AB7B182"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0,272</w:t>
            </w:r>
            <w:r w:rsidRPr="00005CD2">
              <w:rPr>
                <w:rFonts w:cs="Times New Roman"/>
                <w:sz w:val="16"/>
                <w:szCs w:val="16"/>
              </w:rPr>
              <w:br/>
              <w:t>(0,412)</w:t>
            </w:r>
          </w:p>
        </w:tc>
        <w:tc>
          <w:tcPr>
            <w:tcW w:w="633" w:type="pct"/>
            <w:tcBorders>
              <w:top w:val="nil"/>
              <w:left w:val="nil"/>
              <w:right w:val="nil"/>
            </w:tcBorders>
            <w:shd w:val="clear" w:color="000000" w:fill="FFFFFF"/>
          </w:tcPr>
          <w:p w14:paraId="53EE904D" w14:textId="650089A3"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-0,341</w:t>
            </w:r>
            <w:r w:rsidRPr="00005CD2">
              <w:rPr>
                <w:rFonts w:cs="Times New Roman"/>
                <w:sz w:val="16"/>
                <w:szCs w:val="16"/>
              </w:rPr>
              <w:br/>
              <w:t>(0,459)</w:t>
            </w:r>
          </w:p>
        </w:tc>
        <w:tc>
          <w:tcPr>
            <w:tcW w:w="633" w:type="pct"/>
            <w:tcBorders>
              <w:top w:val="nil"/>
              <w:left w:val="nil"/>
              <w:right w:val="nil"/>
            </w:tcBorders>
            <w:shd w:val="clear" w:color="000000" w:fill="FFFFFF"/>
          </w:tcPr>
          <w:p w14:paraId="0222B2EB" w14:textId="6BB10FDD"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0,338</w:t>
            </w:r>
            <w:r w:rsidRPr="00005CD2">
              <w:rPr>
                <w:rFonts w:cs="Times New Roman"/>
                <w:sz w:val="16"/>
                <w:szCs w:val="16"/>
              </w:rPr>
              <w:br/>
              <w:t>(0,300)</w:t>
            </w:r>
          </w:p>
        </w:tc>
        <w:tc>
          <w:tcPr>
            <w:tcW w:w="633" w:type="pct"/>
            <w:tcBorders>
              <w:top w:val="nil"/>
              <w:left w:val="nil"/>
              <w:right w:val="nil"/>
            </w:tcBorders>
            <w:shd w:val="clear" w:color="000000" w:fill="FFFFFF"/>
          </w:tcPr>
          <w:p w14:paraId="083685CA" w14:textId="4A46DBEA"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-0,933***</w:t>
            </w:r>
            <w:r w:rsidRPr="00005CD2">
              <w:rPr>
                <w:rFonts w:cs="Times New Roman"/>
                <w:sz w:val="16"/>
                <w:szCs w:val="16"/>
              </w:rPr>
              <w:br/>
              <w:t>(0,315)</w:t>
            </w:r>
          </w:p>
        </w:tc>
      </w:tr>
      <w:tr w:rsidR="003E7080" w:rsidRPr="00FC4EB7" w14:paraId="48A57253" w14:textId="77777777" w:rsidTr="00005CD2">
        <w:trPr>
          <w:trHeight w:val="20"/>
          <w:jc w:val="center"/>
        </w:trPr>
        <w:tc>
          <w:tcPr>
            <w:tcW w:w="1201" w:type="pct"/>
            <w:tcBorders>
              <w:top w:val="nil"/>
              <w:left w:val="nil"/>
              <w:right w:val="nil"/>
            </w:tcBorders>
            <w:shd w:val="clear" w:color="000000" w:fill="FFFFFF"/>
          </w:tcPr>
          <w:p w14:paraId="4A319339" w14:textId="77777777" w:rsidR="003E7080" w:rsidRPr="00FC4EB7" w:rsidRDefault="003E7080" w:rsidP="001A4E15">
            <w:pPr>
              <w:pStyle w:val="Listenabsatz"/>
              <w:numPr>
                <w:ilvl w:val="0"/>
                <w:numId w:val="10"/>
              </w:numPr>
              <w:snapToGrid w:val="0"/>
              <w:spacing w:before="40" w:after="40" w:line="240" w:lineRule="auto"/>
              <w:ind w:left="142" w:hanging="142"/>
              <w:jc w:val="left"/>
              <w:rPr>
                <w:color w:val="000000"/>
                <w:sz w:val="16"/>
                <w:szCs w:val="16"/>
              </w:rPr>
            </w:pPr>
            <w:r w:rsidRPr="00FC4EB7">
              <w:rPr>
                <w:color w:val="000000"/>
                <w:sz w:val="16"/>
                <w:szCs w:val="16"/>
              </w:rPr>
              <w:t xml:space="preserve">Familie </w:t>
            </w:r>
            <w:r>
              <w:rPr>
                <w:color w:val="000000"/>
                <w:sz w:val="16"/>
                <w:szCs w:val="16"/>
              </w:rPr>
              <w:t>/</w:t>
            </w:r>
            <w:r w:rsidRPr="00FC4EB7">
              <w:rPr>
                <w:color w:val="000000"/>
                <w:sz w:val="16"/>
                <w:szCs w:val="16"/>
              </w:rPr>
              <w:t xml:space="preserve"> Entrepreneur</w:t>
            </w:r>
          </w:p>
        </w:tc>
        <w:tc>
          <w:tcPr>
            <w:tcW w:w="633" w:type="pct"/>
            <w:tcBorders>
              <w:top w:val="nil"/>
              <w:left w:val="nil"/>
              <w:right w:val="nil"/>
            </w:tcBorders>
            <w:shd w:val="clear" w:color="000000" w:fill="FFFFFF"/>
            <w:noWrap/>
          </w:tcPr>
          <w:p w14:paraId="6AE9CF67" w14:textId="7DB1F23D"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0,543**</w:t>
            </w:r>
            <w:r w:rsidRPr="00005CD2">
              <w:rPr>
                <w:rFonts w:cs="Times New Roman"/>
                <w:sz w:val="16"/>
                <w:szCs w:val="16"/>
              </w:rPr>
              <w:br/>
              <w:t>(0,239)</w:t>
            </w:r>
          </w:p>
        </w:tc>
        <w:tc>
          <w:tcPr>
            <w:tcW w:w="633" w:type="pct"/>
            <w:tcBorders>
              <w:top w:val="nil"/>
              <w:left w:val="nil"/>
              <w:right w:val="nil"/>
            </w:tcBorders>
            <w:shd w:val="clear" w:color="000000" w:fill="FFFFFF"/>
          </w:tcPr>
          <w:p w14:paraId="26C694E9" w14:textId="556B1845"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0,191</w:t>
            </w:r>
            <w:r w:rsidRPr="00005CD2">
              <w:rPr>
                <w:rFonts w:cs="Times New Roman"/>
                <w:sz w:val="16"/>
                <w:szCs w:val="16"/>
              </w:rPr>
              <w:br/>
              <w:t>(0,233)</w:t>
            </w:r>
          </w:p>
        </w:tc>
        <w:tc>
          <w:tcPr>
            <w:tcW w:w="634" w:type="pct"/>
            <w:tcBorders>
              <w:top w:val="nil"/>
              <w:left w:val="nil"/>
              <w:right w:val="nil"/>
            </w:tcBorders>
            <w:shd w:val="clear" w:color="000000" w:fill="FFFFFF"/>
          </w:tcPr>
          <w:p w14:paraId="2B4B771A" w14:textId="02E3AE41"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0,262</w:t>
            </w:r>
            <w:r w:rsidRPr="00005CD2">
              <w:rPr>
                <w:rFonts w:cs="Times New Roman"/>
                <w:sz w:val="16"/>
                <w:szCs w:val="16"/>
              </w:rPr>
              <w:br/>
              <w:t>(0,225)</w:t>
            </w:r>
          </w:p>
        </w:tc>
        <w:tc>
          <w:tcPr>
            <w:tcW w:w="633" w:type="pct"/>
            <w:tcBorders>
              <w:top w:val="nil"/>
              <w:left w:val="nil"/>
              <w:right w:val="nil"/>
            </w:tcBorders>
            <w:shd w:val="clear" w:color="000000" w:fill="FFFFFF"/>
          </w:tcPr>
          <w:p w14:paraId="0924ECBA" w14:textId="752B6F8B"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0,081</w:t>
            </w:r>
            <w:r w:rsidRPr="00005CD2">
              <w:rPr>
                <w:rFonts w:cs="Times New Roman"/>
                <w:sz w:val="16"/>
                <w:szCs w:val="16"/>
              </w:rPr>
              <w:br/>
              <w:t>(0,228)</w:t>
            </w:r>
          </w:p>
        </w:tc>
        <w:tc>
          <w:tcPr>
            <w:tcW w:w="633" w:type="pct"/>
            <w:tcBorders>
              <w:top w:val="nil"/>
              <w:left w:val="nil"/>
              <w:right w:val="nil"/>
            </w:tcBorders>
            <w:shd w:val="clear" w:color="000000" w:fill="FFFFFF"/>
          </w:tcPr>
          <w:p w14:paraId="689A4B99" w14:textId="5D138E7B"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-0,235</w:t>
            </w:r>
            <w:r w:rsidRPr="00005CD2">
              <w:rPr>
                <w:rFonts w:cs="Times New Roman"/>
                <w:sz w:val="16"/>
                <w:szCs w:val="16"/>
              </w:rPr>
              <w:br/>
              <w:t>(0,170)</w:t>
            </w:r>
          </w:p>
        </w:tc>
        <w:tc>
          <w:tcPr>
            <w:tcW w:w="633" w:type="pct"/>
            <w:tcBorders>
              <w:top w:val="nil"/>
              <w:left w:val="nil"/>
              <w:right w:val="nil"/>
            </w:tcBorders>
            <w:shd w:val="clear" w:color="000000" w:fill="FFFFFF"/>
          </w:tcPr>
          <w:p w14:paraId="025316FC" w14:textId="10EB6605"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-0,441***</w:t>
            </w:r>
            <w:r w:rsidRPr="00005CD2">
              <w:rPr>
                <w:rFonts w:cs="Times New Roman"/>
                <w:sz w:val="16"/>
                <w:szCs w:val="16"/>
              </w:rPr>
              <w:br/>
              <w:t>(0,134)</w:t>
            </w:r>
          </w:p>
        </w:tc>
      </w:tr>
      <w:tr w:rsidR="003E7080" w:rsidRPr="00FC4EB7" w14:paraId="55624322" w14:textId="77777777" w:rsidTr="00005CD2">
        <w:trPr>
          <w:trHeight w:val="20"/>
          <w:jc w:val="center"/>
        </w:trPr>
        <w:tc>
          <w:tcPr>
            <w:tcW w:w="1201" w:type="pct"/>
            <w:tcBorders>
              <w:top w:val="nil"/>
              <w:left w:val="nil"/>
              <w:right w:val="nil"/>
            </w:tcBorders>
            <w:shd w:val="clear" w:color="000000" w:fill="FFFFFF"/>
          </w:tcPr>
          <w:p w14:paraId="0E1FBD83" w14:textId="77777777" w:rsidR="003E7080" w:rsidRPr="00FC4EB7" w:rsidRDefault="003E7080"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Sonstige</w:t>
            </w:r>
          </w:p>
        </w:tc>
        <w:tc>
          <w:tcPr>
            <w:tcW w:w="633" w:type="pct"/>
            <w:tcBorders>
              <w:top w:val="nil"/>
              <w:left w:val="nil"/>
              <w:right w:val="nil"/>
            </w:tcBorders>
            <w:shd w:val="clear" w:color="000000" w:fill="FFFFFF"/>
            <w:noWrap/>
          </w:tcPr>
          <w:p w14:paraId="72B60F85" w14:textId="5ACAA3DB"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0,516*</w:t>
            </w:r>
            <w:r w:rsidRPr="00005CD2">
              <w:rPr>
                <w:rFonts w:cs="Times New Roman"/>
                <w:sz w:val="16"/>
                <w:szCs w:val="16"/>
              </w:rPr>
              <w:br/>
              <w:t>(0,287)</w:t>
            </w:r>
          </w:p>
        </w:tc>
        <w:tc>
          <w:tcPr>
            <w:tcW w:w="633" w:type="pct"/>
            <w:tcBorders>
              <w:top w:val="nil"/>
              <w:left w:val="nil"/>
              <w:right w:val="nil"/>
            </w:tcBorders>
            <w:shd w:val="clear" w:color="000000" w:fill="FFFFFF"/>
          </w:tcPr>
          <w:p w14:paraId="4D7E65B7" w14:textId="6F13AC3C"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0,382</w:t>
            </w:r>
            <w:r w:rsidRPr="00005CD2">
              <w:rPr>
                <w:rFonts w:cs="Times New Roman"/>
                <w:sz w:val="16"/>
                <w:szCs w:val="16"/>
              </w:rPr>
              <w:br/>
              <w:t>(0,279)</w:t>
            </w:r>
          </w:p>
        </w:tc>
        <w:tc>
          <w:tcPr>
            <w:tcW w:w="634" w:type="pct"/>
            <w:tcBorders>
              <w:top w:val="nil"/>
              <w:left w:val="nil"/>
              <w:right w:val="nil"/>
            </w:tcBorders>
            <w:shd w:val="clear" w:color="000000" w:fill="FFFFFF"/>
          </w:tcPr>
          <w:p w14:paraId="0510F5D3" w14:textId="38FEE1A1"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-0,456</w:t>
            </w:r>
            <w:r w:rsidRPr="00005CD2">
              <w:rPr>
                <w:rFonts w:cs="Times New Roman"/>
                <w:sz w:val="16"/>
                <w:szCs w:val="16"/>
              </w:rPr>
              <w:br/>
              <w:t>(0,307)</w:t>
            </w:r>
          </w:p>
        </w:tc>
        <w:tc>
          <w:tcPr>
            <w:tcW w:w="633" w:type="pct"/>
            <w:tcBorders>
              <w:top w:val="nil"/>
              <w:left w:val="nil"/>
              <w:right w:val="nil"/>
            </w:tcBorders>
            <w:shd w:val="clear" w:color="000000" w:fill="FFFFFF"/>
          </w:tcPr>
          <w:p w14:paraId="76B3590B" w14:textId="419A8F46"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0,327</w:t>
            </w:r>
            <w:r w:rsidRPr="00005CD2">
              <w:rPr>
                <w:rFonts w:cs="Times New Roman"/>
                <w:sz w:val="16"/>
                <w:szCs w:val="16"/>
              </w:rPr>
              <w:br/>
              <w:t>(0,273)</w:t>
            </w:r>
          </w:p>
        </w:tc>
        <w:tc>
          <w:tcPr>
            <w:tcW w:w="633" w:type="pct"/>
            <w:tcBorders>
              <w:top w:val="nil"/>
              <w:left w:val="nil"/>
              <w:right w:val="nil"/>
            </w:tcBorders>
            <w:shd w:val="clear" w:color="000000" w:fill="FFFFFF"/>
          </w:tcPr>
          <w:p w14:paraId="596C0071" w14:textId="3538AF78"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-0,484**</w:t>
            </w:r>
            <w:r w:rsidRPr="00005CD2">
              <w:rPr>
                <w:rFonts w:cs="Times New Roman"/>
                <w:sz w:val="16"/>
                <w:szCs w:val="16"/>
              </w:rPr>
              <w:br/>
              <w:t>(0,232)</w:t>
            </w:r>
          </w:p>
        </w:tc>
        <w:tc>
          <w:tcPr>
            <w:tcW w:w="633" w:type="pct"/>
            <w:tcBorders>
              <w:top w:val="nil"/>
              <w:left w:val="nil"/>
              <w:right w:val="nil"/>
            </w:tcBorders>
            <w:shd w:val="clear" w:color="000000" w:fill="FFFFFF"/>
          </w:tcPr>
          <w:p w14:paraId="1F59DC39" w14:textId="39BD9D5D"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0,067</w:t>
            </w:r>
            <w:r w:rsidRPr="00005CD2">
              <w:rPr>
                <w:rFonts w:cs="Times New Roman"/>
                <w:sz w:val="16"/>
                <w:szCs w:val="16"/>
              </w:rPr>
              <w:br/>
              <w:t>(0,167)</w:t>
            </w:r>
          </w:p>
        </w:tc>
      </w:tr>
      <w:tr w:rsidR="003E7080" w:rsidRPr="00FC4EB7" w14:paraId="008CDEAA" w14:textId="77777777" w:rsidTr="00005CD2">
        <w:trPr>
          <w:trHeight w:val="20"/>
          <w:jc w:val="center"/>
        </w:trPr>
        <w:tc>
          <w:tcPr>
            <w:tcW w:w="1201" w:type="pct"/>
            <w:tcBorders>
              <w:top w:val="nil"/>
              <w:left w:val="nil"/>
              <w:right w:val="nil"/>
            </w:tcBorders>
            <w:shd w:val="clear" w:color="000000" w:fill="FFFFFF"/>
          </w:tcPr>
          <w:p w14:paraId="35B653AE" w14:textId="77777777" w:rsidR="003E7080" w:rsidRPr="00FC4EB7" w:rsidRDefault="003E7080"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Einzelperson</w:t>
            </w:r>
          </w:p>
        </w:tc>
        <w:tc>
          <w:tcPr>
            <w:tcW w:w="633" w:type="pct"/>
            <w:tcBorders>
              <w:top w:val="nil"/>
              <w:left w:val="nil"/>
              <w:right w:val="nil"/>
            </w:tcBorders>
            <w:shd w:val="clear" w:color="000000" w:fill="FFFFFF"/>
            <w:noWrap/>
          </w:tcPr>
          <w:p w14:paraId="2EB51C5E" w14:textId="4232D87A"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0,686***</w:t>
            </w:r>
            <w:r w:rsidRPr="00005CD2">
              <w:rPr>
                <w:rFonts w:cs="Times New Roman"/>
                <w:sz w:val="16"/>
                <w:szCs w:val="16"/>
              </w:rPr>
              <w:br/>
              <w:t>(0,239)</w:t>
            </w:r>
          </w:p>
        </w:tc>
        <w:tc>
          <w:tcPr>
            <w:tcW w:w="633" w:type="pct"/>
            <w:tcBorders>
              <w:top w:val="nil"/>
              <w:left w:val="nil"/>
              <w:right w:val="nil"/>
            </w:tcBorders>
            <w:shd w:val="clear" w:color="000000" w:fill="FFFFFF"/>
          </w:tcPr>
          <w:p w14:paraId="750E1A09" w14:textId="41FBF40F"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0,216</w:t>
            </w:r>
            <w:r w:rsidRPr="00005CD2">
              <w:rPr>
                <w:rFonts w:cs="Times New Roman"/>
                <w:sz w:val="16"/>
                <w:szCs w:val="16"/>
              </w:rPr>
              <w:br/>
              <w:t>(0,233)</w:t>
            </w:r>
          </w:p>
        </w:tc>
        <w:tc>
          <w:tcPr>
            <w:tcW w:w="634" w:type="pct"/>
            <w:tcBorders>
              <w:top w:val="nil"/>
              <w:left w:val="nil"/>
              <w:right w:val="nil"/>
            </w:tcBorders>
            <w:shd w:val="clear" w:color="000000" w:fill="FFFFFF"/>
          </w:tcPr>
          <w:p w14:paraId="3909CDF2" w14:textId="1356B95B"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0,119</w:t>
            </w:r>
            <w:r w:rsidRPr="00005CD2">
              <w:rPr>
                <w:rFonts w:cs="Times New Roman"/>
                <w:sz w:val="16"/>
                <w:szCs w:val="16"/>
              </w:rPr>
              <w:br/>
              <w:t>(0,227)</w:t>
            </w:r>
          </w:p>
        </w:tc>
        <w:tc>
          <w:tcPr>
            <w:tcW w:w="633" w:type="pct"/>
            <w:tcBorders>
              <w:top w:val="nil"/>
              <w:left w:val="nil"/>
              <w:right w:val="nil"/>
            </w:tcBorders>
            <w:shd w:val="clear" w:color="000000" w:fill="FFFFFF"/>
          </w:tcPr>
          <w:p w14:paraId="482E8E5C" w14:textId="17C42839"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-0,179</w:t>
            </w:r>
            <w:r w:rsidRPr="00005CD2">
              <w:rPr>
                <w:rFonts w:cs="Times New Roman"/>
                <w:sz w:val="16"/>
                <w:szCs w:val="16"/>
              </w:rPr>
              <w:br/>
              <w:t>(0,231)</w:t>
            </w:r>
          </w:p>
        </w:tc>
        <w:tc>
          <w:tcPr>
            <w:tcW w:w="633" w:type="pct"/>
            <w:tcBorders>
              <w:top w:val="nil"/>
              <w:left w:val="nil"/>
              <w:right w:val="nil"/>
            </w:tcBorders>
            <w:shd w:val="clear" w:color="000000" w:fill="FFFFFF"/>
          </w:tcPr>
          <w:p w14:paraId="3D184A45" w14:textId="6C14D00A"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-0,175</w:t>
            </w:r>
            <w:r w:rsidRPr="00005CD2">
              <w:rPr>
                <w:rFonts w:cs="Times New Roman"/>
                <w:sz w:val="16"/>
                <w:szCs w:val="16"/>
              </w:rPr>
              <w:br/>
              <w:t>(0,170)</w:t>
            </w:r>
          </w:p>
        </w:tc>
        <w:tc>
          <w:tcPr>
            <w:tcW w:w="633" w:type="pct"/>
            <w:tcBorders>
              <w:top w:val="nil"/>
              <w:left w:val="nil"/>
              <w:right w:val="nil"/>
            </w:tcBorders>
            <w:shd w:val="clear" w:color="000000" w:fill="FFFFFF"/>
          </w:tcPr>
          <w:p w14:paraId="67E613A7" w14:textId="7BABEA87"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-0,188</w:t>
            </w:r>
            <w:r w:rsidRPr="00005CD2">
              <w:rPr>
                <w:rFonts w:cs="Times New Roman"/>
                <w:sz w:val="16"/>
                <w:szCs w:val="16"/>
              </w:rPr>
              <w:br/>
              <w:t>(0,133)</w:t>
            </w:r>
          </w:p>
        </w:tc>
      </w:tr>
      <w:tr w:rsidR="003E7080" w:rsidRPr="00FC4EB7" w14:paraId="565B4965" w14:textId="77777777" w:rsidTr="00005CD2">
        <w:trPr>
          <w:trHeight w:val="20"/>
          <w:jc w:val="center"/>
        </w:trPr>
        <w:tc>
          <w:tcPr>
            <w:tcW w:w="1201" w:type="pct"/>
            <w:tcBorders>
              <w:top w:val="nil"/>
              <w:left w:val="nil"/>
              <w:right w:val="nil"/>
            </w:tcBorders>
            <w:shd w:val="clear" w:color="000000" w:fill="FFFFFF"/>
          </w:tcPr>
          <w:p w14:paraId="3746CFF0" w14:textId="77777777" w:rsidR="003E7080" w:rsidRPr="00FC4EB7" w:rsidRDefault="003E7080"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Andere Unternehmen / Geschäftspartner</w:t>
            </w:r>
          </w:p>
        </w:tc>
        <w:tc>
          <w:tcPr>
            <w:tcW w:w="633" w:type="pct"/>
            <w:tcBorders>
              <w:top w:val="nil"/>
              <w:left w:val="nil"/>
              <w:right w:val="nil"/>
            </w:tcBorders>
            <w:shd w:val="clear" w:color="000000" w:fill="FFFFFF"/>
            <w:noWrap/>
          </w:tcPr>
          <w:p w14:paraId="32A3FC29" w14:textId="406A41B6"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0,303</w:t>
            </w:r>
            <w:r w:rsidRPr="00005CD2">
              <w:rPr>
                <w:rFonts w:cs="Times New Roman"/>
                <w:sz w:val="16"/>
                <w:szCs w:val="16"/>
              </w:rPr>
              <w:br/>
              <w:t>(0,248)</w:t>
            </w:r>
          </w:p>
        </w:tc>
        <w:tc>
          <w:tcPr>
            <w:tcW w:w="633" w:type="pct"/>
            <w:tcBorders>
              <w:top w:val="nil"/>
              <w:left w:val="nil"/>
              <w:right w:val="nil"/>
            </w:tcBorders>
            <w:shd w:val="clear" w:color="000000" w:fill="FFFFFF"/>
          </w:tcPr>
          <w:p w14:paraId="580D8B42" w14:textId="0DAA95C1"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0,195</w:t>
            </w:r>
            <w:r w:rsidRPr="00005CD2">
              <w:rPr>
                <w:rFonts w:cs="Times New Roman"/>
                <w:sz w:val="16"/>
                <w:szCs w:val="16"/>
              </w:rPr>
              <w:br/>
              <w:t>(0,242)</w:t>
            </w:r>
          </w:p>
        </w:tc>
        <w:tc>
          <w:tcPr>
            <w:tcW w:w="634" w:type="pct"/>
            <w:tcBorders>
              <w:top w:val="nil"/>
              <w:left w:val="nil"/>
              <w:right w:val="nil"/>
            </w:tcBorders>
            <w:shd w:val="clear" w:color="000000" w:fill="FFFFFF"/>
          </w:tcPr>
          <w:p w14:paraId="1AA43F11" w14:textId="3DF6DE86"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0,200</w:t>
            </w:r>
            <w:r w:rsidRPr="00005CD2">
              <w:rPr>
                <w:rFonts w:cs="Times New Roman"/>
                <w:sz w:val="16"/>
                <w:szCs w:val="16"/>
              </w:rPr>
              <w:br/>
              <w:t>(0,235)</w:t>
            </w:r>
          </w:p>
        </w:tc>
        <w:tc>
          <w:tcPr>
            <w:tcW w:w="633" w:type="pct"/>
            <w:tcBorders>
              <w:top w:val="nil"/>
              <w:left w:val="nil"/>
              <w:right w:val="nil"/>
            </w:tcBorders>
            <w:shd w:val="clear" w:color="000000" w:fill="FFFFFF"/>
          </w:tcPr>
          <w:p w14:paraId="2A142BB8" w14:textId="626AD7E7"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-0,435*</w:t>
            </w:r>
            <w:r w:rsidRPr="00005CD2">
              <w:rPr>
                <w:rFonts w:cs="Times New Roman"/>
                <w:sz w:val="16"/>
                <w:szCs w:val="16"/>
              </w:rPr>
              <w:br/>
              <w:t>(0,244)</w:t>
            </w:r>
          </w:p>
        </w:tc>
        <w:tc>
          <w:tcPr>
            <w:tcW w:w="633" w:type="pct"/>
            <w:tcBorders>
              <w:top w:val="nil"/>
              <w:left w:val="nil"/>
              <w:right w:val="nil"/>
            </w:tcBorders>
            <w:shd w:val="clear" w:color="000000" w:fill="FFFFFF"/>
          </w:tcPr>
          <w:p w14:paraId="62DE02B1" w14:textId="19BDCAF9"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-0,213</w:t>
            </w:r>
            <w:r w:rsidRPr="00005CD2">
              <w:rPr>
                <w:rFonts w:cs="Times New Roman"/>
                <w:sz w:val="16"/>
                <w:szCs w:val="16"/>
              </w:rPr>
              <w:br/>
              <w:t>(0,177)</w:t>
            </w:r>
          </w:p>
        </w:tc>
        <w:tc>
          <w:tcPr>
            <w:tcW w:w="633" w:type="pct"/>
            <w:tcBorders>
              <w:top w:val="nil"/>
              <w:left w:val="nil"/>
              <w:right w:val="nil"/>
            </w:tcBorders>
            <w:shd w:val="clear" w:color="000000" w:fill="FFFFFF"/>
          </w:tcPr>
          <w:p w14:paraId="7A1A19C3" w14:textId="775FE08A"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-0,349**</w:t>
            </w:r>
            <w:r w:rsidRPr="00005CD2">
              <w:rPr>
                <w:rFonts w:cs="Times New Roman"/>
                <w:sz w:val="16"/>
                <w:szCs w:val="16"/>
              </w:rPr>
              <w:br/>
              <w:t>(0,140)</w:t>
            </w:r>
          </w:p>
        </w:tc>
      </w:tr>
      <w:tr w:rsidR="003E7080" w:rsidRPr="00FC4EB7" w14:paraId="22B326CD" w14:textId="77777777" w:rsidTr="00005CD2">
        <w:trPr>
          <w:trHeight w:val="20"/>
          <w:jc w:val="center"/>
        </w:trPr>
        <w:tc>
          <w:tcPr>
            <w:tcW w:w="1201" w:type="pct"/>
            <w:tcBorders>
              <w:top w:val="nil"/>
              <w:left w:val="nil"/>
              <w:right w:val="nil"/>
            </w:tcBorders>
            <w:shd w:val="clear" w:color="000000" w:fill="FFFFFF"/>
          </w:tcPr>
          <w:p w14:paraId="071B95C4" w14:textId="77777777" w:rsidR="003E7080" w:rsidRPr="00FC4EB7" w:rsidRDefault="003E7080"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Öffentliche Aktionäre (Referenzgruppe)</w:t>
            </w:r>
          </w:p>
        </w:tc>
        <w:tc>
          <w:tcPr>
            <w:tcW w:w="633" w:type="pct"/>
            <w:tcBorders>
              <w:top w:val="nil"/>
              <w:left w:val="nil"/>
              <w:right w:val="nil"/>
            </w:tcBorders>
            <w:shd w:val="clear" w:color="000000" w:fill="FFFFFF"/>
            <w:noWrap/>
          </w:tcPr>
          <w:p w14:paraId="484D2D29"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53CA5722" w14:textId="77777777" w:rsidR="003E7080" w:rsidRPr="00005CD2" w:rsidRDefault="003E7080" w:rsidP="003E7080">
            <w:pPr>
              <w:snapToGrid w:val="0"/>
              <w:spacing w:before="40" w:after="40" w:line="240" w:lineRule="auto"/>
              <w:jc w:val="left"/>
              <w:rPr>
                <w:rFonts w:cs="Times New Roman"/>
                <w:sz w:val="16"/>
                <w:szCs w:val="16"/>
              </w:rPr>
            </w:pPr>
          </w:p>
        </w:tc>
        <w:tc>
          <w:tcPr>
            <w:tcW w:w="634" w:type="pct"/>
            <w:tcBorders>
              <w:top w:val="nil"/>
              <w:left w:val="nil"/>
              <w:right w:val="nil"/>
            </w:tcBorders>
            <w:shd w:val="clear" w:color="000000" w:fill="FFFFFF"/>
          </w:tcPr>
          <w:p w14:paraId="147D9A02"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3189EC5C"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133D50A7"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324BD83B" w14:textId="77777777" w:rsidR="003E7080" w:rsidRPr="00005CD2" w:rsidRDefault="003E7080" w:rsidP="003E7080">
            <w:pPr>
              <w:snapToGrid w:val="0"/>
              <w:spacing w:before="40" w:after="40" w:line="240" w:lineRule="auto"/>
              <w:jc w:val="left"/>
              <w:rPr>
                <w:rFonts w:cs="Times New Roman"/>
                <w:sz w:val="16"/>
                <w:szCs w:val="16"/>
              </w:rPr>
            </w:pPr>
          </w:p>
        </w:tc>
      </w:tr>
      <w:tr w:rsidR="003E7080" w:rsidRPr="00FC4EB7" w14:paraId="1AE72A32" w14:textId="77777777" w:rsidTr="00005CD2">
        <w:trPr>
          <w:trHeight w:val="20"/>
          <w:jc w:val="center"/>
        </w:trPr>
        <w:tc>
          <w:tcPr>
            <w:tcW w:w="1201" w:type="pct"/>
            <w:tcBorders>
              <w:top w:val="nil"/>
              <w:left w:val="nil"/>
              <w:right w:val="nil"/>
            </w:tcBorders>
            <w:shd w:val="clear" w:color="000000" w:fill="FFFFFF"/>
          </w:tcPr>
          <w:p w14:paraId="4DE4585E" w14:textId="77777777" w:rsidR="003E7080" w:rsidRPr="00F906E9" w:rsidRDefault="003E7080" w:rsidP="003E7080">
            <w:pPr>
              <w:snapToGrid w:val="0"/>
              <w:spacing w:before="40" w:after="40" w:line="240" w:lineRule="auto"/>
              <w:jc w:val="left"/>
              <w:rPr>
                <w:b/>
                <w:bCs/>
                <w:color w:val="000000"/>
                <w:sz w:val="16"/>
                <w:szCs w:val="16"/>
              </w:rPr>
            </w:pPr>
            <w:r w:rsidRPr="00F906E9">
              <w:rPr>
                <w:b/>
                <w:bCs/>
                <w:color w:val="000000"/>
                <w:sz w:val="16"/>
                <w:szCs w:val="16"/>
              </w:rPr>
              <w:t>Kapitalposition</w:t>
            </w:r>
          </w:p>
        </w:tc>
        <w:tc>
          <w:tcPr>
            <w:tcW w:w="633" w:type="pct"/>
            <w:tcBorders>
              <w:top w:val="nil"/>
              <w:left w:val="nil"/>
              <w:right w:val="nil"/>
            </w:tcBorders>
            <w:shd w:val="clear" w:color="000000" w:fill="FFFFFF"/>
            <w:noWrap/>
          </w:tcPr>
          <w:p w14:paraId="4C1EFC71"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5BC76346" w14:textId="77777777" w:rsidR="003E7080" w:rsidRPr="00005CD2" w:rsidRDefault="003E7080" w:rsidP="003E7080">
            <w:pPr>
              <w:snapToGrid w:val="0"/>
              <w:spacing w:before="40" w:after="40" w:line="240" w:lineRule="auto"/>
              <w:jc w:val="left"/>
              <w:rPr>
                <w:rFonts w:cs="Times New Roman"/>
                <w:sz w:val="16"/>
                <w:szCs w:val="16"/>
              </w:rPr>
            </w:pPr>
          </w:p>
        </w:tc>
        <w:tc>
          <w:tcPr>
            <w:tcW w:w="634" w:type="pct"/>
            <w:tcBorders>
              <w:top w:val="nil"/>
              <w:left w:val="nil"/>
              <w:right w:val="nil"/>
            </w:tcBorders>
            <w:shd w:val="clear" w:color="000000" w:fill="FFFFFF"/>
          </w:tcPr>
          <w:p w14:paraId="0B3867AC"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0DEDF2E6"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7C8C2AFB"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2859DFB0" w14:textId="77777777" w:rsidR="003E7080" w:rsidRPr="00005CD2" w:rsidRDefault="003E7080" w:rsidP="003E7080">
            <w:pPr>
              <w:snapToGrid w:val="0"/>
              <w:spacing w:before="40" w:after="40" w:line="240" w:lineRule="auto"/>
              <w:jc w:val="left"/>
              <w:rPr>
                <w:rFonts w:cs="Times New Roman"/>
                <w:sz w:val="16"/>
                <w:szCs w:val="16"/>
              </w:rPr>
            </w:pPr>
          </w:p>
        </w:tc>
      </w:tr>
      <w:tr w:rsidR="003E7080" w:rsidRPr="00FC4EB7" w14:paraId="14F047B8" w14:textId="77777777" w:rsidTr="00005CD2">
        <w:trPr>
          <w:trHeight w:val="20"/>
          <w:jc w:val="center"/>
        </w:trPr>
        <w:tc>
          <w:tcPr>
            <w:tcW w:w="1201" w:type="pct"/>
            <w:tcBorders>
              <w:top w:val="nil"/>
              <w:left w:val="nil"/>
              <w:right w:val="nil"/>
            </w:tcBorders>
            <w:shd w:val="clear" w:color="000000" w:fill="FFFFFF"/>
          </w:tcPr>
          <w:p w14:paraId="314A900A" w14:textId="77777777" w:rsidR="003E7080" w:rsidRDefault="003E7080"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Gestiegen</w:t>
            </w:r>
          </w:p>
        </w:tc>
        <w:tc>
          <w:tcPr>
            <w:tcW w:w="633" w:type="pct"/>
            <w:tcBorders>
              <w:top w:val="nil"/>
              <w:left w:val="nil"/>
              <w:right w:val="nil"/>
            </w:tcBorders>
            <w:shd w:val="clear" w:color="000000" w:fill="FFFFFF"/>
            <w:noWrap/>
          </w:tcPr>
          <w:p w14:paraId="14849B3D" w14:textId="737AE125"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0,162</w:t>
            </w:r>
            <w:r w:rsidRPr="00005CD2">
              <w:rPr>
                <w:rFonts w:cs="Times New Roman"/>
                <w:sz w:val="16"/>
                <w:szCs w:val="16"/>
              </w:rPr>
              <w:br/>
              <w:t>(0,143)</w:t>
            </w:r>
          </w:p>
        </w:tc>
        <w:tc>
          <w:tcPr>
            <w:tcW w:w="633" w:type="pct"/>
            <w:tcBorders>
              <w:top w:val="nil"/>
              <w:left w:val="nil"/>
              <w:right w:val="nil"/>
            </w:tcBorders>
            <w:shd w:val="clear" w:color="000000" w:fill="FFFFFF"/>
          </w:tcPr>
          <w:p w14:paraId="3E443134" w14:textId="7C30F982"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-0,111</w:t>
            </w:r>
            <w:r w:rsidRPr="00005CD2">
              <w:rPr>
                <w:rFonts w:cs="Times New Roman"/>
                <w:sz w:val="16"/>
                <w:szCs w:val="16"/>
              </w:rPr>
              <w:br/>
              <w:t>(0,130)</w:t>
            </w:r>
          </w:p>
        </w:tc>
        <w:tc>
          <w:tcPr>
            <w:tcW w:w="634" w:type="pct"/>
            <w:tcBorders>
              <w:top w:val="nil"/>
              <w:left w:val="nil"/>
              <w:right w:val="nil"/>
            </w:tcBorders>
            <w:shd w:val="clear" w:color="000000" w:fill="FFFFFF"/>
          </w:tcPr>
          <w:p w14:paraId="59205AA7" w14:textId="5C4E4615"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-0,312**</w:t>
            </w:r>
            <w:r w:rsidRPr="00005CD2">
              <w:rPr>
                <w:rFonts w:cs="Times New Roman"/>
                <w:sz w:val="16"/>
                <w:szCs w:val="16"/>
              </w:rPr>
              <w:br/>
              <w:t>(0,136)</w:t>
            </w:r>
          </w:p>
        </w:tc>
        <w:tc>
          <w:tcPr>
            <w:tcW w:w="633" w:type="pct"/>
            <w:tcBorders>
              <w:top w:val="nil"/>
              <w:left w:val="nil"/>
              <w:right w:val="nil"/>
            </w:tcBorders>
            <w:shd w:val="clear" w:color="000000" w:fill="FFFFFF"/>
          </w:tcPr>
          <w:p w14:paraId="49428C70" w14:textId="4E5875D7"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0,164</w:t>
            </w:r>
            <w:r w:rsidRPr="00005CD2">
              <w:rPr>
                <w:rFonts w:cs="Times New Roman"/>
                <w:sz w:val="16"/>
                <w:szCs w:val="16"/>
              </w:rPr>
              <w:br/>
              <w:t>(0,156)</w:t>
            </w:r>
          </w:p>
        </w:tc>
        <w:tc>
          <w:tcPr>
            <w:tcW w:w="633" w:type="pct"/>
            <w:tcBorders>
              <w:top w:val="nil"/>
              <w:left w:val="nil"/>
              <w:right w:val="nil"/>
            </w:tcBorders>
            <w:shd w:val="clear" w:color="000000" w:fill="FFFFFF"/>
          </w:tcPr>
          <w:p w14:paraId="19128160" w14:textId="49E7E8B2"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0,019</w:t>
            </w:r>
            <w:r w:rsidRPr="00005CD2">
              <w:rPr>
                <w:rFonts w:cs="Times New Roman"/>
                <w:sz w:val="16"/>
                <w:szCs w:val="16"/>
              </w:rPr>
              <w:br/>
              <w:t>(0,129)</w:t>
            </w:r>
          </w:p>
        </w:tc>
        <w:tc>
          <w:tcPr>
            <w:tcW w:w="633" w:type="pct"/>
            <w:tcBorders>
              <w:top w:val="nil"/>
              <w:left w:val="nil"/>
              <w:right w:val="nil"/>
            </w:tcBorders>
            <w:shd w:val="clear" w:color="000000" w:fill="FFFFFF"/>
          </w:tcPr>
          <w:p w14:paraId="75FA0DCC" w14:textId="2B979E38"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-0,051</w:t>
            </w:r>
            <w:r w:rsidRPr="00005CD2">
              <w:rPr>
                <w:rFonts w:cs="Times New Roman"/>
                <w:sz w:val="16"/>
                <w:szCs w:val="16"/>
              </w:rPr>
              <w:br/>
              <w:t>(0,090)</w:t>
            </w:r>
          </w:p>
        </w:tc>
      </w:tr>
      <w:tr w:rsidR="003E7080" w:rsidRPr="00FC4EB7" w14:paraId="712A385D" w14:textId="77777777" w:rsidTr="00005CD2">
        <w:trPr>
          <w:trHeight w:val="20"/>
          <w:jc w:val="center"/>
        </w:trPr>
        <w:tc>
          <w:tcPr>
            <w:tcW w:w="1201" w:type="pct"/>
            <w:tcBorders>
              <w:top w:val="nil"/>
              <w:left w:val="nil"/>
              <w:right w:val="nil"/>
            </w:tcBorders>
            <w:shd w:val="clear" w:color="000000" w:fill="FFFFFF"/>
          </w:tcPr>
          <w:p w14:paraId="60FC1404" w14:textId="77777777" w:rsidR="003E7080" w:rsidRPr="00FC4EB7" w:rsidRDefault="003E7080" w:rsidP="001A4E15">
            <w:pPr>
              <w:pStyle w:val="Listenabsatz"/>
              <w:numPr>
                <w:ilvl w:val="0"/>
                <w:numId w:val="10"/>
              </w:numPr>
              <w:snapToGrid w:val="0"/>
              <w:spacing w:before="40" w:after="0" w:line="240" w:lineRule="auto"/>
              <w:ind w:left="142" w:hanging="142"/>
              <w:jc w:val="left"/>
              <w:rPr>
                <w:color w:val="000000"/>
                <w:sz w:val="16"/>
                <w:szCs w:val="16"/>
              </w:rPr>
            </w:pPr>
            <w:r>
              <w:rPr>
                <w:color w:val="000000"/>
                <w:sz w:val="16"/>
                <w:szCs w:val="16"/>
              </w:rPr>
              <w:t>Unverändert</w:t>
            </w:r>
          </w:p>
        </w:tc>
        <w:tc>
          <w:tcPr>
            <w:tcW w:w="633" w:type="pct"/>
            <w:tcBorders>
              <w:top w:val="nil"/>
              <w:left w:val="nil"/>
              <w:right w:val="nil"/>
            </w:tcBorders>
            <w:shd w:val="clear" w:color="000000" w:fill="FFFFFF"/>
            <w:noWrap/>
          </w:tcPr>
          <w:p w14:paraId="4198C3CE" w14:textId="72C5A300" w:rsidR="003E7080" w:rsidRPr="00F4368C" w:rsidRDefault="003E7080" w:rsidP="003E7080">
            <w:pPr>
              <w:snapToGrid w:val="0"/>
              <w:spacing w:before="40" w:after="40" w:line="240" w:lineRule="auto"/>
              <w:jc w:val="left"/>
              <w:rPr>
                <w:color w:val="000000"/>
                <w:sz w:val="16"/>
                <w:szCs w:val="16"/>
              </w:rPr>
            </w:pPr>
            <w:r w:rsidRPr="00F4368C">
              <w:rPr>
                <w:color w:val="000000"/>
                <w:sz w:val="16"/>
                <w:szCs w:val="16"/>
              </w:rPr>
              <w:t>0,228*</w:t>
            </w:r>
            <w:r w:rsidRPr="00F4368C">
              <w:rPr>
                <w:color w:val="000000"/>
                <w:sz w:val="16"/>
                <w:szCs w:val="16"/>
              </w:rPr>
              <w:br/>
              <w:t>(0,130)</w:t>
            </w:r>
          </w:p>
        </w:tc>
        <w:tc>
          <w:tcPr>
            <w:tcW w:w="633" w:type="pct"/>
            <w:tcBorders>
              <w:top w:val="nil"/>
              <w:left w:val="nil"/>
              <w:right w:val="nil"/>
            </w:tcBorders>
            <w:shd w:val="clear" w:color="000000" w:fill="FFFFFF"/>
          </w:tcPr>
          <w:p w14:paraId="1C9C9453" w14:textId="383E0BAD" w:rsidR="003E7080" w:rsidRPr="00F4368C" w:rsidRDefault="003E7080" w:rsidP="003E7080">
            <w:pPr>
              <w:snapToGrid w:val="0"/>
              <w:spacing w:before="40" w:after="40" w:line="240" w:lineRule="auto"/>
              <w:jc w:val="left"/>
              <w:rPr>
                <w:color w:val="000000"/>
                <w:sz w:val="16"/>
                <w:szCs w:val="16"/>
              </w:rPr>
            </w:pPr>
            <w:r w:rsidRPr="00F4368C">
              <w:rPr>
                <w:color w:val="000000"/>
                <w:sz w:val="16"/>
                <w:szCs w:val="16"/>
              </w:rPr>
              <w:t>-0,077</w:t>
            </w:r>
            <w:r w:rsidRPr="00F4368C">
              <w:rPr>
                <w:color w:val="000000"/>
                <w:sz w:val="16"/>
                <w:szCs w:val="16"/>
              </w:rPr>
              <w:br/>
              <w:t>(0,116)</w:t>
            </w:r>
          </w:p>
        </w:tc>
        <w:tc>
          <w:tcPr>
            <w:tcW w:w="634" w:type="pct"/>
            <w:tcBorders>
              <w:top w:val="nil"/>
              <w:left w:val="nil"/>
              <w:right w:val="nil"/>
            </w:tcBorders>
            <w:shd w:val="clear" w:color="000000" w:fill="FFFFFF"/>
          </w:tcPr>
          <w:p w14:paraId="3DF2E980" w14:textId="324F34EF" w:rsidR="003E7080" w:rsidRPr="00F4368C" w:rsidRDefault="003E7080" w:rsidP="003E7080">
            <w:pPr>
              <w:snapToGrid w:val="0"/>
              <w:spacing w:before="40" w:after="40" w:line="240" w:lineRule="auto"/>
              <w:jc w:val="left"/>
              <w:rPr>
                <w:color w:val="000000"/>
                <w:sz w:val="16"/>
                <w:szCs w:val="16"/>
              </w:rPr>
            </w:pPr>
            <w:r w:rsidRPr="00F4368C">
              <w:rPr>
                <w:color w:val="000000"/>
                <w:sz w:val="16"/>
                <w:szCs w:val="16"/>
              </w:rPr>
              <w:t>-0,138</w:t>
            </w:r>
            <w:r w:rsidRPr="00F4368C">
              <w:rPr>
                <w:color w:val="000000"/>
                <w:sz w:val="16"/>
                <w:szCs w:val="16"/>
              </w:rPr>
              <w:br/>
              <w:t>(0,120)</w:t>
            </w:r>
          </w:p>
        </w:tc>
        <w:tc>
          <w:tcPr>
            <w:tcW w:w="633" w:type="pct"/>
            <w:tcBorders>
              <w:top w:val="nil"/>
              <w:left w:val="nil"/>
              <w:right w:val="nil"/>
            </w:tcBorders>
            <w:shd w:val="clear" w:color="000000" w:fill="FFFFFF"/>
          </w:tcPr>
          <w:p w14:paraId="2AF4B9EE" w14:textId="77C40289" w:rsidR="003E7080" w:rsidRPr="00F4368C" w:rsidRDefault="003E7080" w:rsidP="003E7080">
            <w:pPr>
              <w:snapToGrid w:val="0"/>
              <w:spacing w:before="40" w:after="40" w:line="240" w:lineRule="auto"/>
              <w:jc w:val="left"/>
              <w:rPr>
                <w:color w:val="000000"/>
                <w:sz w:val="16"/>
                <w:szCs w:val="16"/>
              </w:rPr>
            </w:pPr>
            <w:r w:rsidRPr="00F4368C">
              <w:rPr>
                <w:color w:val="000000"/>
                <w:sz w:val="16"/>
                <w:szCs w:val="16"/>
              </w:rPr>
              <w:t>-0,021</w:t>
            </w:r>
            <w:r w:rsidRPr="00F4368C">
              <w:rPr>
                <w:color w:val="000000"/>
                <w:sz w:val="16"/>
                <w:szCs w:val="16"/>
              </w:rPr>
              <w:br/>
              <w:t>(0,143)</w:t>
            </w:r>
          </w:p>
        </w:tc>
        <w:tc>
          <w:tcPr>
            <w:tcW w:w="633" w:type="pct"/>
            <w:tcBorders>
              <w:top w:val="nil"/>
              <w:left w:val="nil"/>
              <w:right w:val="nil"/>
            </w:tcBorders>
            <w:shd w:val="clear" w:color="000000" w:fill="FFFFFF"/>
          </w:tcPr>
          <w:p w14:paraId="098D9E8E" w14:textId="29D8A117" w:rsidR="003E7080" w:rsidRPr="00F4368C" w:rsidRDefault="003E7080" w:rsidP="003E7080">
            <w:pPr>
              <w:snapToGrid w:val="0"/>
              <w:spacing w:before="40" w:after="40" w:line="240" w:lineRule="auto"/>
              <w:jc w:val="left"/>
              <w:rPr>
                <w:color w:val="000000"/>
                <w:sz w:val="16"/>
                <w:szCs w:val="16"/>
              </w:rPr>
            </w:pPr>
            <w:r w:rsidRPr="00F4368C">
              <w:rPr>
                <w:color w:val="000000"/>
                <w:sz w:val="16"/>
                <w:szCs w:val="16"/>
              </w:rPr>
              <w:t>0,107</w:t>
            </w:r>
            <w:r w:rsidRPr="00F4368C">
              <w:rPr>
                <w:color w:val="000000"/>
                <w:sz w:val="16"/>
                <w:szCs w:val="16"/>
              </w:rPr>
              <w:br/>
              <w:t>(0,118)</w:t>
            </w:r>
          </w:p>
        </w:tc>
        <w:tc>
          <w:tcPr>
            <w:tcW w:w="633" w:type="pct"/>
            <w:tcBorders>
              <w:top w:val="nil"/>
              <w:left w:val="nil"/>
              <w:right w:val="nil"/>
            </w:tcBorders>
            <w:shd w:val="clear" w:color="000000" w:fill="FFFFFF"/>
          </w:tcPr>
          <w:p w14:paraId="19085ED1" w14:textId="404A623B" w:rsidR="003E7080" w:rsidRPr="00F4368C" w:rsidRDefault="003E7080" w:rsidP="003E7080">
            <w:pPr>
              <w:snapToGrid w:val="0"/>
              <w:spacing w:before="40" w:after="40" w:line="240" w:lineRule="auto"/>
              <w:jc w:val="left"/>
              <w:rPr>
                <w:color w:val="000000"/>
                <w:sz w:val="16"/>
                <w:szCs w:val="16"/>
              </w:rPr>
            </w:pPr>
            <w:r w:rsidRPr="00F4368C">
              <w:rPr>
                <w:color w:val="000000"/>
                <w:sz w:val="16"/>
                <w:szCs w:val="16"/>
              </w:rPr>
              <w:t>0,208***</w:t>
            </w:r>
            <w:r w:rsidRPr="00F4368C">
              <w:rPr>
                <w:color w:val="000000"/>
                <w:sz w:val="16"/>
                <w:szCs w:val="16"/>
              </w:rPr>
              <w:br/>
              <w:t>(0,080)</w:t>
            </w:r>
          </w:p>
        </w:tc>
      </w:tr>
      <w:tr w:rsidR="003E7080" w:rsidRPr="00FC4EB7" w14:paraId="78404649" w14:textId="77777777" w:rsidTr="00005CD2">
        <w:trPr>
          <w:trHeight w:val="20"/>
          <w:jc w:val="center"/>
        </w:trPr>
        <w:tc>
          <w:tcPr>
            <w:tcW w:w="1201" w:type="pct"/>
            <w:tcBorders>
              <w:top w:val="nil"/>
              <w:left w:val="nil"/>
              <w:right w:val="nil"/>
            </w:tcBorders>
            <w:shd w:val="clear" w:color="000000" w:fill="FFFFFF"/>
          </w:tcPr>
          <w:p w14:paraId="7BC129B7" w14:textId="77777777" w:rsidR="003E7080" w:rsidRPr="00FC4EB7" w:rsidRDefault="003E7080" w:rsidP="001A4E15">
            <w:pPr>
              <w:pStyle w:val="Listenabsatz"/>
              <w:numPr>
                <w:ilvl w:val="0"/>
                <w:numId w:val="10"/>
              </w:numPr>
              <w:snapToGrid w:val="0"/>
              <w:spacing w:before="40" w:after="0" w:line="240" w:lineRule="auto"/>
              <w:ind w:left="142" w:hanging="142"/>
              <w:jc w:val="left"/>
              <w:rPr>
                <w:color w:val="000000"/>
                <w:sz w:val="16"/>
                <w:szCs w:val="16"/>
              </w:rPr>
            </w:pPr>
            <w:r>
              <w:rPr>
                <w:color w:val="000000"/>
                <w:sz w:val="16"/>
                <w:szCs w:val="16"/>
              </w:rPr>
              <w:t>Verringert (Referenzgruppe)</w:t>
            </w:r>
          </w:p>
        </w:tc>
        <w:tc>
          <w:tcPr>
            <w:tcW w:w="633" w:type="pct"/>
            <w:tcBorders>
              <w:top w:val="nil"/>
              <w:left w:val="nil"/>
              <w:right w:val="nil"/>
            </w:tcBorders>
            <w:shd w:val="clear" w:color="000000" w:fill="FFFFFF"/>
            <w:noWrap/>
          </w:tcPr>
          <w:p w14:paraId="3C6A3AE8" w14:textId="77777777" w:rsidR="003E7080" w:rsidRPr="00F4368C" w:rsidRDefault="003E7080" w:rsidP="003E7080">
            <w:pPr>
              <w:snapToGrid w:val="0"/>
              <w:spacing w:before="40" w:after="0" w:line="240" w:lineRule="auto"/>
              <w:jc w:val="left"/>
              <w:rPr>
                <w:color w:val="000000"/>
                <w:sz w:val="16"/>
                <w:szCs w:val="16"/>
              </w:rPr>
            </w:pPr>
          </w:p>
        </w:tc>
        <w:tc>
          <w:tcPr>
            <w:tcW w:w="633" w:type="pct"/>
            <w:tcBorders>
              <w:top w:val="nil"/>
              <w:left w:val="nil"/>
              <w:right w:val="nil"/>
            </w:tcBorders>
            <w:shd w:val="clear" w:color="000000" w:fill="FFFFFF"/>
          </w:tcPr>
          <w:p w14:paraId="52629FA3" w14:textId="77777777" w:rsidR="003E7080" w:rsidRPr="00F4368C" w:rsidRDefault="003E7080" w:rsidP="003E7080">
            <w:pPr>
              <w:snapToGrid w:val="0"/>
              <w:spacing w:before="40" w:after="0" w:line="240" w:lineRule="auto"/>
              <w:jc w:val="left"/>
              <w:rPr>
                <w:color w:val="000000"/>
                <w:sz w:val="16"/>
                <w:szCs w:val="16"/>
              </w:rPr>
            </w:pPr>
          </w:p>
        </w:tc>
        <w:tc>
          <w:tcPr>
            <w:tcW w:w="634" w:type="pct"/>
            <w:tcBorders>
              <w:top w:val="nil"/>
              <w:left w:val="nil"/>
              <w:right w:val="nil"/>
            </w:tcBorders>
            <w:shd w:val="clear" w:color="000000" w:fill="FFFFFF"/>
          </w:tcPr>
          <w:p w14:paraId="2C930363" w14:textId="77777777" w:rsidR="003E7080" w:rsidRPr="00F4368C" w:rsidRDefault="003E7080" w:rsidP="003E7080">
            <w:pPr>
              <w:snapToGrid w:val="0"/>
              <w:spacing w:before="40" w:after="0" w:line="240" w:lineRule="auto"/>
              <w:jc w:val="left"/>
              <w:rPr>
                <w:color w:val="000000"/>
                <w:sz w:val="16"/>
                <w:szCs w:val="16"/>
              </w:rPr>
            </w:pPr>
          </w:p>
        </w:tc>
        <w:tc>
          <w:tcPr>
            <w:tcW w:w="633" w:type="pct"/>
            <w:tcBorders>
              <w:top w:val="nil"/>
              <w:left w:val="nil"/>
              <w:right w:val="nil"/>
            </w:tcBorders>
            <w:shd w:val="clear" w:color="000000" w:fill="FFFFFF"/>
          </w:tcPr>
          <w:p w14:paraId="1EF5B845" w14:textId="77777777" w:rsidR="003E7080" w:rsidRPr="00F4368C" w:rsidRDefault="003E7080" w:rsidP="003E7080">
            <w:pPr>
              <w:snapToGrid w:val="0"/>
              <w:spacing w:before="40" w:after="0" w:line="240" w:lineRule="auto"/>
              <w:jc w:val="left"/>
              <w:rPr>
                <w:color w:val="000000"/>
                <w:sz w:val="16"/>
                <w:szCs w:val="16"/>
              </w:rPr>
            </w:pPr>
          </w:p>
        </w:tc>
        <w:tc>
          <w:tcPr>
            <w:tcW w:w="633" w:type="pct"/>
            <w:tcBorders>
              <w:top w:val="nil"/>
              <w:left w:val="nil"/>
              <w:right w:val="nil"/>
            </w:tcBorders>
            <w:shd w:val="clear" w:color="000000" w:fill="FFFFFF"/>
          </w:tcPr>
          <w:p w14:paraId="53AAF799" w14:textId="77777777" w:rsidR="003E7080" w:rsidRPr="00F4368C" w:rsidRDefault="003E7080" w:rsidP="003E7080">
            <w:pPr>
              <w:snapToGrid w:val="0"/>
              <w:spacing w:before="40" w:after="0" w:line="240" w:lineRule="auto"/>
              <w:jc w:val="left"/>
              <w:rPr>
                <w:color w:val="000000"/>
                <w:sz w:val="16"/>
                <w:szCs w:val="16"/>
              </w:rPr>
            </w:pPr>
          </w:p>
        </w:tc>
        <w:tc>
          <w:tcPr>
            <w:tcW w:w="633" w:type="pct"/>
            <w:tcBorders>
              <w:top w:val="nil"/>
              <w:left w:val="nil"/>
              <w:right w:val="nil"/>
            </w:tcBorders>
            <w:shd w:val="clear" w:color="000000" w:fill="FFFFFF"/>
          </w:tcPr>
          <w:p w14:paraId="60E97BD3" w14:textId="77777777" w:rsidR="003E7080" w:rsidRPr="00F4368C" w:rsidRDefault="003E7080" w:rsidP="003E7080">
            <w:pPr>
              <w:snapToGrid w:val="0"/>
              <w:spacing w:before="40" w:after="0" w:line="240" w:lineRule="auto"/>
              <w:jc w:val="left"/>
              <w:rPr>
                <w:color w:val="000000"/>
                <w:sz w:val="16"/>
                <w:szCs w:val="16"/>
              </w:rPr>
            </w:pPr>
          </w:p>
        </w:tc>
      </w:tr>
      <w:tr w:rsidR="003E7080" w:rsidRPr="00FC4EB7" w14:paraId="44BD99BB" w14:textId="77777777" w:rsidTr="00005CD2">
        <w:trPr>
          <w:trHeight w:val="20"/>
          <w:jc w:val="center"/>
        </w:trPr>
        <w:tc>
          <w:tcPr>
            <w:tcW w:w="1201" w:type="pct"/>
            <w:tcBorders>
              <w:top w:val="nil"/>
              <w:left w:val="nil"/>
              <w:right w:val="nil"/>
            </w:tcBorders>
            <w:shd w:val="clear" w:color="000000" w:fill="FFFFFF"/>
          </w:tcPr>
          <w:p w14:paraId="54D5494B" w14:textId="77777777" w:rsidR="003E7080" w:rsidRPr="00F906E9" w:rsidRDefault="003E7080" w:rsidP="003E7080">
            <w:pPr>
              <w:snapToGrid w:val="0"/>
              <w:spacing w:before="40" w:after="40" w:line="240" w:lineRule="auto"/>
              <w:jc w:val="left"/>
              <w:rPr>
                <w:b/>
                <w:bCs/>
                <w:color w:val="000000"/>
                <w:sz w:val="16"/>
                <w:szCs w:val="16"/>
              </w:rPr>
            </w:pPr>
            <w:r w:rsidRPr="00F906E9">
              <w:rPr>
                <w:b/>
                <w:bCs/>
                <w:color w:val="000000"/>
                <w:sz w:val="16"/>
                <w:szCs w:val="16"/>
              </w:rPr>
              <w:t>Gewinn</w:t>
            </w:r>
          </w:p>
        </w:tc>
        <w:tc>
          <w:tcPr>
            <w:tcW w:w="633" w:type="pct"/>
            <w:tcBorders>
              <w:top w:val="nil"/>
              <w:left w:val="nil"/>
              <w:right w:val="nil"/>
            </w:tcBorders>
            <w:shd w:val="clear" w:color="000000" w:fill="FFFFFF"/>
            <w:noWrap/>
          </w:tcPr>
          <w:p w14:paraId="156995F2"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0EAA1446" w14:textId="77777777" w:rsidR="003E7080" w:rsidRPr="00005CD2" w:rsidRDefault="003E7080" w:rsidP="003E7080">
            <w:pPr>
              <w:snapToGrid w:val="0"/>
              <w:spacing w:before="40" w:after="40" w:line="240" w:lineRule="auto"/>
              <w:jc w:val="left"/>
              <w:rPr>
                <w:rFonts w:cs="Times New Roman"/>
                <w:sz w:val="16"/>
                <w:szCs w:val="16"/>
              </w:rPr>
            </w:pPr>
          </w:p>
        </w:tc>
        <w:tc>
          <w:tcPr>
            <w:tcW w:w="634" w:type="pct"/>
            <w:tcBorders>
              <w:top w:val="nil"/>
              <w:left w:val="nil"/>
              <w:right w:val="nil"/>
            </w:tcBorders>
            <w:shd w:val="clear" w:color="000000" w:fill="FFFFFF"/>
          </w:tcPr>
          <w:p w14:paraId="2DD86D1D"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62DEC767"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17949A67"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3AF42F0B" w14:textId="77777777" w:rsidR="003E7080" w:rsidRPr="00005CD2" w:rsidRDefault="003E7080" w:rsidP="003E7080">
            <w:pPr>
              <w:snapToGrid w:val="0"/>
              <w:spacing w:before="40" w:after="40" w:line="240" w:lineRule="auto"/>
              <w:jc w:val="left"/>
              <w:rPr>
                <w:rFonts w:cs="Times New Roman"/>
                <w:sz w:val="16"/>
                <w:szCs w:val="16"/>
              </w:rPr>
            </w:pPr>
          </w:p>
        </w:tc>
      </w:tr>
      <w:tr w:rsidR="003E7080" w:rsidRPr="00FC4EB7" w14:paraId="54F14269" w14:textId="77777777" w:rsidTr="00005CD2">
        <w:trPr>
          <w:trHeight w:val="20"/>
          <w:jc w:val="center"/>
        </w:trPr>
        <w:tc>
          <w:tcPr>
            <w:tcW w:w="1201" w:type="pct"/>
            <w:tcBorders>
              <w:top w:val="nil"/>
              <w:left w:val="nil"/>
              <w:right w:val="nil"/>
            </w:tcBorders>
            <w:shd w:val="clear" w:color="000000" w:fill="FFFFFF"/>
          </w:tcPr>
          <w:p w14:paraId="38BF6184" w14:textId="77777777" w:rsidR="003E7080" w:rsidRDefault="003E7080"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Gestiegen</w:t>
            </w:r>
          </w:p>
        </w:tc>
        <w:tc>
          <w:tcPr>
            <w:tcW w:w="633" w:type="pct"/>
            <w:tcBorders>
              <w:top w:val="nil"/>
              <w:left w:val="nil"/>
              <w:right w:val="nil"/>
            </w:tcBorders>
            <w:shd w:val="clear" w:color="000000" w:fill="FFFFFF"/>
            <w:noWrap/>
          </w:tcPr>
          <w:p w14:paraId="210CE2D7" w14:textId="7F0146D7"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0,072</w:t>
            </w:r>
            <w:r w:rsidRPr="00005CD2">
              <w:rPr>
                <w:rFonts w:cs="Times New Roman"/>
                <w:sz w:val="16"/>
                <w:szCs w:val="16"/>
              </w:rPr>
              <w:br/>
              <w:t>(0,090)</w:t>
            </w:r>
          </w:p>
        </w:tc>
        <w:tc>
          <w:tcPr>
            <w:tcW w:w="633" w:type="pct"/>
            <w:tcBorders>
              <w:top w:val="nil"/>
              <w:left w:val="nil"/>
              <w:right w:val="nil"/>
            </w:tcBorders>
            <w:shd w:val="clear" w:color="000000" w:fill="FFFFFF"/>
          </w:tcPr>
          <w:p w14:paraId="06671C70" w14:textId="6429519C"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-0,148</w:t>
            </w:r>
            <w:r w:rsidRPr="00005CD2">
              <w:rPr>
                <w:rFonts w:cs="Times New Roman"/>
                <w:sz w:val="16"/>
                <w:szCs w:val="16"/>
              </w:rPr>
              <w:br/>
              <w:t>(0,091)</w:t>
            </w:r>
          </w:p>
        </w:tc>
        <w:tc>
          <w:tcPr>
            <w:tcW w:w="634" w:type="pct"/>
            <w:tcBorders>
              <w:top w:val="nil"/>
              <w:left w:val="nil"/>
              <w:right w:val="nil"/>
            </w:tcBorders>
            <w:shd w:val="clear" w:color="000000" w:fill="FFFFFF"/>
          </w:tcPr>
          <w:p w14:paraId="3CBAAF5B" w14:textId="43FFC5A9"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0,078</w:t>
            </w:r>
            <w:r w:rsidRPr="00005CD2">
              <w:rPr>
                <w:rFonts w:cs="Times New Roman"/>
                <w:sz w:val="16"/>
                <w:szCs w:val="16"/>
              </w:rPr>
              <w:br/>
              <w:t>(0,093)</w:t>
            </w:r>
          </w:p>
        </w:tc>
        <w:tc>
          <w:tcPr>
            <w:tcW w:w="633" w:type="pct"/>
            <w:tcBorders>
              <w:top w:val="nil"/>
              <w:left w:val="nil"/>
              <w:right w:val="nil"/>
            </w:tcBorders>
            <w:shd w:val="clear" w:color="000000" w:fill="FFFFFF"/>
          </w:tcPr>
          <w:p w14:paraId="60E61883" w14:textId="53EAEC3B"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-0,001</w:t>
            </w:r>
            <w:r w:rsidRPr="00005CD2">
              <w:rPr>
                <w:rFonts w:cs="Times New Roman"/>
                <w:sz w:val="16"/>
                <w:szCs w:val="16"/>
              </w:rPr>
              <w:br/>
              <w:t>(0,100)</w:t>
            </w:r>
          </w:p>
        </w:tc>
        <w:tc>
          <w:tcPr>
            <w:tcW w:w="633" w:type="pct"/>
            <w:tcBorders>
              <w:top w:val="nil"/>
              <w:left w:val="nil"/>
              <w:right w:val="nil"/>
            </w:tcBorders>
            <w:shd w:val="clear" w:color="000000" w:fill="FFFFFF"/>
          </w:tcPr>
          <w:p w14:paraId="76474D5A" w14:textId="1152AF17"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0,171**</w:t>
            </w:r>
            <w:r w:rsidRPr="00005CD2">
              <w:rPr>
                <w:rFonts w:cs="Times New Roman"/>
                <w:sz w:val="16"/>
                <w:szCs w:val="16"/>
              </w:rPr>
              <w:br/>
              <w:t>(0,084)</w:t>
            </w:r>
          </w:p>
        </w:tc>
        <w:tc>
          <w:tcPr>
            <w:tcW w:w="633" w:type="pct"/>
            <w:tcBorders>
              <w:top w:val="nil"/>
              <w:left w:val="nil"/>
              <w:right w:val="nil"/>
            </w:tcBorders>
            <w:shd w:val="clear" w:color="000000" w:fill="FFFFFF"/>
          </w:tcPr>
          <w:p w14:paraId="286F67E3" w14:textId="0A702306"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0,028</w:t>
            </w:r>
            <w:r w:rsidRPr="00005CD2">
              <w:rPr>
                <w:rFonts w:cs="Times New Roman"/>
                <w:sz w:val="16"/>
                <w:szCs w:val="16"/>
              </w:rPr>
              <w:br/>
              <w:t>(0,059)</w:t>
            </w:r>
          </w:p>
        </w:tc>
      </w:tr>
      <w:tr w:rsidR="003E7080" w:rsidRPr="00FC4EB7" w14:paraId="1C5F1915" w14:textId="77777777" w:rsidTr="00005CD2">
        <w:trPr>
          <w:trHeight w:val="20"/>
          <w:jc w:val="center"/>
        </w:trPr>
        <w:tc>
          <w:tcPr>
            <w:tcW w:w="1201" w:type="pct"/>
            <w:tcBorders>
              <w:top w:val="nil"/>
              <w:left w:val="nil"/>
              <w:right w:val="nil"/>
            </w:tcBorders>
            <w:shd w:val="clear" w:color="000000" w:fill="FFFFFF"/>
          </w:tcPr>
          <w:p w14:paraId="468D92E8" w14:textId="77777777" w:rsidR="003E7080" w:rsidRPr="00FC4EB7" w:rsidRDefault="003E7080" w:rsidP="001A4E15">
            <w:pPr>
              <w:pStyle w:val="Listenabsatz"/>
              <w:numPr>
                <w:ilvl w:val="0"/>
                <w:numId w:val="10"/>
              </w:numPr>
              <w:snapToGrid w:val="0"/>
              <w:spacing w:before="40" w:after="0" w:line="240" w:lineRule="auto"/>
              <w:ind w:left="142" w:hanging="142"/>
              <w:jc w:val="left"/>
              <w:rPr>
                <w:color w:val="000000"/>
                <w:sz w:val="16"/>
                <w:szCs w:val="16"/>
              </w:rPr>
            </w:pPr>
            <w:r>
              <w:rPr>
                <w:color w:val="000000"/>
                <w:sz w:val="16"/>
                <w:szCs w:val="16"/>
              </w:rPr>
              <w:t>Unverändert</w:t>
            </w:r>
          </w:p>
        </w:tc>
        <w:tc>
          <w:tcPr>
            <w:tcW w:w="633" w:type="pct"/>
            <w:tcBorders>
              <w:top w:val="nil"/>
              <w:left w:val="nil"/>
              <w:right w:val="nil"/>
            </w:tcBorders>
            <w:shd w:val="clear" w:color="000000" w:fill="FFFFFF"/>
            <w:noWrap/>
          </w:tcPr>
          <w:p w14:paraId="4049A32D" w14:textId="130E1BD4" w:rsidR="003E7080" w:rsidRPr="00005CD2" w:rsidRDefault="003E7080" w:rsidP="003E7080">
            <w:pPr>
              <w:snapToGrid w:val="0"/>
              <w:spacing w:before="40" w:after="0" w:line="240" w:lineRule="auto"/>
              <w:jc w:val="left"/>
              <w:rPr>
                <w:rFonts w:cs="Times New Roman"/>
                <w:sz w:val="16"/>
                <w:szCs w:val="16"/>
              </w:rPr>
            </w:pPr>
            <w:r w:rsidRPr="00005CD2">
              <w:rPr>
                <w:rFonts w:cs="Times New Roman"/>
                <w:sz w:val="16"/>
                <w:szCs w:val="16"/>
              </w:rPr>
              <w:t>-0,020</w:t>
            </w:r>
            <w:r w:rsidRPr="00005CD2">
              <w:rPr>
                <w:rFonts w:cs="Times New Roman"/>
                <w:sz w:val="16"/>
                <w:szCs w:val="16"/>
              </w:rPr>
              <w:br/>
              <w:t>(0,082)</w:t>
            </w:r>
          </w:p>
        </w:tc>
        <w:tc>
          <w:tcPr>
            <w:tcW w:w="633" w:type="pct"/>
            <w:tcBorders>
              <w:top w:val="nil"/>
              <w:left w:val="nil"/>
              <w:right w:val="nil"/>
            </w:tcBorders>
            <w:shd w:val="clear" w:color="000000" w:fill="FFFFFF"/>
          </w:tcPr>
          <w:p w14:paraId="6405C778" w14:textId="6EB84084" w:rsidR="003E7080" w:rsidRPr="00005CD2" w:rsidRDefault="003E7080" w:rsidP="003E7080">
            <w:pPr>
              <w:snapToGrid w:val="0"/>
              <w:spacing w:before="40" w:after="0" w:line="240" w:lineRule="auto"/>
              <w:jc w:val="left"/>
              <w:rPr>
                <w:rFonts w:cs="Times New Roman"/>
                <w:sz w:val="16"/>
                <w:szCs w:val="16"/>
              </w:rPr>
            </w:pPr>
            <w:r w:rsidRPr="00005CD2">
              <w:rPr>
                <w:rFonts w:cs="Times New Roman"/>
                <w:sz w:val="16"/>
                <w:szCs w:val="16"/>
              </w:rPr>
              <w:t>-0,039</w:t>
            </w:r>
            <w:r w:rsidRPr="00005CD2">
              <w:rPr>
                <w:rFonts w:cs="Times New Roman"/>
                <w:sz w:val="16"/>
                <w:szCs w:val="16"/>
              </w:rPr>
              <w:br/>
              <w:t>(0,079)</w:t>
            </w:r>
          </w:p>
        </w:tc>
        <w:tc>
          <w:tcPr>
            <w:tcW w:w="634" w:type="pct"/>
            <w:tcBorders>
              <w:top w:val="nil"/>
              <w:left w:val="nil"/>
              <w:right w:val="nil"/>
            </w:tcBorders>
            <w:shd w:val="clear" w:color="000000" w:fill="FFFFFF"/>
          </w:tcPr>
          <w:p w14:paraId="4CC2236E" w14:textId="6A7B1E2E" w:rsidR="003E7080" w:rsidRPr="00005CD2" w:rsidRDefault="003E7080" w:rsidP="003E7080">
            <w:pPr>
              <w:snapToGrid w:val="0"/>
              <w:spacing w:before="40" w:after="0" w:line="240" w:lineRule="auto"/>
              <w:jc w:val="left"/>
              <w:rPr>
                <w:rFonts w:cs="Times New Roman"/>
                <w:sz w:val="16"/>
                <w:szCs w:val="16"/>
              </w:rPr>
            </w:pPr>
            <w:r w:rsidRPr="00005CD2">
              <w:rPr>
                <w:rFonts w:cs="Times New Roman"/>
                <w:sz w:val="16"/>
                <w:szCs w:val="16"/>
              </w:rPr>
              <w:t>0,056</w:t>
            </w:r>
            <w:r w:rsidRPr="00005CD2">
              <w:rPr>
                <w:rFonts w:cs="Times New Roman"/>
                <w:sz w:val="16"/>
                <w:szCs w:val="16"/>
              </w:rPr>
              <w:br/>
              <w:t>(0,085)</w:t>
            </w:r>
          </w:p>
        </w:tc>
        <w:tc>
          <w:tcPr>
            <w:tcW w:w="633" w:type="pct"/>
            <w:tcBorders>
              <w:top w:val="nil"/>
              <w:left w:val="nil"/>
              <w:right w:val="nil"/>
            </w:tcBorders>
            <w:shd w:val="clear" w:color="000000" w:fill="FFFFFF"/>
          </w:tcPr>
          <w:p w14:paraId="4ED60ED3" w14:textId="46AAC956" w:rsidR="003E7080" w:rsidRPr="00005CD2" w:rsidRDefault="003E7080" w:rsidP="003E7080">
            <w:pPr>
              <w:snapToGrid w:val="0"/>
              <w:spacing w:before="40" w:after="0" w:line="240" w:lineRule="auto"/>
              <w:jc w:val="left"/>
              <w:rPr>
                <w:rFonts w:cs="Times New Roman"/>
                <w:sz w:val="16"/>
                <w:szCs w:val="16"/>
              </w:rPr>
            </w:pPr>
            <w:r w:rsidRPr="00005CD2">
              <w:rPr>
                <w:rFonts w:cs="Times New Roman"/>
                <w:sz w:val="16"/>
                <w:szCs w:val="16"/>
              </w:rPr>
              <w:t>-0,077</w:t>
            </w:r>
            <w:r w:rsidRPr="00005CD2">
              <w:rPr>
                <w:rFonts w:cs="Times New Roman"/>
                <w:sz w:val="16"/>
                <w:szCs w:val="16"/>
              </w:rPr>
              <w:br/>
              <w:t>(0,093)</w:t>
            </w:r>
          </w:p>
        </w:tc>
        <w:tc>
          <w:tcPr>
            <w:tcW w:w="633" w:type="pct"/>
            <w:tcBorders>
              <w:top w:val="nil"/>
              <w:left w:val="nil"/>
              <w:right w:val="nil"/>
            </w:tcBorders>
            <w:shd w:val="clear" w:color="000000" w:fill="FFFFFF"/>
          </w:tcPr>
          <w:p w14:paraId="050382A8" w14:textId="4E1FBADF" w:rsidR="003E7080" w:rsidRPr="00005CD2" w:rsidRDefault="003E7080" w:rsidP="003E7080">
            <w:pPr>
              <w:snapToGrid w:val="0"/>
              <w:spacing w:before="40" w:after="0" w:line="240" w:lineRule="auto"/>
              <w:jc w:val="left"/>
              <w:rPr>
                <w:rFonts w:cs="Times New Roman"/>
                <w:sz w:val="16"/>
                <w:szCs w:val="16"/>
              </w:rPr>
            </w:pPr>
            <w:r w:rsidRPr="00005CD2">
              <w:rPr>
                <w:rFonts w:cs="Times New Roman"/>
                <w:sz w:val="16"/>
                <w:szCs w:val="16"/>
              </w:rPr>
              <w:t>0,104</w:t>
            </w:r>
            <w:r w:rsidRPr="00005CD2">
              <w:rPr>
                <w:rFonts w:cs="Times New Roman"/>
                <w:sz w:val="16"/>
                <w:szCs w:val="16"/>
              </w:rPr>
              <w:br/>
              <w:t>(0,077)</w:t>
            </w:r>
          </w:p>
        </w:tc>
        <w:tc>
          <w:tcPr>
            <w:tcW w:w="633" w:type="pct"/>
            <w:tcBorders>
              <w:top w:val="nil"/>
              <w:left w:val="nil"/>
              <w:right w:val="nil"/>
            </w:tcBorders>
            <w:shd w:val="clear" w:color="000000" w:fill="FFFFFF"/>
          </w:tcPr>
          <w:p w14:paraId="72B81DE0" w14:textId="61F33F01" w:rsidR="003E7080" w:rsidRPr="00005CD2" w:rsidRDefault="003E7080" w:rsidP="003E7080">
            <w:pPr>
              <w:snapToGrid w:val="0"/>
              <w:spacing w:before="40" w:after="0" w:line="240" w:lineRule="auto"/>
              <w:jc w:val="left"/>
              <w:rPr>
                <w:rFonts w:cs="Times New Roman"/>
                <w:sz w:val="16"/>
                <w:szCs w:val="16"/>
              </w:rPr>
            </w:pPr>
            <w:r w:rsidRPr="00005CD2">
              <w:rPr>
                <w:rFonts w:cs="Times New Roman"/>
                <w:sz w:val="16"/>
                <w:szCs w:val="16"/>
              </w:rPr>
              <w:t>0,228***</w:t>
            </w:r>
            <w:r w:rsidRPr="00005CD2">
              <w:rPr>
                <w:rFonts w:cs="Times New Roman"/>
                <w:sz w:val="16"/>
                <w:szCs w:val="16"/>
              </w:rPr>
              <w:br/>
              <w:t>(0,052)</w:t>
            </w:r>
          </w:p>
        </w:tc>
      </w:tr>
      <w:tr w:rsidR="003E7080" w:rsidRPr="00FC4EB7" w14:paraId="182CCBB6" w14:textId="77777777" w:rsidTr="00005CD2">
        <w:trPr>
          <w:trHeight w:val="20"/>
          <w:jc w:val="center"/>
        </w:trPr>
        <w:tc>
          <w:tcPr>
            <w:tcW w:w="1201" w:type="pct"/>
            <w:tcBorders>
              <w:top w:val="nil"/>
              <w:left w:val="nil"/>
              <w:right w:val="nil"/>
            </w:tcBorders>
            <w:shd w:val="clear" w:color="000000" w:fill="FFFFFF"/>
          </w:tcPr>
          <w:p w14:paraId="0751F41A" w14:textId="77777777" w:rsidR="003E7080" w:rsidRPr="00FC4EB7" w:rsidRDefault="003E7080" w:rsidP="001A4E15">
            <w:pPr>
              <w:pStyle w:val="Listenabsatz"/>
              <w:numPr>
                <w:ilvl w:val="0"/>
                <w:numId w:val="10"/>
              </w:numPr>
              <w:snapToGrid w:val="0"/>
              <w:spacing w:after="0" w:line="240" w:lineRule="auto"/>
              <w:ind w:left="142" w:hanging="142"/>
              <w:jc w:val="left"/>
              <w:rPr>
                <w:color w:val="000000"/>
                <w:sz w:val="16"/>
                <w:szCs w:val="16"/>
              </w:rPr>
            </w:pPr>
            <w:r>
              <w:rPr>
                <w:color w:val="000000"/>
                <w:sz w:val="16"/>
                <w:szCs w:val="16"/>
              </w:rPr>
              <w:t>Verringert (Referenzgruppe)</w:t>
            </w:r>
          </w:p>
        </w:tc>
        <w:tc>
          <w:tcPr>
            <w:tcW w:w="633" w:type="pct"/>
            <w:tcBorders>
              <w:top w:val="nil"/>
              <w:left w:val="nil"/>
              <w:right w:val="nil"/>
            </w:tcBorders>
            <w:shd w:val="clear" w:color="000000" w:fill="FFFFFF"/>
            <w:noWrap/>
          </w:tcPr>
          <w:p w14:paraId="6E0E4922"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35188654" w14:textId="77777777" w:rsidR="003E7080" w:rsidRPr="00005CD2" w:rsidRDefault="003E7080" w:rsidP="003E7080">
            <w:pPr>
              <w:snapToGrid w:val="0"/>
              <w:spacing w:before="40" w:after="40" w:line="240" w:lineRule="auto"/>
              <w:jc w:val="left"/>
              <w:rPr>
                <w:rFonts w:cs="Times New Roman"/>
                <w:sz w:val="16"/>
                <w:szCs w:val="16"/>
              </w:rPr>
            </w:pPr>
          </w:p>
        </w:tc>
        <w:tc>
          <w:tcPr>
            <w:tcW w:w="634" w:type="pct"/>
            <w:tcBorders>
              <w:top w:val="nil"/>
              <w:left w:val="nil"/>
              <w:right w:val="nil"/>
            </w:tcBorders>
            <w:shd w:val="clear" w:color="000000" w:fill="FFFFFF"/>
          </w:tcPr>
          <w:p w14:paraId="08E60A6D"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7C2ABD21"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0EA68A69"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26189585" w14:textId="77777777" w:rsidR="003E7080" w:rsidRPr="00005CD2" w:rsidRDefault="003E7080" w:rsidP="003E7080">
            <w:pPr>
              <w:snapToGrid w:val="0"/>
              <w:spacing w:before="40" w:after="40" w:line="240" w:lineRule="auto"/>
              <w:jc w:val="left"/>
              <w:rPr>
                <w:rFonts w:cs="Times New Roman"/>
                <w:sz w:val="16"/>
                <w:szCs w:val="16"/>
              </w:rPr>
            </w:pPr>
          </w:p>
        </w:tc>
      </w:tr>
      <w:tr w:rsidR="003E7080" w:rsidRPr="00FC4EB7" w14:paraId="0DEF3769" w14:textId="77777777" w:rsidTr="00005CD2">
        <w:trPr>
          <w:trHeight w:val="20"/>
          <w:jc w:val="center"/>
        </w:trPr>
        <w:tc>
          <w:tcPr>
            <w:tcW w:w="1201" w:type="pct"/>
            <w:tcBorders>
              <w:top w:val="nil"/>
              <w:left w:val="nil"/>
              <w:right w:val="nil"/>
            </w:tcBorders>
            <w:shd w:val="clear" w:color="000000" w:fill="FFFFFF"/>
          </w:tcPr>
          <w:p w14:paraId="098FC808" w14:textId="77777777" w:rsidR="003E7080" w:rsidRPr="00F906E9" w:rsidRDefault="003E7080" w:rsidP="003E7080">
            <w:pPr>
              <w:snapToGrid w:val="0"/>
              <w:spacing w:before="40" w:after="40" w:line="240" w:lineRule="auto"/>
              <w:jc w:val="left"/>
              <w:rPr>
                <w:b/>
                <w:bCs/>
                <w:color w:val="000000"/>
                <w:sz w:val="16"/>
                <w:szCs w:val="16"/>
              </w:rPr>
            </w:pPr>
            <w:r w:rsidRPr="00F906E9">
              <w:rPr>
                <w:b/>
                <w:bCs/>
                <w:color w:val="000000"/>
                <w:sz w:val="16"/>
                <w:szCs w:val="16"/>
              </w:rPr>
              <w:t>Erwarteter Umsatz</w:t>
            </w:r>
          </w:p>
        </w:tc>
        <w:tc>
          <w:tcPr>
            <w:tcW w:w="633" w:type="pct"/>
            <w:tcBorders>
              <w:top w:val="nil"/>
              <w:left w:val="nil"/>
              <w:right w:val="nil"/>
            </w:tcBorders>
            <w:shd w:val="clear" w:color="000000" w:fill="FFFFFF"/>
            <w:noWrap/>
          </w:tcPr>
          <w:p w14:paraId="6BF9963F"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6105E9B1" w14:textId="77777777" w:rsidR="003E7080" w:rsidRPr="00005CD2" w:rsidRDefault="003E7080" w:rsidP="003E7080">
            <w:pPr>
              <w:snapToGrid w:val="0"/>
              <w:spacing w:before="40" w:after="40" w:line="240" w:lineRule="auto"/>
              <w:jc w:val="left"/>
              <w:rPr>
                <w:rFonts w:cs="Times New Roman"/>
                <w:sz w:val="16"/>
                <w:szCs w:val="16"/>
              </w:rPr>
            </w:pPr>
          </w:p>
        </w:tc>
        <w:tc>
          <w:tcPr>
            <w:tcW w:w="634" w:type="pct"/>
            <w:tcBorders>
              <w:top w:val="nil"/>
              <w:left w:val="nil"/>
              <w:right w:val="nil"/>
            </w:tcBorders>
            <w:shd w:val="clear" w:color="000000" w:fill="FFFFFF"/>
          </w:tcPr>
          <w:p w14:paraId="3AE3206A"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365F58AD"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02D9BA58" w14:textId="77777777" w:rsidR="003E7080" w:rsidRPr="00005CD2" w:rsidRDefault="003E7080" w:rsidP="003E7080">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75CE7F1B" w14:textId="77777777" w:rsidR="003E7080" w:rsidRPr="00005CD2" w:rsidRDefault="003E7080" w:rsidP="003E7080">
            <w:pPr>
              <w:snapToGrid w:val="0"/>
              <w:spacing w:before="40" w:after="40" w:line="240" w:lineRule="auto"/>
              <w:jc w:val="left"/>
              <w:rPr>
                <w:rFonts w:cs="Times New Roman"/>
                <w:sz w:val="16"/>
                <w:szCs w:val="16"/>
              </w:rPr>
            </w:pPr>
          </w:p>
        </w:tc>
      </w:tr>
      <w:tr w:rsidR="003E7080" w:rsidRPr="00FC4EB7" w14:paraId="629DC60F" w14:textId="77777777" w:rsidTr="00005CD2">
        <w:trPr>
          <w:trHeight w:val="20"/>
          <w:jc w:val="center"/>
        </w:trPr>
        <w:tc>
          <w:tcPr>
            <w:tcW w:w="1201" w:type="pct"/>
            <w:tcBorders>
              <w:top w:val="nil"/>
              <w:left w:val="nil"/>
              <w:right w:val="nil"/>
            </w:tcBorders>
            <w:shd w:val="clear" w:color="000000" w:fill="FFFFFF"/>
          </w:tcPr>
          <w:p w14:paraId="2D2D6048" w14:textId="77777777" w:rsidR="003E7080" w:rsidRDefault="003E7080"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&gt;20% Steigerung</w:t>
            </w:r>
          </w:p>
        </w:tc>
        <w:tc>
          <w:tcPr>
            <w:tcW w:w="633" w:type="pct"/>
            <w:tcBorders>
              <w:top w:val="nil"/>
              <w:left w:val="nil"/>
              <w:right w:val="nil"/>
            </w:tcBorders>
            <w:shd w:val="clear" w:color="000000" w:fill="FFFFFF"/>
            <w:noWrap/>
          </w:tcPr>
          <w:p w14:paraId="40D37948" w14:textId="17B50E7C"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0,222</w:t>
            </w:r>
            <w:r w:rsidRPr="00005CD2">
              <w:rPr>
                <w:rFonts w:cs="Times New Roman"/>
                <w:sz w:val="16"/>
                <w:szCs w:val="16"/>
              </w:rPr>
              <w:br/>
              <w:t>(0,172)</w:t>
            </w:r>
          </w:p>
        </w:tc>
        <w:tc>
          <w:tcPr>
            <w:tcW w:w="633" w:type="pct"/>
            <w:tcBorders>
              <w:top w:val="nil"/>
              <w:left w:val="nil"/>
              <w:right w:val="nil"/>
            </w:tcBorders>
            <w:shd w:val="clear" w:color="000000" w:fill="FFFFFF"/>
          </w:tcPr>
          <w:p w14:paraId="0BE091CE" w14:textId="0573E7E0"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-0,105</w:t>
            </w:r>
            <w:r w:rsidRPr="00005CD2">
              <w:rPr>
                <w:rFonts w:cs="Times New Roman"/>
                <w:sz w:val="16"/>
                <w:szCs w:val="16"/>
              </w:rPr>
              <w:br/>
              <w:t>(0,157)</w:t>
            </w:r>
          </w:p>
        </w:tc>
        <w:tc>
          <w:tcPr>
            <w:tcW w:w="634" w:type="pct"/>
            <w:tcBorders>
              <w:top w:val="nil"/>
              <w:left w:val="nil"/>
              <w:right w:val="nil"/>
            </w:tcBorders>
            <w:shd w:val="clear" w:color="000000" w:fill="FFFFFF"/>
          </w:tcPr>
          <w:p w14:paraId="41464CB9" w14:textId="61E975BF"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0,087</w:t>
            </w:r>
            <w:r w:rsidRPr="00005CD2">
              <w:rPr>
                <w:rFonts w:cs="Times New Roman"/>
                <w:sz w:val="16"/>
                <w:szCs w:val="16"/>
              </w:rPr>
              <w:br/>
              <w:t>(0,165)</w:t>
            </w:r>
          </w:p>
        </w:tc>
        <w:tc>
          <w:tcPr>
            <w:tcW w:w="633" w:type="pct"/>
            <w:tcBorders>
              <w:top w:val="nil"/>
              <w:left w:val="nil"/>
              <w:right w:val="nil"/>
            </w:tcBorders>
            <w:shd w:val="clear" w:color="000000" w:fill="FFFFFF"/>
          </w:tcPr>
          <w:p w14:paraId="40FA3A96" w14:textId="2C8D1DE9"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0,411**</w:t>
            </w:r>
            <w:r w:rsidRPr="00005CD2">
              <w:rPr>
                <w:rFonts w:cs="Times New Roman"/>
                <w:sz w:val="16"/>
                <w:szCs w:val="16"/>
              </w:rPr>
              <w:br/>
              <w:t>(0,187)</w:t>
            </w:r>
          </w:p>
        </w:tc>
        <w:tc>
          <w:tcPr>
            <w:tcW w:w="633" w:type="pct"/>
            <w:tcBorders>
              <w:top w:val="nil"/>
              <w:left w:val="nil"/>
              <w:right w:val="nil"/>
            </w:tcBorders>
            <w:shd w:val="clear" w:color="000000" w:fill="FFFFFF"/>
          </w:tcPr>
          <w:p w14:paraId="5AA65D1D" w14:textId="5B9044B4"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-0,017</w:t>
            </w:r>
            <w:r w:rsidRPr="00005CD2">
              <w:rPr>
                <w:rFonts w:cs="Times New Roman"/>
                <w:sz w:val="16"/>
                <w:szCs w:val="16"/>
              </w:rPr>
              <w:br/>
              <w:t>(0,150)</w:t>
            </w:r>
          </w:p>
        </w:tc>
        <w:tc>
          <w:tcPr>
            <w:tcW w:w="633" w:type="pct"/>
            <w:tcBorders>
              <w:top w:val="nil"/>
              <w:left w:val="nil"/>
              <w:right w:val="nil"/>
            </w:tcBorders>
            <w:shd w:val="clear" w:color="000000" w:fill="FFFFFF"/>
          </w:tcPr>
          <w:p w14:paraId="3B4F0C75" w14:textId="086F0509"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-0,412***</w:t>
            </w:r>
            <w:r w:rsidRPr="00005CD2">
              <w:rPr>
                <w:rFonts w:cs="Times New Roman"/>
                <w:sz w:val="16"/>
                <w:szCs w:val="16"/>
              </w:rPr>
              <w:br/>
              <w:t>(0,102)</w:t>
            </w:r>
          </w:p>
        </w:tc>
      </w:tr>
      <w:tr w:rsidR="003E7080" w:rsidRPr="00FC4EB7" w14:paraId="1C1898D7" w14:textId="77777777" w:rsidTr="00005CD2">
        <w:trPr>
          <w:trHeight w:val="20"/>
          <w:jc w:val="center"/>
        </w:trPr>
        <w:tc>
          <w:tcPr>
            <w:tcW w:w="1201" w:type="pct"/>
            <w:tcBorders>
              <w:top w:val="nil"/>
              <w:left w:val="nil"/>
              <w:right w:val="nil"/>
            </w:tcBorders>
            <w:shd w:val="clear" w:color="000000" w:fill="FFFFFF"/>
          </w:tcPr>
          <w:p w14:paraId="59C41A52" w14:textId="77777777" w:rsidR="003E7080" w:rsidRPr="00FC4EB7" w:rsidRDefault="003E7080"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&lt;20% Steigerung</w:t>
            </w:r>
          </w:p>
        </w:tc>
        <w:tc>
          <w:tcPr>
            <w:tcW w:w="633" w:type="pct"/>
            <w:tcBorders>
              <w:top w:val="nil"/>
              <w:left w:val="nil"/>
              <w:right w:val="nil"/>
            </w:tcBorders>
            <w:shd w:val="clear" w:color="000000" w:fill="FFFFFF"/>
            <w:noWrap/>
          </w:tcPr>
          <w:p w14:paraId="533292B4" w14:textId="567237EB"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0,307**</w:t>
            </w:r>
            <w:r w:rsidRPr="00005CD2">
              <w:rPr>
                <w:rFonts w:cs="Times New Roman"/>
                <w:sz w:val="16"/>
                <w:szCs w:val="16"/>
              </w:rPr>
              <w:br/>
              <w:t>(0,136)</w:t>
            </w:r>
          </w:p>
        </w:tc>
        <w:tc>
          <w:tcPr>
            <w:tcW w:w="633" w:type="pct"/>
            <w:tcBorders>
              <w:top w:val="nil"/>
              <w:left w:val="nil"/>
              <w:right w:val="nil"/>
            </w:tcBorders>
            <w:shd w:val="clear" w:color="000000" w:fill="FFFFFF"/>
          </w:tcPr>
          <w:p w14:paraId="5632F834" w14:textId="09E7C3A8"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-0,007</w:t>
            </w:r>
            <w:r w:rsidRPr="00005CD2">
              <w:rPr>
                <w:rFonts w:cs="Times New Roman"/>
                <w:sz w:val="16"/>
                <w:szCs w:val="16"/>
              </w:rPr>
              <w:br/>
              <w:t>(0,115)</w:t>
            </w:r>
          </w:p>
        </w:tc>
        <w:tc>
          <w:tcPr>
            <w:tcW w:w="634" w:type="pct"/>
            <w:tcBorders>
              <w:top w:val="nil"/>
              <w:left w:val="nil"/>
              <w:right w:val="nil"/>
            </w:tcBorders>
            <w:shd w:val="clear" w:color="000000" w:fill="FFFFFF"/>
          </w:tcPr>
          <w:p w14:paraId="7C68C38B" w14:textId="1C485A42"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0,096</w:t>
            </w:r>
            <w:r w:rsidRPr="00005CD2">
              <w:rPr>
                <w:rFonts w:cs="Times New Roman"/>
                <w:sz w:val="16"/>
                <w:szCs w:val="16"/>
              </w:rPr>
              <w:br/>
              <w:t>(0,127)</w:t>
            </w:r>
          </w:p>
        </w:tc>
        <w:tc>
          <w:tcPr>
            <w:tcW w:w="633" w:type="pct"/>
            <w:tcBorders>
              <w:top w:val="nil"/>
              <w:left w:val="nil"/>
              <w:right w:val="nil"/>
            </w:tcBorders>
            <w:shd w:val="clear" w:color="000000" w:fill="FFFFFF"/>
          </w:tcPr>
          <w:p w14:paraId="5A22B7D6" w14:textId="14032189"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0,288*</w:t>
            </w:r>
            <w:r w:rsidRPr="00005CD2">
              <w:rPr>
                <w:rFonts w:cs="Times New Roman"/>
                <w:sz w:val="16"/>
                <w:szCs w:val="16"/>
              </w:rPr>
              <w:br/>
              <w:t>(0,153)</w:t>
            </w:r>
          </w:p>
        </w:tc>
        <w:tc>
          <w:tcPr>
            <w:tcW w:w="633" w:type="pct"/>
            <w:tcBorders>
              <w:top w:val="nil"/>
              <w:left w:val="nil"/>
              <w:right w:val="nil"/>
            </w:tcBorders>
            <w:shd w:val="clear" w:color="000000" w:fill="FFFFFF"/>
          </w:tcPr>
          <w:p w14:paraId="00F36ED4" w14:textId="0D7CAF5E"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0,059</w:t>
            </w:r>
            <w:r w:rsidRPr="00005CD2">
              <w:rPr>
                <w:rFonts w:cs="Times New Roman"/>
                <w:sz w:val="16"/>
                <w:szCs w:val="16"/>
              </w:rPr>
              <w:br/>
              <w:t>(0,113)</w:t>
            </w:r>
          </w:p>
        </w:tc>
        <w:tc>
          <w:tcPr>
            <w:tcW w:w="633" w:type="pct"/>
            <w:tcBorders>
              <w:top w:val="nil"/>
              <w:left w:val="nil"/>
              <w:right w:val="nil"/>
            </w:tcBorders>
            <w:shd w:val="clear" w:color="000000" w:fill="FFFFFF"/>
          </w:tcPr>
          <w:p w14:paraId="15EF6594" w14:textId="236F308F"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-0,322***</w:t>
            </w:r>
            <w:r w:rsidRPr="00005CD2">
              <w:rPr>
                <w:rFonts w:cs="Times New Roman"/>
                <w:sz w:val="16"/>
                <w:szCs w:val="16"/>
              </w:rPr>
              <w:br/>
              <w:t>(0,075)</w:t>
            </w:r>
          </w:p>
        </w:tc>
      </w:tr>
      <w:tr w:rsidR="003E7080" w:rsidRPr="00FC4EB7" w14:paraId="3CDF9FAF" w14:textId="77777777" w:rsidTr="003F43C1">
        <w:trPr>
          <w:trHeight w:val="20"/>
          <w:jc w:val="center"/>
        </w:trPr>
        <w:tc>
          <w:tcPr>
            <w:tcW w:w="1201" w:type="pct"/>
            <w:tcBorders>
              <w:top w:val="nil"/>
              <w:left w:val="nil"/>
              <w:right w:val="nil"/>
            </w:tcBorders>
            <w:shd w:val="clear" w:color="000000" w:fill="FFFFFF"/>
          </w:tcPr>
          <w:p w14:paraId="76AC2650" w14:textId="77777777" w:rsidR="003E7080" w:rsidRPr="00FC4EB7" w:rsidRDefault="003E7080" w:rsidP="001A4E15">
            <w:pPr>
              <w:pStyle w:val="Listenabsatz"/>
              <w:numPr>
                <w:ilvl w:val="0"/>
                <w:numId w:val="10"/>
              </w:numPr>
              <w:snapToGrid w:val="0"/>
              <w:spacing w:before="40" w:after="0" w:line="240" w:lineRule="auto"/>
              <w:ind w:left="142" w:hanging="142"/>
              <w:jc w:val="left"/>
              <w:rPr>
                <w:color w:val="000000"/>
                <w:sz w:val="16"/>
                <w:szCs w:val="16"/>
              </w:rPr>
            </w:pPr>
            <w:r>
              <w:rPr>
                <w:color w:val="000000"/>
                <w:sz w:val="16"/>
                <w:szCs w:val="16"/>
              </w:rPr>
              <w:t>Gleich</w:t>
            </w:r>
          </w:p>
        </w:tc>
        <w:tc>
          <w:tcPr>
            <w:tcW w:w="633" w:type="pct"/>
            <w:tcBorders>
              <w:top w:val="nil"/>
              <w:left w:val="nil"/>
              <w:right w:val="nil"/>
            </w:tcBorders>
            <w:shd w:val="clear" w:color="000000" w:fill="FFFFFF"/>
            <w:noWrap/>
          </w:tcPr>
          <w:p w14:paraId="4546C815" w14:textId="59704441"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0,259*</w:t>
            </w:r>
            <w:r w:rsidRPr="00005CD2">
              <w:rPr>
                <w:rFonts w:cs="Times New Roman"/>
                <w:sz w:val="16"/>
                <w:szCs w:val="16"/>
              </w:rPr>
              <w:br/>
              <w:t>(0,141)</w:t>
            </w:r>
          </w:p>
        </w:tc>
        <w:tc>
          <w:tcPr>
            <w:tcW w:w="633" w:type="pct"/>
            <w:tcBorders>
              <w:top w:val="nil"/>
              <w:left w:val="nil"/>
              <w:right w:val="nil"/>
            </w:tcBorders>
            <w:shd w:val="clear" w:color="000000" w:fill="FFFFFF"/>
          </w:tcPr>
          <w:p w14:paraId="477696FC" w14:textId="78818BD5"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-0,071</w:t>
            </w:r>
            <w:r w:rsidRPr="00005CD2">
              <w:rPr>
                <w:rFonts w:cs="Times New Roman"/>
                <w:sz w:val="16"/>
                <w:szCs w:val="16"/>
              </w:rPr>
              <w:br/>
              <w:t>(0,120)</w:t>
            </w:r>
          </w:p>
        </w:tc>
        <w:tc>
          <w:tcPr>
            <w:tcW w:w="634" w:type="pct"/>
            <w:tcBorders>
              <w:top w:val="nil"/>
              <w:left w:val="nil"/>
              <w:right w:val="nil"/>
            </w:tcBorders>
            <w:shd w:val="clear" w:color="000000" w:fill="FFFFFF"/>
          </w:tcPr>
          <w:p w14:paraId="2B8B14B8" w14:textId="38E0B9F7"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0,023</w:t>
            </w:r>
            <w:r w:rsidRPr="00005CD2">
              <w:rPr>
                <w:rFonts w:cs="Times New Roman"/>
                <w:sz w:val="16"/>
                <w:szCs w:val="16"/>
              </w:rPr>
              <w:br/>
              <w:t>(0,133)</w:t>
            </w:r>
          </w:p>
        </w:tc>
        <w:tc>
          <w:tcPr>
            <w:tcW w:w="633" w:type="pct"/>
            <w:tcBorders>
              <w:top w:val="nil"/>
              <w:left w:val="nil"/>
              <w:right w:val="nil"/>
            </w:tcBorders>
            <w:shd w:val="clear" w:color="000000" w:fill="FFFFFF"/>
          </w:tcPr>
          <w:p w14:paraId="11A6A226" w14:textId="7CB7E9D3"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0,085</w:t>
            </w:r>
            <w:r w:rsidRPr="00005CD2">
              <w:rPr>
                <w:rFonts w:cs="Times New Roman"/>
                <w:sz w:val="16"/>
                <w:szCs w:val="16"/>
              </w:rPr>
              <w:br/>
              <w:t>(0,161)</w:t>
            </w:r>
          </w:p>
        </w:tc>
        <w:tc>
          <w:tcPr>
            <w:tcW w:w="633" w:type="pct"/>
            <w:tcBorders>
              <w:top w:val="nil"/>
              <w:left w:val="nil"/>
              <w:right w:val="nil"/>
            </w:tcBorders>
            <w:shd w:val="clear" w:color="000000" w:fill="FFFFFF"/>
          </w:tcPr>
          <w:p w14:paraId="40A75456" w14:textId="26026622"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0,104</w:t>
            </w:r>
            <w:r w:rsidRPr="00005CD2">
              <w:rPr>
                <w:rFonts w:cs="Times New Roman"/>
                <w:sz w:val="16"/>
                <w:szCs w:val="16"/>
              </w:rPr>
              <w:br/>
              <w:t>(0,117)</w:t>
            </w:r>
          </w:p>
        </w:tc>
        <w:tc>
          <w:tcPr>
            <w:tcW w:w="633" w:type="pct"/>
            <w:tcBorders>
              <w:top w:val="nil"/>
              <w:left w:val="nil"/>
              <w:right w:val="nil"/>
            </w:tcBorders>
            <w:shd w:val="clear" w:color="000000" w:fill="FFFFFF"/>
          </w:tcPr>
          <w:p w14:paraId="6E5B3A7C" w14:textId="4E53F066" w:rsidR="003E7080" w:rsidRPr="00005CD2" w:rsidRDefault="003E7080" w:rsidP="003E7080">
            <w:pPr>
              <w:snapToGrid w:val="0"/>
              <w:spacing w:before="40" w:after="40" w:line="240" w:lineRule="auto"/>
              <w:jc w:val="left"/>
              <w:rPr>
                <w:rFonts w:cs="Times New Roman"/>
                <w:sz w:val="16"/>
                <w:szCs w:val="16"/>
              </w:rPr>
            </w:pPr>
            <w:r w:rsidRPr="00005CD2">
              <w:rPr>
                <w:rFonts w:cs="Times New Roman"/>
                <w:sz w:val="16"/>
                <w:szCs w:val="16"/>
              </w:rPr>
              <w:t>-0,152**</w:t>
            </w:r>
            <w:r w:rsidRPr="00005CD2">
              <w:rPr>
                <w:rFonts w:cs="Times New Roman"/>
                <w:sz w:val="16"/>
                <w:szCs w:val="16"/>
              </w:rPr>
              <w:br/>
              <w:t>(0,077)</w:t>
            </w:r>
          </w:p>
        </w:tc>
      </w:tr>
      <w:tr w:rsidR="00B22F24" w:rsidRPr="00FC4EB7" w14:paraId="4A89A3F1" w14:textId="77777777" w:rsidTr="003F43C1">
        <w:trPr>
          <w:trHeight w:val="20"/>
          <w:jc w:val="center"/>
        </w:trPr>
        <w:tc>
          <w:tcPr>
            <w:tcW w:w="1201" w:type="pct"/>
            <w:tcBorders>
              <w:top w:val="nil"/>
              <w:left w:val="nil"/>
              <w:bottom w:val="single" w:sz="8" w:space="0" w:color="auto"/>
              <w:right w:val="nil"/>
            </w:tcBorders>
            <w:shd w:val="clear" w:color="000000" w:fill="FFFFFF"/>
          </w:tcPr>
          <w:p w14:paraId="69FDC122" w14:textId="77777777" w:rsidR="00B22F24" w:rsidRPr="00FC4EB7" w:rsidRDefault="00B22F24" w:rsidP="001A4E15">
            <w:pPr>
              <w:pStyle w:val="Listenabsatz"/>
              <w:numPr>
                <w:ilvl w:val="0"/>
                <w:numId w:val="10"/>
              </w:numPr>
              <w:snapToGrid w:val="0"/>
              <w:spacing w:before="40" w:after="0" w:line="240" w:lineRule="auto"/>
              <w:ind w:left="142" w:hanging="142"/>
              <w:jc w:val="left"/>
              <w:rPr>
                <w:color w:val="000000"/>
                <w:sz w:val="16"/>
                <w:szCs w:val="16"/>
              </w:rPr>
            </w:pPr>
            <w:r>
              <w:rPr>
                <w:color w:val="000000"/>
                <w:sz w:val="16"/>
                <w:szCs w:val="16"/>
              </w:rPr>
              <w:t>Verringerung (Referenzgruppe)</w:t>
            </w:r>
          </w:p>
        </w:tc>
        <w:tc>
          <w:tcPr>
            <w:tcW w:w="633" w:type="pct"/>
            <w:tcBorders>
              <w:top w:val="nil"/>
              <w:left w:val="nil"/>
              <w:bottom w:val="single" w:sz="8" w:space="0" w:color="auto"/>
              <w:right w:val="nil"/>
            </w:tcBorders>
            <w:shd w:val="clear" w:color="000000" w:fill="FFFFFF"/>
            <w:noWrap/>
          </w:tcPr>
          <w:p w14:paraId="46E716E8" w14:textId="77777777" w:rsidR="00B22F24" w:rsidRPr="00A2275F" w:rsidRDefault="00B22F24" w:rsidP="00A2275F">
            <w:pPr>
              <w:snapToGrid w:val="0"/>
              <w:spacing w:before="40" w:after="0" w:line="240" w:lineRule="auto"/>
              <w:jc w:val="left"/>
              <w:rPr>
                <w:color w:val="000000"/>
                <w:sz w:val="16"/>
                <w:szCs w:val="16"/>
              </w:rPr>
            </w:pPr>
          </w:p>
        </w:tc>
        <w:tc>
          <w:tcPr>
            <w:tcW w:w="633" w:type="pct"/>
            <w:tcBorders>
              <w:top w:val="nil"/>
              <w:left w:val="nil"/>
              <w:bottom w:val="single" w:sz="8" w:space="0" w:color="auto"/>
              <w:right w:val="nil"/>
            </w:tcBorders>
            <w:shd w:val="clear" w:color="000000" w:fill="FFFFFF"/>
          </w:tcPr>
          <w:p w14:paraId="2A66AF27" w14:textId="77777777" w:rsidR="00B22F24" w:rsidRPr="00A2275F" w:rsidRDefault="00B22F24" w:rsidP="00A2275F">
            <w:pPr>
              <w:snapToGrid w:val="0"/>
              <w:spacing w:before="40" w:after="0" w:line="240" w:lineRule="auto"/>
              <w:jc w:val="left"/>
              <w:rPr>
                <w:color w:val="000000"/>
                <w:sz w:val="16"/>
                <w:szCs w:val="16"/>
              </w:rPr>
            </w:pPr>
          </w:p>
        </w:tc>
        <w:tc>
          <w:tcPr>
            <w:tcW w:w="634" w:type="pct"/>
            <w:tcBorders>
              <w:top w:val="nil"/>
              <w:left w:val="nil"/>
              <w:bottom w:val="single" w:sz="8" w:space="0" w:color="auto"/>
              <w:right w:val="nil"/>
            </w:tcBorders>
            <w:shd w:val="clear" w:color="000000" w:fill="FFFFFF"/>
          </w:tcPr>
          <w:p w14:paraId="405A4216" w14:textId="77777777" w:rsidR="00B22F24" w:rsidRPr="00A2275F" w:rsidRDefault="00B22F24" w:rsidP="00A2275F">
            <w:pPr>
              <w:snapToGrid w:val="0"/>
              <w:spacing w:before="40" w:after="0" w:line="240" w:lineRule="auto"/>
              <w:jc w:val="left"/>
              <w:rPr>
                <w:color w:val="000000"/>
                <w:sz w:val="16"/>
                <w:szCs w:val="16"/>
              </w:rPr>
            </w:pPr>
          </w:p>
        </w:tc>
        <w:tc>
          <w:tcPr>
            <w:tcW w:w="633" w:type="pct"/>
            <w:tcBorders>
              <w:top w:val="nil"/>
              <w:left w:val="nil"/>
              <w:bottom w:val="single" w:sz="8" w:space="0" w:color="auto"/>
              <w:right w:val="nil"/>
            </w:tcBorders>
            <w:shd w:val="clear" w:color="000000" w:fill="FFFFFF"/>
          </w:tcPr>
          <w:p w14:paraId="61A61471" w14:textId="77777777" w:rsidR="00B22F24" w:rsidRPr="00A2275F" w:rsidRDefault="00B22F24" w:rsidP="00A2275F">
            <w:pPr>
              <w:snapToGrid w:val="0"/>
              <w:spacing w:before="40" w:after="0" w:line="240" w:lineRule="auto"/>
              <w:jc w:val="left"/>
              <w:rPr>
                <w:color w:val="000000"/>
                <w:sz w:val="16"/>
                <w:szCs w:val="16"/>
              </w:rPr>
            </w:pPr>
          </w:p>
        </w:tc>
        <w:tc>
          <w:tcPr>
            <w:tcW w:w="633" w:type="pct"/>
            <w:tcBorders>
              <w:top w:val="nil"/>
              <w:left w:val="nil"/>
              <w:bottom w:val="single" w:sz="8" w:space="0" w:color="auto"/>
              <w:right w:val="nil"/>
            </w:tcBorders>
            <w:shd w:val="clear" w:color="000000" w:fill="FFFFFF"/>
          </w:tcPr>
          <w:p w14:paraId="3B6B13B5" w14:textId="77777777" w:rsidR="00B22F24" w:rsidRPr="00A2275F" w:rsidRDefault="00B22F24" w:rsidP="00A2275F">
            <w:pPr>
              <w:snapToGrid w:val="0"/>
              <w:spacing w:before="40" w:after="0" w:line="240" w:lineRule="auto"/>
              <w:jc w:val="left"/>
              <w:rPr>
                <w:color w:val="000000"/>
                <w:sz w:val="16"/>
                <w:szCs w:val="16"/>
              </w:rPr>
            </w:pPr>
          </w:p>
        </w:tc>
        <w:tc>
          <w:tcPr>
            <w:tcW w:w="633" w:type="pct"/>
            <w:tcBorders>
              <w:top w:val="nil"/>
              <w:left w:val="nil"/>
              <w:bottom w:val="single" w:sz="8" w:space="0" w:color="auto"/>
              <w:right w:val="nil"/>
            </w:tcBorders>
            <w:shd w:val="clear" w:color="000000" w:fill="FFFFFF"/>
          </w:tcPr>
          <w:p w14:paraId="15DFECBC" w14:textId="77777777" w:rsidR="00B22F24" w:rsidRPr="00A2275F" w:rsidRDefault="00B22F24" w:rsidP="00A2275F">
            <w:pPr>
              <w:snapToGrid w:val="0"/>
              <w:spacing w:before="40" w:after="0" w:line="240" w:lineRule="auto"/>
              <w:jc w:val="left"/>
              <w:rPr>
                <w:color w:val="000000"/>
                <w:sz w:val="16"/>
                <w:szCs w:val="16"/>
              </w:rPr>
            </w:pPr>
          </w:p>
        </w:tc>
      </w:tr>
    </w:tbl>
    <w:p w14:paraId="1D631E82" w14:textId="13325F60" w:rsidR="00B22F24" w:rsidRPr="00996DC5" w:rsidRDefault="00B22F24" w:rsidP="00B22F24">
      <w:pPr>
        <w:spacing w:after="120"/>
        <w:rPr>
          <w:b/>
          <w:bCs/>
        </w:rPr>
      </w:pPr>
      <w:r w:rsidRPr="00EB0B5A">
        <w:rPr>
          <w:b/>
          <w:bCs/>
        </w:rPr>
        <w:lastRenderedPageBreak/>
        <w:t xml:space="preserve">Tabelle </w:t>
      </w:r>
      <w:r w:rsidR="00006603">
        <w:rPr>
          <w:b/>
          <w:bCs/>
        </w:rPr>
        <w:t>10</w:t>
      </w:r>
      <w:r w:rsidRPr="00EB0B5A">
        <w:rPr>
          <w:b/>
          <w:bCs/>
        </w:rPr>
        <w:t xml:space="preserve"> (</w:t>
      </w:r>
      <w:r w:rsidRPr="00996DC5">
        <w:rPr>
          <w:b/>
          <w:bCs/>
        </w:rPr>
        <w:t>fortgesetzt</w:t>
      </w:r>
      <w:r w:rsidRPr="00EB0B5A">
        <w:rPr>
          <w:b/>
          <w:bCs/>
        </w:rPr>
        <w:t>):</w:t>
      </w:r>
    </w:p>
    <w:tbl>
      <w:tblPr>
        <w:tblW w:w="5000" w:type="pct"/>
        <w:jc w:val="center"/>
        <w:tblLayout w:type="fixed"/>
        <w:tblLook w:val="04A0" w:firstRow="1" w:lastRow="0" w:firstColumn="1" w:lastColumn="0" w:noHBand="0" w:noVBand="1"/>
      </w:tblPr>
      <w:tblGrid>
        <w:gridCol w:w="2094"/>
        <w:gridCol w:w="1104"/>
        <w:gridCol w:w="1104"/>
        <w:gridCol w:w="1106"/>
        <w:gridCol w:w="1104"/>
        <w:gridCol w:w="1104"/>
        <w:gridCol w:w="1104"/>
      </w:tblGrid>
      <w:tr w:rsidR="00485743" w:rsidRPr="002D11BF" w14:paraId="7394D3C6" w14:textId="77777777" w:rsidTr="003B1C0E">
        <w:trPr>
          <w:trHeight w:val="20"/>
          <w:jc w:val="center"/>
        </w:trPr>
        <w:tc>
          <w:tcPr>
            <w:tcW w:w="1201" w:type="pct"/>
            <w:tcBorders>
              <w:top w:val="single" w:sz="8" w:space="0" w:color="auto"/>
              <w:left w:val="nil"/>
              <w:bottom w:val="single" w:sz="6" w:space="0" w:color="auto"/>
              <w:right w:val="nil"/>
            </w:tcBorders>
            <w:shd w:val="clear" w:color="000000" w:fill="FFFFFF"/>
            <w:noWrap/>
            <w:vAlign w:val="bottom"/>
            <w:hideMark/>
          </w:tcPr>
          <w:p w14:paraId="7E961F6A" w14:textId="77777777" w:rsidR="00485743" w:rsidRPr="002D11BF" w:rsidRDefault="00485743" w:rsidP="00485743">
            <w:pPr>
              <w:snapToGrid w:val="0"/>
              <w:spacing w:after="0" w:line="240" w:lineRule="auto"/>
              <w:jc w:val="left"/>
              <w:rPr>
                <w:b/>
                <w:bCs/>
                <w:color w:val="000000"/>
                <w:sz w:val="16"/>
                <w:szCs w:val="16"/>
              </w:rPr>
            </w:pPr>
            <w:r w:rsidRPr="002D11BF">
              <w:rPr>
                <w:b/>
                <w:bCs/>
                <w:color w:val="000000"/>
                <w:sz w:val="16"/>
                <w:szCs w:val="16"/>
              </w:rPr>
              <w:t>Variable</w:t>
            </w:r>
          </w:p>
        </w:tc>
        <w:tc>
          <w:tcPr>
            <w:tcW w:w="633" w:type="pct"/>
            <w:tcBorders>
              <w:top w:val="single" w:sz="8" w:space="0" w:color="auto"/>
              <w:left w:val="nil"/>
              <w:bottom w:val="single" w:sz="6" w:space="0" w:color="auto"/>
              <w:right w:val="nil"/>
            </w:tcBorders>
            <w:shd w:val="clear" w:color="000000" w:fill="FFFFFF"/>
            <w:noWrap/>
            <w:vAlign w:val="bottom"/>
            <w:hideMark/>
          </w:tcPr>
          <w:p w14:paraId="60401C91" w14:textId="77777777" w:rsidR="00485743" w:rsidRDefault="00485743" w:rsidP="00485743">
            <w:pPr>
              <w:snapToGrid w:val="0"/>
              <w:spacing w:after="0" w:line="240" w:lineRule="auto"/>
              <w:jc w:val="left"/>
              <w:rPr>
                <w:b/>
                <w:bCs/>
                <w:color w:val="000000"/>
                <w:sz w:val="16"/>
                <w:szCs w:val="16"/>
              </w:rPr>
            </w:pPr>
            <w:r>
              <w:rPr>
                <w:b/>
                <w:bCs/>
                <w:color w:val="000000"/>
                <w:sz w:val="16"/>
                <w:szCs w:val="16"/>
              </w:rPr>
              <w:t>Darlehen</w:t>
            </w:r>
          </w:p>
          <w:p w14:paraId="1694D8A5"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H1</w:t>
            </w:r>
          </w:p>
        </w:tc>
        <w:tc>
          <w:tcPr>
            <w:tcW w:w="633" w:type="pct"/>
            <w:tcBorders>
              <w:top w:val="single" w:sz="8" w:space="0" w:color="auto"/>
              <w:left w:val="nil"/>
              <w:bottom w:val="single" w:sz="6" w:space="0" w:color="auto"/>
              <w:right w:val="nil"/>
            </w:tcBorders>
            <w:shd w:val="clear" w:color="000000" w:fill="FFFFFF"/>
            <w:vAlign w:val="bottom"/>
          </w:tcPr>
          <w:p w14:paraId="6747EFFB" w14:textId="77777777" w:rsidR="00485743" w:rsidRDefault="00485743" w:rsidP="00485743">
            <w:pPr>
              <w:snapToGrid w:val="0"/>
              <w:spacing w:after="0" w:line="240" w:lineRule="auto"/>
              <w:jc w:val="left"/>
              <w:rPr>
                <w:b/>
                <w:bCs/>
                <w:color w:val="000000"/>
                <w:sz w:val="16"/>
                <w:szCs w:val="16"/>
              </w:rPr>
            </w:pPr>
            <w:r>
              <w:rPr>
                <w:b/>
                <w:bCs/>
                <w:color w:val="000000"/>
                <w:sz w:val="16"/>
                <w:szCs w:val="16"/>
              </w:rPr>
              <w:t>Flexible Schulden</w:t>
            </w:r>
          </w:p>
          <w:p w14:paraId="4DCE594F"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H2</w:t>
            </w:r>
          </w:p>
        </w:tc>
        <w:tc>
          <w:tcPr>
            <w:tcW w:w="634" w:type="pct"/>
            <w:tcBorders>
              <w:top w:val="single" w:sz="8" w:space="0" w:color="auto"/>
              <w:left w:val="nil"/>
              <w:bottom w:val="single" w:sz="6" w:space="0" w:color="auto"/>
              <w:right w:val="nil"/>
            </w:tcBorders>
            <w:shd w:val="clear" w:color="000000" w:fill="FFFFFF"/>
            <w:vAlign w:val="bottom"/>
          </w:tcPr>
          <w:p w14:paraId="420A5E34" w14:textId="77777777" w:rsidR="00485743" w:rsidRDefault="00485743" w:rsidP="00485743">
            <w:pPr>
              <w:snapToGrid w:val="0"/>
              <w:spacing w:after="0" w:line="240" w:lineRule="auto"/>
              <w:jc w:val="left"/>
              <w:rPr>
                <w:b/>
                <w:bCs/>
                <w:color w:val="000000"/>
                <w:sz w:val="16"/>
                <w:szCs w:val="16"/>
              </w:rPr>
            </w:pPr>
            <w:r>
              <w:rPr>
                <w:b/>
                <w:bCs/>
                <w:color w:val="000000"/>
                <w:sz w:val="16"/>
                <w:szCs w:val="16"/>
              </w:rPr>
              <w:t>Lieferanten-kredite</w:t>
            </w:r>
          </w:p>
          <w:p w14:paraId="72097B47" w14:textId="22CCD11A" w:rsidR="00485743" w:rsidRPr="002D11BF" w:rsidRDefault="00485743" w:rsidP="00485743">
            <w:pPr>
              <w:snapToGrid w:val="0"/>
              <w:spacing w:after="0" w:line="240" w:lineRule="auto"/>
              <w:jc w:val="left"/>
              <w:rPr>
                <w:b/>
                <w:bCs/>
                <w:color w:val="000000"/>
                <w:sz w:val="16"/>
                <w:szCs w:val="16"/>
              </w:rPr>
            </w:pPr>
            <w:r>
              <w:rPr>
                <w:b/>
                <w:bCs/>
                <w:color w:val="000000"/>
                <w:sz w:val="16"/>
                <w:szCs w:val="16"/>
              </w:rPr>
              <w:t>H3</w:t>
            </w:r>
          </w:p>
        </w:tc>
        <w:tc>
          <w:tcPr>
            <w:tcW w:w="633" w:type="pct"/>
            <w:tcBorders>
              <w:top w:val="single" w:sz="8" w:space="0" w:color="auto"/>
              <w:left w:val="nil"/>
              <w:bottom w:val="single" w:sz="6" w:space="0" w:color="auto"/>
              <w:right w:val="nil"/>
            </w:tcBorders>
            <w:shd w:val="clear" w:color="000000" w:fill="FFFFFF"/>
            <w:vAlign w:val="bottom"/>
          </w:tcPr>
          <w:p w14:paraId="6031F167" w14:textId="77777777" w:rsidR="00485743" w:rsidRDefault="00485743" w:rsidP="00485743">
            <w:pPr>
              <w:snapToGrid w:val="0"/>
              <w:spacing w:after="0" w:line="240" w:lineRule="auto"/>
              <w:jc w:val="left"/>
              <w:rPr>
                <w:b/>
                <w:bCs/>
                <w:color w:val="000000"/>
                <w:sz w:val="16"/>
                <w:szCs w:val="16"/>
              </w:rPr>
            </w:pPr>
            <w:r>
              <w:rPr>
                <w:b/>
                <w:bCs/>
                <w:color w:val="000000"/>
                <w:sz w:val="16"/>
                <w:szCs w:val="16"/>
              </w:rPr>
              <w:t>Zuschüsse</w:t>
            </w:r>
          </w:p>
          <w:p w14:paraId="4172D542" w14:textId="7706EA7C" w:rsidR="00485743" w:rsidRPr="002D11BF" w:rsidRDefault="00485743" w:rsidP="00485743">
            <w:pPr>
              <w:snapToGrid w:val="0"/>
              <w:spacing w:after="0" w:line="240" w:lineRule="auto"/>
              <w:jc w:val="left"/>
              <w:rPr>
                <w:b/>
                <w:bCs/>
                <w:color w:val="000000"/>
                <w:sz w:val="16"/>
                <w:szCs w:val="16"/>
              </w:rPr>
            </w:pPr>
            <w:r>
              <w:rPr>
                <w:b/>
                <w:bCs/>
                <w:color w:val="000000"/>
                <w:sz w:val="16"/>
                <w:szCs w:val="16"/>
              </w:rPr>
              <w:t>H4</w:t>
            </w:r>
          </w:p>
        </w:tc>
        <w:tc>
          <w:tcPr>
            <w:tcW w:w="633" w:type="pct"/>
            <w:tcBorders>
              <w:top w:val="single" w:sz="8" w:space="0" w:color="auto"/>
              <w:left w:val="nil"/>
              <w:bottom w:val="single" w:sz="6" w:space="0" w:color="auto"/>
              <w:right w:val="nil"/>
            </w:tcBorders>
            <w:shd w:val="clear" w:color="000000" w:fill="FFFFFF"/>
            <w:vAlign w:val="bottom"/>
          </w:tcPr>
          <w:p w14:paraId="6D6C1CB7" w14:textId="77777777" w:rsidR="00485743" w:rsidRDefault="00485743" w:rsidP="00485743">
            <w:pPr>
              <w:snapToGrid w:val="0"/>
              <w:spacing w:after="0" w:line="240" w:lineRule="auto"/>
              <w:jc w:val="left"/>
              <w:rPr>
                <w:b/>
                <w:bCs/>
                <w:color w:val="000000"/>
                <w:sz w:val="16"/>
                <w:szCs w:val="16"/>
              </w:rPr>
            </w:pPr>
            <w:r>
              <w:rPr>
                <w:b/>
                <w:bCs/>
                <w:color w:val="000000"/>
                <w:sz w:val="16"/>
                <w:szCs w:val="16"/>
              </w:rPr>
              <w:t>Asset-   basiert</w:t>
            </w:r>
          </w:p>
          <w:p w14:paraId="67968D37"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H5</w:t>
            </w:r>
          </w:p>
        </w:tc>
        <w:tc>
          <w:tcPr>
            <w:tcW w:w="633" w:type="pct"/>
            <w:tcBorders>
              <w:top w:val="single" w:sz="8" w:space="0" w:color="auto"/>
              <w:left w:val="nil"/>
              <w:bottom w:val="single" w:sz="6" w:space="0" w:color="auto"/>
              <w:right w:val="nil"/>
            </w:tcBorders>
            <w:shd w:val="clear" w:color="000000" w:fill="FFFFFF"/>
            <w:vAlign w:val="bottom"/>
          </w:tcPr>
          <w:p w14:paraId="15B47730" w14:textId="77777777" w:rsidR="00485743" w:rsidRDefault="00485743" w:rsidP="00485743">
            <w:pPr>
              <w:snapToGrid w:val="0"/>
              <w:spacing w:after="0" w:line="240" w:lineRule="auto"/>
              <w:jc w:val="left"/>
              <w:rPr>
                <w:b/>
                <w:bCs/>
                <w:color w:val="000000"/>
                <w:sz w:val="16"/>
                <w:szCs w:val="16"/>
              </w:rPr>
            </w:pPr>
            <w:r>
              <w:rPr>
                <w:b/>
                <w:bCs/>
                <w:color w:val="000000"/>
                <w:sz w:val="16"/>
                <w:szCs w:val="16"/>
              </w:rPr>
              <w:t>Innen-finanzierung</w:t>
            </w:r>
          </w:p>
          <w:p w14:paraId="474D17BF"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H6</w:t>
            </w:r>
          </w:p>
        </w:tc>
      </w:tr>
      <w:tr w:rsidR="00B22F24" w:rsidRPr="00694C51" w14:paraId="70FE1A64" w14:textId="77777777" w:rsidTr="003B1C0E">
        <w:trPr>
          <w:trHeight w:val="20"/>
          <w:jc w:val="center"/>
        </w:trPr>
        <w:tc>
          <w:tcPr>
            <w:tcW w:w="1201" w:type="pct"/>
            <w:tcBorders>
              <w:top w:val="nil"/>
              <w:left w:val="nil"/>
              <w:right w:val="nil"/>
            </w:tcBorders>
            <w:shd w:val="clear" w:color="000000" w:fill="FFFFFF"/>
          </w:tcPr>
          <w:p w14:paraId="2F8D4785" w14:textId="77777777" w:rsidR="00B22F24" w:rsidRPr="00F906E9" w:rsidRDefault="00B22F24" w:rsidP="003B1C0E">
            <w:pPr>
              <w:snapToGrid w:val="0"/>
              <w:spacing w:before="40" w:after="40" w:line="240" w:lineRule="auto"/>
              <w:jc w:val="left"/>
              <w:rPr>
                <w:b/>
                <w:bCs/>
                <w:color w:val="000000"/>
                <w:sz w:val="16"/>
                <w:szCs w:val="16"/>
              </w:rPr>
            </w:pPr>
            <w:r w:rsidRPr="00F906E9">
              <w:rPr>
                <w:b/>
                <w:bCs/>
                <w:color w:val="000000"/>
                <w:spacing w:val="-6"/>
                <w:sz w:val="16"/>
                <w:szCs w:val="16"/>
              </w:rPr>
              <w:t>Probleme beim Zugang</w:t>
            </w:r>
            <w:r w:rsidRPr="00F906E9">
              <w:rPr>
                <w:b/>
                <w:bCs/>
                <w:color w:val="000000"/>
                <w:sz w:val="16"/>
                <w:szCs w:val="16"/>
              </w:rPr>
              <w:t xml:space="preserve"> </w:t>
            </w:r>
            <w:r w:rsidRPr="00F906E9">
              <w:rPr>
                <w:b/>
                <w:bCs/>
                <w:color w:val="000000"/>
                <w:spacing w:val="-8"/>
                <w:sz w:val="16"/>
                <w:szCs w:val="16"/>
              </w:rPr>
              <w:t>zu Finanzierungsquellen</w:t>
            </w:r>
          </w:p>
        </w:tc>
        <w:tc>
          <w:tcPr>
            <w:tcW w:w="633" w:type="pct"/>
            <w:tcBorders>
              <w:top w:val="nil"/>
              <w:left w:val="nil"/>
              <w:right w:val="nil"/>
            </w:tcBorders>
            <w:shd w:val="clear" w:color="000000" w:fill="FFFFFF"/>
            <w:noWrap/>
          </w:tcPr>
          <w:p w14:paraId="59FD8511" w14:textId="77777777" w:rsidR="00B22F24" w:rsidRPr="00694C51" w:rsidRDefault="00B22F24" w:rsidP="003B1C0E">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6DE6CF84" w14:textId="77777777" w:rsidR="00B22F24" w:rsidRPr="00694C51" w:rsidRDefault="00B22F24" w:rsidP="003B1C0E">
            <w:pPr>
              <w:snapToGrid w:val="0"/>
              <w:spacing w:before="40" w:after="40" w:line="240" w:lineRule="auto"/>
              <w:jc w:val="left"/>
              <w:rPr>
                <w:rFonts w:cs="Times New Roman"/>
                <w:spacing w:val="-2"/>
                <w:sz w:val="16"/>
                <w:szCs w:val="16"/>
              </w:rPr>
            </w:pPr>
          </w:p>
        </w:tc>
        <w:tc>
          <w:tcPr>
            <w:tcW w:w="634" w:type="pct"/>
            <w:tcBorders>
              <w:top w:val="nil"/>
              <w:left w:val="nil"/>
              <w:right w:val="nil"/>
            </w:tcBorders>
            <w:shd w:val="clear" w:color="000000" w:fill="FFFFFF"/>
          </w:tcPr>
          <w:p w14:paraId="4AB3DBD6" w14:textId="77777777" w:rsidR="00B22F24" w:rsidRPr="00694C51" w:rsidRDefault="00B22F24" w:rsidP="003B1C0E">
            <w:pPr>
              <w:snapToGrid w:val="0"/>
              <w:spacing w:before="40" w:after="40" w:line="240" w:lineRule="auto"/>
              <w:jc w:val="left"/>
              <w:rPr>
                <w:rFonts w:cs="Times New Roman"/>
                <w:spacing w:val="-2"/>
                <w:sz w:val="16"/>
                <w:szCs w:val="16"/>
              </w:rPr>
            </w:pPr>
          </w:p>
        </w:tc>
        <w:tc>
          <w:tcPr>
            <w:tcW w:w="633" w:type="pct"/>
            <w:tcBorders>
              <w:top w:val="nil"/>
              <w:left w:val="nil"/>
              <w:right w:val="nil"/>
            </w:tcBorders>
            <w:shd w:val="clear" w:color="000000" w:fill="FFFFFF"/>
          </w:tcPr>
          <w:p w14:paraId="71057555" w14:textId="77777777" w:rsidR="00B22F24" w:rsidRPr="00694C51" w:rsidRDefault="00B22F24" w:rsidP="003B1C0E">
            <w:pPr>
              <w:snapToGrid w:val="0"/>
              <w:spacing w:before="40" w:after="40" w:line="240" w:lineRule="auto"/>
              <w:jc w:val="left"/>
              <w:rPr>
                <w:rFonts w:cs="Times New Roman"/>
                <w:spacing w:val="-2"/>
                <w:sz w:val="16"/>
                <w:szCs w:val="16"/>
              </w:rPr>
            </w:pPr>
          </w:p>
        </w:tc>
        <w:tc>
          <w:tcPr>
            <w:tcW w:w="633" w:type="pct"/>
            <w:tcBorders>
              <w:top w:val="nil"/>
              <w:left w:val="nil"/>
              <w:right w:val="nil"/>
            </w:tcBorders>
            <w:shd w:val="clear" w:color="000000" w:fill="FFFFFF"/>
          </w:tcPr>
          <w:p w14:paraId="797340DA" w14:textId="77777777" w:rsidR="00B22F24" w:rsidRPr="00694C51" w:rsidRDefault="00B22F24" w:rsidP="003B1C0E">
            <w:pPr>
              <w:snapToGrid w:val="0"/>
              <w:spacing w:before="40" w:after="40" w:line="240" w:lineRule="auto"/>
              <w:jc w:val="left"/>
              <w:rPr>
                <w:rFonts w:cs="Times New Roman"/>
                <w:spacing w:val="-2"/>
                <w:sz w:val="16"/>
                <w:szCs w:val="16"/>
              </w:rPr>
            </w:pPr>
          </w:p>
        </w:tc>
        <w:tc>
          <w:tcPr>
            <w:tcW w:w="633" w:type="pct"/>
            <w:tcBorders>
              <w:top w:val="nil"/>
              <w:left w:val="nil"/>
              <w:right w:val="nil"/>
            </w:tcBorders>
            <w:shd w:val="clear" w:color="000000" w:fill="FFFFFF"/>
          </w:tcPr>
          <w:p w14:paraId="558BD884" w14:textId="77777777" w:rsidR="00B22F24" w:rsidRPr="00694C51" w:rsidRDefault="00B22F24" w:rsidP="003B1C0E">
            <w:pPr>
              <w:snapToGrid w:val="0"/>
              <w:spacing w:before="40" w:after="40" w:line="240" w:lineRule="auto"/>
              <w:jc w:val="left"/>
              <w:rPr>
                <w:rFonts w:cs="Times New Roman"/>
                <w:spacing w:val="-2"/>
                <w:sz w:val="16"/>
                <w:szCs w:val="16"/>
              </w:rPr>
            </w:pPr>
          </w:p>
        </w:tc>
      </w:tr>
      <w:tr w:rsidR="00820D96" w:rsidRPr="00FC4EB7" w14:paraId="2C8C43FD" w14:textId="77777777" w:rsidTr="007A0F7F">
        <w:trPr>
          <w:trHeight w:val="20"/>
          <w:jc w:val="center"/>
        </w:trPr>
        <w:tc>
          <w:tcPr>
            <w:tcW w:w="1201" w:type="pct"/>
            <w:tcBorders>
              <w:top w:val="nil"/>
              <w:left w:val="nil"/>
              <w:right w:val="nil"/>
            </w:tcBorders>
            <w:shd w:val="clear" w:color="000000" w:fill="FFFFFF"/>
          </w:tcPr>
          <w:p w14:paraId="5F475162" w14:textId="77777777" w:rsidR="00820D96" w:rsidRPr="000257B3" w:rsidRDefault="00820D96"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Geringe Bedeutung (1–3)</w:t>
            </w:r>
          </w:p>
        </w:tc>
        <w:tc>
          <w:tcPr>
            <w:tcW w:w="633" w:type="pct"/>
            <w:tcBorders>
              <w:top w:val="nil"/>
              <w:left w:val="nil"/>
              <w:right w:val="nil"/>
            </w:tcBorders>
            <w:shd w:val="clear" w:color="000000" w:fill="FFFFFF"/>
            <w:noWrap/>
            <w:vAlign w:val="bottom"/>
          </w:tcPr>
          <w:p w14:paraId="4E09FB89" w14:textId="48B621AD" w:rsidR="00820D96" w:rsidRPr="005C3F46" w:rsidRDefault="00820D96" w:rsidP="00820D96">
            <w:pPr>
              <w:snapToGrid w:val="0"/>
              <w:spacing w:before="40" w:after="40" w:line="240" w:lineRule="auto"/>
              <w:jc w:val="left"/>
              <w:rPr>
                <w:rFonts w:cs="Times New Roman"/>
                <w:sz w:val="16"/>
                <w:szCs w:val="16"/>
              </w:rPr>
            </w:pPr>
            <w:r w:rsidRPr="00005CD2">
              <w:rPr>
                <w:rFonts w:cs="Times New Roman"/>
                <w:sz w:val="16"/>
                <w:szCs w:val="16"/>
              </w:rPr>
              <w:t>-0,992***</w:t>
            </w:r>
            <w:r w:rsidRPr="00005CD2">
              <w:rPr>
                <w:rFonts w:cs="Times New Roman"/>
                <w:sz w:val="16"/>
                <w:szCs w:val="16"/>
              </w:rPr>
              <w:br/>
              <w:t>(0,081)</w:t>
            </w:r>
          </w:p>
        </w:tc>
        <w:tc>
          <w:tcPr>
            <w:tcW w:w="633" w:type="pct"/>
            <w:tcBorders>
              <w:top w:val="nil"/>
              <w:left w:val="nil"/>
              <w:right w:val="nil"/>
            </w:tcBorders>
            <w:shd w:val="clear" w:color="000000" w:fill="FFFFFF"/>
            <w:vAlign w:val="bottom"/>
          </w:tcPr>
          <w:p w14:paraId="700395ED" w14:textId="4E9494AB" w:rsidR="00820D96" w:rsidRPr="005C3F46" w:rsidRDefault="00820D96" w:rsidP="00820D96">
            <w:pPr>
              <w:snapToGrid w:val="0"/>
              <w:spacing w:before="40" w:after="40" w:line="240" w:lineRule="auto"/>
              <w:jc w:val="left"/>
              <w:rPr>
                <w:rFonts w:cs="Times New Roman"/>
                <w:sz w:val="16"/>
                <w:szCs w:val="16"/>
              </w:rPr>
            </w:pPr>
            <w:r w:rsidRPr="00005CD2">
              <w:rPr>
                <w:rFonts w:cs="Times New Roman"/>
                <w:sz w:val="16"/>
                <w:szCs w:val="16"/>
              </w:rPr>
              <w:t>-0,553***</w:t>
            </w:r>
            <w:r w:rsidRPr="00005CD2">
              <w:rPr>
                <w:rFonts w:cs="Times New Roman"/>
                <w:sz w:val="16"/>
                <w:szCs w:val="16"/>
              </w:rPr>
              <w:br/>
              <w:t>(0,078)</w:t>
            </w:r>
          </w:p>
        </w:tc>
        <w:tc>
          <w:tcPr>
            <w:tcW w:w="634" w:type="pct"/>
            <w:tcBorders>
              <w:top w:val="nil"/>
              <w:left w:val="nil"/>
              <w:right w:val="nil"/>
            </w:tcBorders>
            <w:shd w:val="clear" w:color="000000" w:fill="FFFFFF"/>
            <w:vAlign w:val="bottom"/>
          </w:tcPr>
          <w:p w14:paraId="549B9929" w14:textId="7F36C715" w:rsidR="00820D96" w:rsidRPr="005C3F46" w:rsidRDefault="00820D96" w:rsidP="00820D96">
            <w:pPr>
              <w:snapToGrid w:val="0"/>
              <w:spacing w:before="40" w:after="40" w:line="240" w:lineRule="auto"/>
              <w:jc w:val="left"/>
              <w:rPr>
                <w:rFonts w:cs="Times New Roman"/>
                <w:sz w:val="16"/>
                <w:szCs w:val="16"/>
              </w:rPr>
            </w:pPr>
            <w:r w:rsidRPr="00005CD2">
              <w:rPr>
                <w:rFonts w:cs="Times New Roman"/>
                <w:sz w:val="16"/>
                <w:szCs w:val="16"/>
              </w:rPr>
              <w:t>0,009</w:t>
            </w:r>
            <w:r w:rsidRPr="00005CD2">
              <w:rPr>
                <w:rFonts w:cs="Times New Roman"/>
                <w:sz w:val="16"/>
                <w:szCs w:val="16"/>
              </w:rPr>
              <w:br/>
              <w:t>(0,083)</w:t>
            </w:r>
          </w:p>
        </w:tc>
        <w:tc>
          <w:tcPr>
            <w:tcW w:w="633" w:type="pct"/>
            <w:tcBorders>
              <w:top w:val="nil"/>
              <w:left w:val="nil"/>
              <w:right w:val="nil"/>
            </w:tcBorders>
            <w:shd w:val="clear" w:color="000000" w:fill="FFFFFF"/>
            <w:vAlign w:val="bottom"/>
          </w:tcPr>
          <w:p w14:paraId="704FA1AB" w14:textId="1ECC2BDA" w:rsidR="00820D96" w:rsidRPr="005C3F46" w:rsidRDefault="00820D96" w:rsidP="00820D96">
            <w:pPr>
              <w:snapToGrid w:val="0"/>
              <w:spacing w:before="40" w:after="40" w:line="240" w:lineRule="auto"/>
              <w:jc w:val="left"/>
              <w:rPr>
                <w:rFonts w:cs="Times New Roman"/>
                <w:sz w:val="16"/>
                <w:szCs w:val="16"/>
              </w:rPr>
            </w:pPr>
            <w:r w:rsidRPr="00005CD2">
              <w:rPr>
                <w:rFonts w:cs="Times New Roman"/>
                <w:sz w:val="16"/>
                <w:szCs w:val="16"/>
              </w:rPr>
              <w:t>-0,857***</w:t>
            </w:r>
            <w:r w:rsidRPr="00005CD2">
              <w:rPr>
                <w:rFonts w:cs="Times New Roman"/>
                <w:sz w:val="16"/>
                <w:szCs w:val="16"/>
              </w:rPr>
              <w:br/>
              <w:t>(0,090)</w:t>
            </w:r>
          </w:p>
        </w:tc>
        <w:tc>
          <w:tcPr>
            <w:tcW w:w="633" w:type="pct"/>
            <w:tcBorders>
              <w:top w:val="nil"/>
              <w:left w:val="nil"/>
              <w:right w:val="nil"/>
            </w:tcBorders>
            <w:shd w:val="clear" w:color="000000" w:fill="FFFFFF"/>
            <w:vAlign w:val="bottom"/>
          </w:tcPr>
          <w:p w14:paraId="39FA0CEA" w14:textId="3A4E4B5B" w:rsidR="00820D96" w:rsidRPr="005C3F46" w:rsidRDefault="00820D96" w:rsidP="00820D96">
            <w:pPr>
              <w:snapToGrid w:val="0"/>
              <w:spacing w:before="40" w:after="40" w:line="240" w:lineRule="auto"/>
              <w:jc w:val="left"/>
              <w:rPr>
                <w:rFonts w:cs="Times New Roman"/>
                <w:sz w:val="16"/>
                <w:szCs w:val="16"/>
              </w:rPr>
            </w:pPr>
            <w:r w:rsidRPr="00005CD2">
              <w:rPr>
                <w:rFonts w:cs="Times New Roman"/>
                <w:sz w:val="16"/>
                <w:szCs w:val="16"/>
              </w:rPr>
              <w:t>0,057</w:t>
            </w:r>
            <w:r w:rsidRPr="00005CD2">
              <w:rPr>
                <w:rFonts w:cs="Times New Roman"/>
                <w:sz w:val="16"/>
                <w:szCs w:val="16"/>
              </w:rPr>
              <w:br/>
              <w:t>(0,075)</w:t>
            </w:r>
          </w:p>
        </w:tc>
        <w:tc>
          <w:tcPr>
            <w:tcW w:w="633" w:type="pct"/>
            <w:tcBorders>
              <w:top w:val="nil"/>
              <w:left w:val="nil"/>
              <w:right w:val="nil"/>
            </w:tcBorders>
            <w:shd w:val="clear" w:color="000000" w:fill="FFFFFF"/>
            <w:vAlign w:val="bottom"/>
          </w:tcPr>
          <w:p w14:paraId="48CE4725" w14:textId="6DC8E44F" w:rsidR="00820D96" w:rsidRPr="005C3F46" w:rsidRDefault="00820D96" w:rsidP="00820D96">
            <w:pPr>
              <w:snapToGrid w:val="0"/>
              <w:spacing w:before="40" w:after="40" w:line="240" w:lineRule="auto"/>
              <w:jc w:val="left"/>
              <w:rPr>
                <w:rFonts w:cs="Times New Roman"/>
                <w:sz w:val="16"/>
                <w:szCs w:val="16"/>
              </w:rPr>
            </w:pPr>
            <w:r w:rsidRPr="00005CD2">
              <w:rPr>
                <w:rFonts w:cs="Times New Roman"/>
                <w:sz w:val="16"/>
                <w:szCs w:val="16"/>
              </w:rPr>
              <w:t>1,097***</w:t>
            </w:r>
            <w:r w:rsidRPr="00005CD2">
              <w:rPr>
                <w:rFonts w:cs="Times New Roman"/>
                <w:sz w:val="16"/>
                <w:szCs w:val="16"/>
              </w:rPr>
              <w:br/>
              <w:t>(0,053)</w:t>
            </w:r>
          </w:p>
        </w:tc>
      </w:tr>
      <w:tr w:rsidR="00820D96" w:rsidRPr="00FC4EB7" w14:paraId="4369F689" w14:textId="77777777" w:rsidTr="007A0F7F">
        <w:trPr>
          <w:trHeight w:val="20"/>
          <w:jc w:val="center"/>
        </w:trPr>
        <w:tc>
          <w:tcPr>
            <w:tcW w:w="1201" w:type="pct"/>
            <w:tcBorders>
              <w:top w:val="nil"/>
              <w:left w:val="nil"/>
              <w:right w:val="nil"/>
            </w:tcBorders>
            <w:shd w:val="clear" w:color="000000" w:fill="FFFFFF"/>
          </w:tcPr>
          <w:p w14:paraId="1C1909D1" w14:textId="77777777" w:rsidR="00820D96" w:rsidRPr="000257B3" w:rsidRDefault="00820D96"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Mittlere Bedeutung (4–6)</w:t>
            </w:r>
          </w:p>
        </w:tc>
        <w:tc>
          <w:tcPr>
            <w:tcW w:w="633" w:type="pct"/>
            <w:tcBorders>
              <w:top w:val="nil"/>
              <w:left w:val="nil"/>
              <w:right w:val="nil"/>
            </w:tcBorders>
            <w:shd w:val="clear" w:color="000000" w:fill="FFFFFF"/>
            <w:noWrap/>
            <w:vAlign w:val="bottom"/>
          </w:tcPr>
          <w:p w14:paraId="079A66A7" w14:textId="63C4E237" w:rsidR="00820D96" w:rsidRPr="005C3F46" w:rsidRDefault="00820D96" w:rsidP="00820D96">
            <w:pPr>
              <w:snapToGrid w:val="0"/>
              <w:spacing w:before="40" w:after="40" w:line="240" w:lineRule="auto"/>
              <w:jc w:val="left"/>
              <w:rPr>
                <w:rFonts w:cs="Times New Roman"/>
                <w:sz w:val="16"/>
                <w:szCs w:val="16"/>
              </w:rPr>
            </w:pPr>
            <w:r w:rsidRPr="00005CD2">
              <w:rPr>
                <w:rFonts w:cs="Times New Roman"/>
                <w:sz w:val="16"/>
                <w:szCs w:val="16"/>
              </w:rPr>
              <w:t>-0,204***</w:t>
            </w:r>
            <w:r w:rsidRPr="00005CD2">
              <w:rPr>
                <w:rFonts w:cs="Times New Roman"/>
                <w:sz w:val="16"/>
                <w:szCs w:val="16"/>
              </w:rPr>
              <w:br/>
              <w:t>(0,078)</w:t>
            </w:r>
          </w:p>
        </w:tc>
        <w:tc>
          <w:tcPr>
            <w:tcW w:w="633" w:type="pct"/>
            <w:tcBorders>
              <w:top w:val="nil"/>
              <w:left w:val="nil"/>
              <w:right w:val="nil"/>
            </w:tcBorders>
            <w:shd w:val="clear" w:color="000000" w:fill="FFFFFF"/>
            <w:vAlign w:val="bottom"/>
          </w:tcPr>
          <w:p w14:paraId="4960D255" w14:textId="7D7B3EA2" w:rsidR="00820D96" w:rsidRPr="00103BF8" w:rsidRDefault="00820D96" w:rsidP="00820D96">
            <w:pPr>
              <w:snapToGrid w:val="0"/>
              <w:spacing w:before="40" w:after="40" w:line="240" w:lineRule="auto"/>
              <w:jc w:val="left"/>
              <w:rPr>
                <w:rFonts w:cs="Times New Roman"/>
                <w:sz w:val="16"/>
                <w:szCs w:val="16"/>
              </w:rPr>
            </w:pPr>
            <w:r w:rsidRPr="00005CD2">
              <w:rPr>
                <w:rFonts w:cs="Times New Roman"/>
                <w:sz w:val="16"/>
                <w:szCs w:val="16"/>
              </w:rPr>
              <w:t>-0,023</w:t>
            </w:r>
            <w:r w:rsidRPr="00005CD2">
              <w:rPr>
                <w:rFonts w:cs="Times New Roman"/>
                <w:sz w:val="16"/>
                <w:szCs w:val="16"/>
              </w:rPr>
              <w:br/>
              <w:t>(0,081)</w:t>
            </w:r>
          </w:p>
        </w:tc>
        <w:tc>
          <w:tcPr>
            <w:tcW w:w="634" w:type="pct"/>
            <w:tcBorders>
              <w:top w:val="nil"/>
              <w:left w:val="nil"/>
              <w:right w:val="nil"/>
            </w:tcBorders>
            <w:shd w:val="clear" w:color="000000" w:fill="FFFFFF"/>
            <w:vAlign w:val="bottom"/>
          </w:tcPr>
          <w:p w14:paraId="2271F387" w14:textId="043E4EC0" w:rsidR="00820D96" w:rsidRPr="00103BF8" w:rsidRDefault="00820D96" w:rsidP="00820D96">
            <w:pPr>
              <w:snapToGrid w:val="0"/>
              <w:spacing w:before="40" w:after="40" w:line="240" w:lineRule="auto"/>
              <w:jc w:val="left"/>
              <w:rPr>
                <w:rFonts w:cs="Times New Roman"/>
                <w:sz w:val="16"/>
                <w:szCs w:val="16"/>
              </w:rPr>
            </w:pPr>
            <w:r w:rsidRPr="00005CD2">
              <w:rPr>
                <w:rFonts w:cs="Times New Roman"/>
                <w:sz w:val="16"/>
                <w:szCs w:val="16"/>
              </w:rPr>
              <w:t>0,120</w:t>
            </w:r>
            <w:r w:rsidRPr="00005CD2">
              <w:rPr>
                <w:rFonts w:cs="Times New Roman"/>
                <w:sz w:val="16"/>
                <w:szCs w:val="16"/>
              </w:rPr>
              <w:br/>
              <w:t>(0,090)</w:t>
            </w:r>
          </w:p>
        </w:tc>
        <w:tc>
          <w:tcPr>
            <w:tcW w:w="633" w:type="pct"/>
            <w:tcBorders>
              <w:top w:val="nil"/>
              <w:left w:val="nil"/>
              <w:right w:val="nil"/>
            </w:tcBorders>
            <w:shd w:val="clear" w:color="000000" w:fill="FFFFFF"/>
            <w:vAlign w:val="bottom"/>
          </w:tcPr>
          <w:p w14:paraId="0898440F" w14:textId="26C63670" w:rsidR="00820D96" w:rsidRPr="00103BF8" w:rsidRDefault="00820D96" w:rsidP="00820D96">
            <w:pPr>
              <w:snapToGrid w:val="0"/>
              <w:spacing w:before="40" w:after="40" w:line="240" w:lineRule="auto"/>
              <w:jc w:val="left"/>
              <w:rPr>
                <w:rFonts w:cs="Times New Roman"/>
                <w:sz w:val="16"/>
                <w:szCs w:val="16"/>
              </w:rPr>
            </w:pPr>
            <w:r w:rsidRPr="00005CD2">
              <w:rPr>
                <w:rFonts w:cs="Times New Roman"/>
                <w:sz w:val="16"/>
                <w:szCs w:val="16"/>
              </w:rPr>
              <w:t>-0,194**</w:t>
            </w:r>
            <w:r w:rsidRPr="00005CD2">
              <w:rPr>
                <w:rFonts w:cs="Times New Roman"/>
                <w:sz w:val="16"/>
                <w:szCs w:val="16"/>
              </w:rPr>
              <w:br/>
              <w:t>(0,088)</w:t>
            </w:r>
          </w:p>
        </w:tc>
        <w:tc>
          <w:tcPr>
            <w:tcW w:w="633" w:type="pct"/>
            <w:tcBorders>
              <w:top w:val="nil"/>
              <w:left w:val="nil"/>
              <w:right w:val="nil"/>
            </w:tcBorders>
            <w:shd w:val="clear" w:color="000000" w:fill="FFFFFF"/>
            <w:vAlign w:val="bottom"/>
          </w:tcPr>
          <w:p w14:paraId="5477A7E6" w14:textId="690B33C5" w:rsidR="00820D96" w:rsidRPr="00103BF8" w:rsidRDefault="00820D96" w:rsidP="00820D96">
            <w:pPr>
              <w:snapToGrid w:val="0"/>
              <w:spacing w:before="40" w:after="40" w:line="240" w:lineRule="auto"/>
              <w:jc w:val="left"/>
              <w:rPr>
                <w:rFonts w:cs="Times New Roman"/>
                <w:sz w:val="16"/>
                <w:szCs w:val="16"/>
              </w:rPr>
            </w:pPr>
            <w:r w:rsidRPr="00005CD2">
              <w:rPr>
                <w:rFonts w:cs="Times New Roman"/>
                <w:sz w:val="16"/>
                <w:szCs w:val="16"/>
              </w:rPr>
              <w:t>0,199**</w:t>
            </w:r>
            <w:r w:rsidRPr="00005CD2">
              <w:rPr>
                <w:rFonts w:cs="Times New Roman"/>
                <w:sz w:val="16"/>
                <w:szCs w:val="16"/>
              </w:rPr>
              <w:br/>
              <w:t>(0,082)</w:t>
            </w:r>
          </w:p>
        </w:tc>
        <w:tc>
          <w:tcPr>
            <w:tcW w:w="633" w:type="pct"/>
            <w:tcBorders>
              <w:top w:val="nil"/>
              <w:left w:val="nil"/>
              <w:right w:val="nil"/>
            </w:tcBorders>
            <w:shd w:val="clear" w:color="000000" w:fill="FFFFFF"/>
            <w:vAlign w:val="bottom"/>
          </w:tcPr>
          <w:p w14:paraId="0D710217" w14:textId="11855901" w:rsidR="00820D96" w:rsidRPr="00103BF8" w:rsidRDefault="00820D96" w:rsidP="00820D96">
            <w:pPr>
              <w:snapToGrid w:val="0"/>
              <w:spacing w:before="40" w:after="40" w:line="240" w:lineRule="auto"/>
              <w:jc w:val="left"/>
              <w:rPr>
                <w:rFonts w:cs="Times New Roman"/>
                <w:sz w:val="16"/>
                <w:szCs w:val="16"/>
              </w:rPr>
            </w:pPr>
            <w:r w:rsidRPr="00005CD2">
              <w:rPr>
                <w:rFonts w:cs="Times New Roman"/>
                <w:sz w:val="16"/>
                <w:szCs w:val="16"/>
              </w:rPr>
              <w:t>0,325***</w:t>
            </w:r>
            <w:r w:rsidRPr="00005CD2">
              <w:rPr>
                <w:rFonts w:cs="Times New Roman"/>
                <w:sz w:val="16"/>
                <w:szCs w:val="16"/>
              </w:rPr>
              <w:br/>
              <w:t>(0,060)</w:t>
            </w:r>
          </w:p>
        </w:tc>
      </w:tr>
      <w:tr w:rsidR="00820D96" w:rsidRPr="00FC4EB7" w14:paraId="08C687F7" w14:textId="77777777" w:rsidTr="007A0F7F">
        <w:trPr>
          <w:trHeight w:val="20"/>
          <w:jc w:val="center"/>
        </w:trPr>
        <w:tc>
          <w:tcPr>
            <w:tcW w:w="1201" w:type="pct"/>
            <w:tcBorders>
              <w:top w:val="nil"/>
              <w:left w:val="nil"/>
              <w:right w:val="nil"/>
            </w:tcBorders>
            <w:shd w:val="clear" w:color="000000" w:fill="FFFFFF"/>
          </w:tcPr>
          <w:p w14:paraId="5323B8DD" w14:textId="77777777" w:rsidR="00820D96" w:rsidRPr="000257B3" w:rsidRDefault="00820D96"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Hohe Bedeutung (7–10) (Referenzgruppe)</w:t>
            </w:r>
          </w:p>
        </w:tc>
        <w:tc>
          <w:tcPr>
            <w:tcW w:w="633" w:type="pct"/>
            <w:tcBorders>
              <w:top w:val="nil"/>
              <w:left w:val="nil"/>
              <w:right w:val="nil"/>
            </w:tcBorders>
            <w:shd w:val="clear" w:color="000000" w:fill="FFFFFF"/>
            <w:noWrap/>
            <w:vAlign w:val="bottom"/>
          </w:tcPr>
          <w:p w14:paraId="1C77E0FC" w14:textId="77777777" w:rsidR="00820D96" w:rsidRPr="005C3F46" w:rsidRDefault="00820D96" w:rsidP="00820D96">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vAlign w:val="bottom"/>
          </w:tcPr>
          <w:p w14:paraId="3DFEF033" w14:textId="77777777" w:rsidR="00820D96" w:rsidRPr="00103BF8" w:rsidRDefault="00820D96" w:rsidP="00820D96">
            <w:pPr>
              <w:snapToGrid w:val="0"/>
              <w:spacing w:before="40" w:after="40" w:line="240" w:lineRule="auto"/>
              <w:jc w:val="left"/>
              <w:rPr>
                <w:rFonts w:cs="Times New Roman"/>
                <w:sz w:val="16"/>
                <w:szCs w:val="16"/>
              </w:rPr>
            </w:pPr>
          </w:p>
        </w:tc>
        <w:tc>
          <w:tcPr>
            <w:tcW w:w="634" w:type="pct"/>
            <w:tcBorders>
              <w:top w:val="nil"/>
              <w:left w:val="nil"/>
              <w:right w:val="nil"/>
            </w:tcBorders>
            <w:shd w:val="clear" w:color="000000" w:fill="FFFFFF"/>
            <w:vAlign w:val="bottom"/>
          </w:tcPr>
          <w:p w14:paraId="7851A765" w14:textId="77777777" w:rsidR="00820D96" w:rsidRPr="00103BF8" w:rsidRDefault="00820D96" w:rsidP="00820D96">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vAlign w:val="bottom"/>
          </w:tcPr>
          <w:p w14:paraId="6F8FC9D8" w14:textId="77777777" w:rsidR="00820D96" w:rsidRPr="00103BF8" w:rsidRDefault="00820D96" w:rsidP="00820D96">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vAlign w:val="bottom"/>
          </w:tcPr>
          <w:p w14:paraId="7A3F62EB" w14:textId="77777777" w:rsidR="00820D96" w:rsidRPr="00103BF8" w:rsidRDefault="00820D96" w:rsidP="00820D96">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vAlign w:val="bottom"/>
          </w:tcPr>
          <w:p w14:paraId="6CC2D086" w14:textId="77777777" w:rsidR="00820D96" w:rsidRPr="00103BF8" w:rsidRDefault="00820D96" w:rsidP="00820D96">
            <w:pPr>
              <w:snapToGrid w:val="0"/>
              <w:spacing w:before="40" w:after="40" w:line="240" w:lineRule="auto"/>
              <w:jc w:val="left"/>
              <w:rPr>
                <w:rFonts w:cs="Times New Roman"/>
                <w:sz w:val="16"/>
                <w:szCs w:val="16"/>
              </w:rPr>
            </w:pPr>
          </w:p>
        </w:tc>
      </w:tr>
      <w:tr w:rsidR="00820D96" w:rsidRPr="00FC4EB7" w14:paraId="3BECBF69" w14:textId="77777777" w:rsidTr="007A0F7F">
        <w:trPr>
          <w:trHeight w:val="20"/>
          <w:jc w:val="center"/>
        </w:trPr>
        <w:tc>
          <w:tcPr>
            <w:tcW w:w="1201" w:type="pct"/>
            <w:tcBorders>
              <w:top w:val="nil"/>
              <w:left w:val="nil"/>
              <w:right w:val="nil"/>
            </w:tcBorders>
            <w:shd w:val="clear" w:color="000000" w:fill="FFFFFF"/>
          </w:tcPr>
          <w:p w14:paraId="435AB5C5" w14:textId="77777777" w:rsidR="00820D96" w:rsidRPr="00F906E9" w:rsidRDefault="00820D96" w:rsidP="00820D96">
            <w:pPr>
              <w:snapToGrid w:val="0"/>
              <w:spacing w:before="40" w:after="40" w:line="240" w:lineRule="auto"/>
              <w:jc w:val="left"/>
              <w:rPr>
                <w:b/>
                <w:bCs/>
                <w:color w:val="000000"/>
                <w:sz w:val="16"/>
                <w:szCs w:val="16"/>
              </w:rPr>
            </w:pPr>
            <w:r w:rsidRPr="00F906E9">
              <w:rPr>
                <w:b/>
                <w:bCs/>
                <w:color w:val="000000"/>
                <w:sz w:val="16"/>
                <w:szCs w:val="16"/>
              </w:rPr>
              <w:t>Innovationstätigkeit</w:t>
            </w:r>
          </w:p>
        </w:tc>
        <w:tc>
          <w:tcPr>
            <w:tcW w:w="633" w:type="pct"/>
            <w:tcBorders>
              <w:top w:val="nil"/>
              <w:left w:val="nil"/>
              <w:right w:val="nil"/>
            </w:tcBorders>
            <w:shd w:val="clear" w:color="000000" w:fill="FFFFFF"/>
            <w:noWrap/>
            <w:vAlign w:val="bottom"/>
          </w:tcPr>
          <w:p w14:paraId="09FC1266" w14:textId="632A85E3" w:rsidR="00820D96" w:rsidRPr="005C3F46" w:rsidRDefault="00820D96" w:rsidP="00820D96">
            <w:pPr>
              <w:snapToGrid w:val="0"/>
              <w:spacing w:before="40" w:after="40" w:line="240" w:lineRule="auto"/>
              <w:jc w:val="left"/>
              <w:rPr>
                <w:rFonts w:cs="Times New Roman"/>
                <w:sz w:val="16"/>
                <w:szCs w:val="16"/>
              </w:rPr>
            </w:pPr>
            <w:r w:rsidRPr="00005CD2">
              <w:rPr>
                <w:rFonts w:cs="Times New Roman"/>
                <w:sz w:val="16"/>
                <w:szCs w:val="16"/>
              </w:rPr>
              <w:t>-0,022</w:t>
            </w:r>
            <w:r w:rsidRPr="00005CD2">
              <w:rPr>
                <w:rFonts w:cs="Times New Roman"/>
                <w:sz w:val="16"/>
                <w:szCs w:val="16"/>
              </w:rPr>
              <w:br/>
              <w:t>(0,073)</w:t>
            </w:r>
          </w:p>
        </w:tc>
        <w:tc>
          <w:tcPr>
            <w:tcW w:w="633" w:type="pct"/>
            <w:tcBorders>
              <w:top w:val="nil"/>
              <w:left w:val="nil"/>
              <w:right w:val="nil"/>
            </w:tcBorders>
            <w:shd w:val="clear" w:color="000000" w:fill="FFFFFF"/>
            <w:vAlign w:val="bottom"/>
          </w:tcPr>
          <w:p w14:paraId="265A7FA4" w14:textId="419CA737" w:rsidR="00820D96" w:rsidRPr="005C3F46" w:rsidRDefault="00820D96" w:rsidP="00820D96">
            <w:pPr>
              <w:snapToGrid w:val="0"/>
              <w:spacing w:before="40" w:after="40" w:line="240" w:lineRule="auto"/>
              <w:jc w:val="left"/>
              <w:rPr>
                <w:rFonts w:cs="Times New Roman"/>
                <w:sz w:val="16"/>
                <w:szCs w:val="16"/>
              </w:rPr>
            </w:pPr>
            <w:r w:rsidRPr="00005CD2">
              <w:rPr>
                <w:rFonts w:cs="Times New Roman"/>
                <w:sz w:val="16"/>
                <w:szCs w:val="16"/>
              </w:rPr>
              <w:t>-0,174**</w:t>
            </w:r>
            <w:r w:rsidRPr="00005CD2">
              <w:rPr>
                <w:rFonts w:cs="Times New Roman"/>
                <w:sz w:val="16"/>
                <w:szCs w:val="16"/>
              </w:rPr>
              <w:br/>
              <w:t>(0,073)</w:t>
            </w:r>
          </w:p>
        </w:tc>
        <w:tc>
          <w:tcPr>
            <w:tcW w:w="634" w:type="pct"/>
            <w:tcBorders>
              <w:top w:val="nil"/>
              <w:left w:val="nil"/>
              <w:right w:val="nil"/>
            </w:tcBorders>
            <w:shd w:val="clear" w:color="000000" w:fill="FFFFFF"/>
            <w:vAlign w:val="bottom"/>
          </w:tcPr>
          <w:p w14:paraId="78DF6CF9" w14:textId="427C96AB" w:rsidR="00820D96" w:rsidRPr="005C3F46" w:rsidRDefault="00820D96" w:rsidP="00820D96">
            <w:pPr>
              <w:snapToGrid w:val="0"/>
              <w:spacing w:before="40" w:after="40" w:line="240" w:lineRule="auto"/>
              <w:jc w:val="left"/>
              <w:rPr>
                <w:rFonts w:cs="Times New Roman"/>
                <w:sz w:val="16"/>
                <w:szCs w:val="16"/>
              </w:rPr>
            </w:pPr>
            <w:r w:rsidRPr="00005CD2">
              <w:rPr>
                <w:rFonts w:cs="Times New Roman"/>
                <w:sz w:val="16"/>
                <w:szCs w:val="16"/>
              </w:rPr>
              <w:t>-0,033</w:t>
            </w:r>
            <w:r w:rsidRPr="00005CD2">
              <w:rPr>
                <w:rFonts w:cs="Times New Roman"/>
                <w:sz w:val="16"/>
                <w:szCs w:val="16"/>
              </w:rPr>
              <w:br/>
              <w:t>(0,074)</w:t>
            </w:r>
          </w:p>
        </w:tc>
        <w:tc>
          <w:tcPr>
            <w:tcW w:w="633" w:type="pct"/>
            <w:tcBorders>
              <w:top w:val="nil"/>
              <w:left w:val="nil"/>
              <w:right w:val="nil"/>
            </w:tcBorders>
            <w:shd w:val="clear" w:color="000000" w:fill="FFFFFF"/>
            <w:vAlign w:val="bottom"/>
          </w:tcPr>
          <w:p w14:paraId="2E6487B7" w14:textId="4824395B" w:rsidR="00820D96" w:rsidRPr="005C3F46" w:rsidRDefault="00820D96" w:rsidP="00820D96">
            <w:pPr>
              <w:snapToGrid w:val="0"/>
              <w:spacing w:before="40" w:after="40" w:line="240" w:lineRule="auto"/>
              <w:jc w:val="left"/>
              <w:rPr>
                <w:rFonts w:cs="Times New Roman"/>
                <w:sz w:val="16"/>
                <w:szCs w:val="16"/>
              </w:rPr>
            </w:pPr>
            <w:r w:rsidRPr="00005CD2">
              <w:rPr>
                <w:rFonts w:cs="Times New Roman"/>
                <w:sz w:val="16"/>
                <w:szCs w:val="16"/>
              </w:rPr>
              <w:t>0,403***</w:t>
            </w:r>
            <w:r w:rsidRPr="00005CD2">
              <w:rPr>
                <w:rFonts w:cs="Times New Roman"/>
                <w:sz w:val="16"/>
                <w:szCs w:val="16"/>
              </w:rPr>
              <w:br/>
              <w:t>(0,077)</w:t>
            </w:r>
          </w:p>
        </w:tc>
        <w:tc>
          <w:tcPr>
            <w:tcW w:w="633" w:type="pct"/>
            <w:tcBorders>
              <w:top w:val="nil"/>
              <w:left w:val="nil"/>
              <w:right w:val="nil"/>
            </w:tcBorders>
            <w:shd w:val="clear" w:color="000000" w:fill="FFFFFF"/>
            <w:vAlign w:val="bottom"/>
          </w:tcPr>
          <w:p w14:paraId="61B749AD" w14:textId="4C7CAD90" w:rsidR="00820D96" w:rsidRPr="005C3F46" w:rsidRDefault="00820D96" w:rsidP="00820D96">
            <w:pPr>
              <w:snapToGrid w:val="0"/>
              <w:spacing w:before="40" w:after="40" w:line="240" w:lineRule="auto"/>
              <w:jc w:val="left"/>
              <w:rPr>
                <w:rFonts w:cs="Times New Roman"/>
                <w:sz w:val="16"/>
                <w:szCs w:val="16"/>
              </w:rPr>
            </w:pPr>
            <w:r w:rsidRPr="00005CD2">
              <w:rPr>
                <w:rFonts w:cs="Times New Roman"/>
                <w:sz w:val="16"/>
                <w:szCs w:val="16"/>
              </w:rPr>
              <w:t>0,082</w:t>
            </w:r>
            <w:r w:rsidRPr="00005CD2">
              <w:rPr>
                <w:rFonts w:cs="Times New Roman"/>
                <w:sz w:val="16"/>
                <w:szCs w:val="16"/>
              </w:rPr>
              <w:br/>
              <w:t>(0,066)</w:t>
            </w:r>
          </w:p>
        </w:tc>
        <w:tc>
          <w:tcPr>
            <w:tcW w:w="633" w:type="pct"/>
            <w:tcBorders>
              <w:top w:val="nil"/>
              <w:left w:val="nil"/>
              <w:right w:val="nil"/>
            </w:tcBorders>
            <w:shd w:val="clear" w:color="000000" w:fill="FFFFFF"/>
            <w:vAlign w:val="bottom"/>
          </w:tcPr>
          <w:p w14:paraId="4F9255A7" w14:textId="3E51E2AE" w:rsidR="00820D96" w:rsidRPr="005C3F46" w:rsidRDefault="00820D96" w:rsidP="00820D96">
            <w:pPr>
              <w:snapToGrid w:val="0"/>
              <w:spacing w:before="40" w:after="40" w:line="240" w:lineRule="auto"/>
              <w:jc w:val="left"/>
              <w:rPr>
                <w:rFonts w:cs="Times New Roman"/>
                <w:sz w:val="16"/>
                <w:szCs w:val="16"/>
              </w:rPr>
            </w:pPr>
            <w:r w:rsidRPr="00005CD2">
              <w:rPr>
                <w:rFonts w:cs="Times New Roman"/>
                <w:sz w:val="16"/>
                <w:szCs w:val="16"/>
              </w:rPr>
              <w:t>-0,261***</w:t>
            </w:r>
            <w:r w:rsidRPr="00005CD2">
              <w:rPr>
                <w:rFonts w:cs="Times New Roman"/>
                <w:sz w:val="16"/>
                <w:szCs w:val="16"/>
              </w:rPr>
              <w:br/>
              <w:t>(0,047)</w:t>
            </w:r>
          </w:p>
        </w:tc>
      </w:tr>
      <w:tr w:rsidR="00B22F24" w:rsidRPr="00FC4EB7" w14:paraId="32C7CD76" w14:textId="77777777" w:rsidTr="003B1C0E">
        <w:trPr>
          <w:trHeight w:val="20"/>
          <w:jc w:val="center"/>
        </w:trPr>
        <w:tc>
          <w:tcPr>
            <w:tcW w:w="1201" w:type="pct"/>
            <w:tcBorders>
              <w:top w:val="nil"/>
              <w:left w:val="nil"/>
              <w:right w:val="nil"/>
            </w:tcBorders>
            <w:shd w:val="clear" w:color="000000" w:fill="FFFFFF"/>
          </w:tcPr>
          <w:p w14:paraId="0477ED86" w14:textId="77777777" w:rsidR="00B22F24" w:rsidRPr="00F906E9" w:rsidRDefault="00B22F24" w:rsidP="003B1C0E">
            <w:pPr>
              <w:snapToGrid w:val="0"/>
              <w:spacing w:before="40" w:after="40" w:line="240" w:lineRule="auto"/>
              <w:jc w:val="left"/>
              <w:rPr>
                <w:b/>
                <w:bCs/>
                <w:color w:val="000000"/>
                <w:sz w:val="16"/>
                <w:szCs w:val="16"/>
              </w:rPr>
            </w:pPr>
            <w:r w:rsidRPr="00F906E9">
              <w:rPr>
                <w:b/>
                <w:bCs/>
                <w:color w:val="000000"/>
                <w:sz w:val="16"/>
                <w:szCs w:val="16"/>
              </w:rPr>
              <w:t>Branche</w:t>
            </w:r>
          </w:p>
        </w:tc>
        <w:tc>
          <w:tcPr>
            <w:tcW w:w="3799" w:type="pct"/>
            <w:gridSpan w:val="6"/>
            <w:tcBorders>
              <w:top w:val="nil"/>
              <w:left w:val="nil"/>
              <w:right w:val="nil"/>
            </w:tcBorders>
            <w:shd w:val="clear" w:color="000000" w:fill="FFFFFF"/>
            <w:noWrap/>
          </w:tcPr>
          <w:p w14:paraId="07DFE102" w14:textId="77777777" w:rsidR="00B22F24" w:rsidRPr="00F374E9" w:rsidRDefault="00B22F24" w:rsidP="003B1C0E">
            <w:pPr>
              <w:snapToGrid w:val="0"/>
              <w:spacing w:before="40" w:after="40" w:line="240" w:lineRule="auto"/>
              <w:jc w:val="center"/>
              <w:rPr>
                <w:i/>
                <w:iCs/>
                <w:color w:val="000000"/>
                <w:spacing w:val="-4"/>
                <w:sz w:val="16"/>
                <w:szCs w:val="16"/>
              </w:rPr>
            </w:pPr>
            <w:r w:rsidRPr="00F374E9">
              <w:rPr>
                <w:i/>
                <w:iCs/>
                <w:color w:val="000000"/>
                <w:spacing w:val="-4"/>
                <w:sz w:val="16"/>
                <w:szCs w:val="16"/>
              </w:rPr>
              <w:t xml:space="preserve">Variablen </w:t>
            </w:r>
            <w:r>
              <w:rPr>
                <w:i/>
                <w:iCs/>
                <w:color w:val="000000"/>
                <w:spacing w:val="-4"/>
                <w:sz w:val="16"/>
                <w:szCs w:val="16"/>
              </w:rPr>
              <w:t>berücksichtigt</w:t>
            </w:r>
          </w:p>
        </w:tc>
      </w:tr>
      <w:tr w:rsidR="00B22F24" w:rsidRPr="00FC4EB7" w14:paraId="0D70899F" w14:textId="77777777" w:rsidTr="003B1C0E">
        <w:trPr>
          <w:trHeight w:val="20"/>
          <w:jc w:val="center"/>
        </w:trPr>
        <w:tc>
          <w:tcPr>
            <w:tcW w:w="1201" w:type="pct"/>
            <w:tcBorders>
              <w:left w:val="nil"/>
              <w:bottom w:val="single" w:sz="6" w:space="0" w:color="auto"/>
              <w:right w:val="nil"/>
            </w:tcBorders>
            <w:shd w:val="clear" w:color="000000" w:fill="FFFFFF"/>
          </w:tcPr>
          <w:p w14:paraId="36220980" w14:textId="77777777" w:rsidR="00B22F24" w:rsidRPr="00F906E9" w:rsidRDefault="00B22F24" w:rsidP="003B1C0E">
            <w:pPr>
              <w:snapToGrid w:val="0"/>
              <w:spacing w:before="40" w:after="40" w:line="240" w:lineRule="auto"/>
              <w:jc w:val="left"/>
              <w:rPr>
                <w:b/>
                <w:bCs/>
                <w:color w:val="000000"/>
                <w:sz w:val="16"/>
                <w:szCs w:val="16"/>
              </w:rPr>
            </w:pPr>
            <w:r w:rsidRPr="00F906E9">
              <w:rPr>
                <w:b/>
                <w:bCs/>
                <w:color w:val="000000"/>
                <w:sz w:val="16"/>
                <w:szCs w:val="16"/>
              </w:rPr>
              <w:t>Land</w:t>
            </w:r>
          </w:p>
        </w:tc>
        <w:tc>
          <w:tcPr>
            <w:tcW w:w="3799" w:type="pct"/>
            <w:gridSpan w:val="6"/>
            <w:tcBorders>
              <w:left w:val="nil"/>
              <w:bottom w:val="single" w:sz="6" w:space="0" w:color="auto"/>
              <w:right w:val="nil"/>
            </w:tcBorders>
            <w:shd w:val="clear" w:color="000000" w:fill="FFFFFF"/>
            <w:noWrap/>
            <w:vAlign w:val="center"/>
          </w:tcPr>
          <w:p w14:paraId="52D340FA" w14:textId="77777777" w:rsidR="00B22F24" w:rsidRPr="00FC4EB7" w:rsidRDefault="00B22F24" w:rsidP="003B1C0E">
            <w:pPr>
              <w:snapToGrid w:val="0"/>
              <w:spacing w:before="40" w:after="40" w:line="240" w:lineRule="auto"/>
              <w:jc w:val="center"/>
              <w:rPr>
                <w:color w:val="000000"/>
                <w:sz w:val="16"/>
                <w:szCs w:val="16"/>
              </w:rPr>
            </w:pPr>
            <w:r w:rsidRPr="00F374E9">
              <w:rPr>
                <w:i/>
                <w:iCs/>
                <w:color w:val="000000"/>
                <w:spacing w:val="-4"/>
                <w:sz w:val="16"/>
                <w:szCs w:val="16"/>
              </w:rPr>
              <w:t xml:space="preserve">Variablen </w:t>
            </w:r>
            <w:r>
              <w:rPr>
                <w:i/>
                <w:iCs/>
                <w:color w:val="000000"/>
                <w:spacing w:val="-4"/>
                <w:sz w:val="16"/>
                <w:szCs w:val="16"/>
              </w:rPr>
              <w:t>berücksichtigt</w:t>
            </w:r>
          </w:p>
        </w:tc>
      </w:tr>
      <w:tr w:rsidR="00B22F24" w:rsidRPr="00FC4EB7" w14:paraId="2ED545EB" w14:textId="77777777" w:rsidTr="003B1C0E">
        <w:trPr>
          <w:trHeight w:val="20"/>
          <w:jc w:val="center"/>
        </w:trPr>
        <w:tc>
          <w:tcPr>
            <w:tcW w:w="1201" w:type="pct"/>
            <w:tcBorders>
              <w:top w:val="single" w:sz="6" w:space="0" w:color="auto"/>
              <w:left w:val="nil"/>
              <w:right w:val="nil"/>
            </w:tcBorders>
            <w:shd w:val="clear" w:color="000000" w:fill="FFFFFF"/>
          </w:tcPr>
          <w:p w14:paraId="315C4139" w14:textId="77777777" w:rsidR="00B22F24" w:rsidRPr="00F906E9" w:rsidRDefault="00B22F24" w:rsidP="003B1C0E">
            <w:pPr>
              <w:snapToGrid w:val="0"/>
              <w:spacing w:before="40" w:after="40" w:line="240" w:lineRule="auto"/>
              <w:jc w:val="left"/>
              <w:rPr>
                <w:b/>
                <w:bCs/>
                <w:color w:val="000000"/>
                <w:sz w:val="16"/>
                <w:szCs w:val="16"/>
              </w:rPr>
            </w:pPr>
            <w:r>
              <w:rPr>
                <w:b/>
                <w:bCs/>
                <w:color w:val="000000"/>
                <w:sz w:val="16"/>
                <w:szCs w:val="16"/>
              </w:rPr>
              <w:t>N</w:t>
            </w:r>
          </w:p>
        </w:tc>
        <w:tc>
          <w:tcPr>
            <w:tcW w:w="633" w:type="pct"/>
            <w:tcBorders>
              <w:top w:val="single" w:sz="6" w:space="0" w:color="auto"/>
              <w:left w:val="nil"/>
              <w:right w:val="nil"/>
            </w:tcBorders>
            <w:shd w:val="clear" w:color="000000" w:fill="FFFFFF"/>
            <w:noWrap/>
          </w:tcPr>
          <w:p w14:paraId="3B3F04D8" w14:textId="77777777" w:rsidR="00B22F24" w:rsidRPr="00FC4EB7" w:rsidRDefault="00B22F24" w:rsidP="003B1C0E">
            <w:pPr>
              <w:snapToGrid w:val="0"/>
              <w:spacing w:before="40" w:after="40" w:line="240" w:lineRule="auto"/>
              <w:jc w:val="left"/>
              <w:rPr>
                <w:color w:val="000000"/>
                <w:sz w:val="16"/>
                <w:szCs w:val="16"/>
              </w:rPr>
            </w:pPr>
            <w:r w:rsidRPr="00B31E5A">
              <w:rPr>
                <w:color w:val="000000"/>
                <w:sz w:val="16"/>
                <w:szCs w:val="16"/>
              </w:rPr>
              <w:t>12</w:t>
            </w:r>
            <w:r>
              <w:rPr>
                <w:color w:val="000000"/>
                <w:sz w:val="16"/>
                <w:szCs w:val="16"/>
              </w:rPr>
              <w:t>.</w:t>
            </w:r>
            <w:r w:rsidRPr="00B31E5A">
              <w:rPr>
                <w:color w:val="000000"/>
                <w:sz w:val="16"/>
                <w:szCs w:val="16"/>
              </w:rPr>
              <w:t>578</w:t>
            </w:r>
          </w:p>
        </w:tc>
        <w:tc>
          <w:tcPr>
            <w:tcW w:w="633" w:type="pct"/>
            <w:tcBorders>
              <w:top w:val="single" w:sz="6" w:space="0" w:color="auto"/>
              <w:left w:val="nil"/>
              <w:right w:val="nil"/>
            </w:tcBorders>
            <w:shd w:val="clear" w:color="000000" w:fill="FFFFFF"/>
          </w:tcPr>
          <w:p w14:paraId="7BA9A3D6" w14:textId="77777777" w:rsidR="00B22F24" w:rsidRPr="00FC4EB7" w:rsidRDefault="00B22F24" w:rsidP="003B1C0E">
            <w:pPr>
              <w:snapToGrid w:val="0"/>
              <w:spacing w:before="40" w:after="40" w:line="240" w:lineRule="auto"/>
              <w:jc w:val="left"/>
              <w:rPr>
                <w:color w:val="000000"/>
                <w:sz w:val="16"/>
                <w:szCs w:val="16"/>
              </w:rPr>
            </w:pPr>
          </w:p>
        </w:tc>
        <w:tc>
          <w:tcPr>
            <w:tcW w:w="634" w:type="pct"/>
            <w:tcBorders>
              <w:top w:val="single" w:sz="6" w:space="0" w:color="auto"/>
              <w:left w:val="nil"/>
              <w:right w:val="nil"/>
            </w:tcBorders>
            <w:shd w:val="clear" w:color="000000" w:fill="FFFFFF"/>
          </w:tcPr>
          <w:p w14:paraId="35FF52FC"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single" w:sz="6" w:space="0" w:color="auto"/>
              <w:left w:val="nil"/>
              <w:right w:val="nil"/>
            </w:tcBorders>
            <w:shd w:val="clear" w:color="000000" w:fill="FFFFFF"/>
          </w:tcPr>
          <w:p w14:paraId="1F1F6C55"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single" w:sz="6" w:space="0" w:color="auto"/>
              <w:left w:val="nil"/>
              <w:right w:val="nil"/>
            </w:tcBorders>
            <w:shd w:val="clear" w:color="000000" w:fill="FFFFFF"/>
          </w:tcPr>
          <w:p w14:paraId="138BCA1B"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single" w:sz="6" w:space="0" w:color="auto"/>
              <w:left w:val="nil"/>
              <w:right w:val="nil"/>
            </w:tcBorders>
            <w:shd w:val="clear" w:color="000000" w:fill="FFFFFF"/>
          </w:tcPr>
          <w:p w14:paraId="74D51D63" w14:textId="77777777" w:rsidR="00B22F24" w:rsidRPr="00FC4EB7" w:rsidRDefault="00B22F24" w:rsidP="003B1C0E">
            <w:pPr>
              <w:snapToGrid w:val="0"/>
              <w:spacing w:before="40" w:after="40" w:line="240" w:lineRule="auto"/>
              <w:jc w:val="left"/>
              <w:rPr>
                <w:color w:val="000000"/>
                <w:sz w:val="16"/>
                <w:szCs w:val="16"/>
              </w:rPr>
            </w:pPr>
          </w:p>
        </w:tc>
      </w:tr>
      <w:tr w:rsidR="00820D96" w:rsidRPr="00FC4EB7" w14:paraId="394FBE72" w14:textId="77777777" w:rsidTr="003B1C0E">
        <w:trPr>
          <w:trHeight w:val="20"/>
          <w:jc w:val="center"/>
        </w:trPr>
        <w:tc>
          <w:tcPr>
            <w:tcW w:w="1201" w:type="pct"/>
            <w:tcBorders>
              <w:left w:val="nil"/>
              <w:right w:val="nil"/>
            </w:tcBorders>
            <w:shd w:val="clear" w:color="000000" w:fill="FFFFFF"/>
          </w:tcPr>
          <w:p w14:paraId="46E81207" w14:textId="77777777" w:rsidR="00820D96" w:rsidRPr="00F906E9" w:rsidRDefault="00820D96" w:rsidP="00820D96">
            <w:pPr>
              <w:snapToGrid w:val="0"/>
              <w:spacing w:before="40" w:after="40" w:line="240" w:lineRule="auto"/>
              <w:jc w:val="left"/>
              <w:rPr>
                <w:b/>
                <w:bCs/>
                <w:color w:val="000000"/>
                <w:sz w:val="16"/>
                <w:szCs w:val="16"/>
              </w:rPr>
            </w:pPr>
            <w:r>
              <w:rPr>
                <w:b/>
                <w:bCs/>
                <w:color w:val="000000"/>
                <w:sz w:val="16"/>
                <w:szCs w:val="16"/>
              </w:rPr>
              <w:t>Log-Likelihood</w:t>
            </w:r>
          </w:p>
        </w:tc>
        <w:tc>
          <w:tcPr>
            <w:tcW w:w="633" w:type="pct"/>
            <w:tcBorders>
              <w:left w:val="nil"/>
              <w:right w:val="nil"/>
            </w:tcBorders>
            <w:shd w:val="clear" w:color="000000" w:fill="FFFFFF"/>
            <w:noWrap/>
          </w:tcPr>
          <w:p w14:paraId="50085F39" w14:textId="4DFF75E0" w:rsidR="00820D96" w:rsidRPr="00FC4EB7" w:rsidRDefault="00820D96" w:rsidP="00820D96">
            <w:pPr>
              <w:snapToGrid w:val="0"/>
              <w:spacing w:before="40" w:after="40" w:line="240" w:lineRule="auto"/>
              <w:jc w:val="left"/>
              <w:rPr>
                <w:color w:val="000000"/>
                <w:sz w:val="16"/>
                <w:szCs w:val="16"/>
              </w:rPr>
            </w:pPr>
            <w:r>
              <w:rPr>
                <w:color w:val="000000"/>
                <w:sz w:val="16"/>
                <w:szCs w:val="16"/>
              </w:rPr>
              <w:t>-</w:t>
            </w:r>
            <w:r w:rsidRPr="00EA587D">
              <w:rPr>
                <w:color w:val="000000"/>
                <w:sz w:val="16"/>
                <w:szCs w:val="16"/>
              </w:rPr>
              <w:t>3</w:t>
            </w:r>
            <w:r>
              <w:rPr>
                <w:color w:val="000000"/>
                <w:sz w:val="16"/>
                <w:szCs w:val="16"/>
              </w:rPr>
              <w:t>.</w:t>
            </w:r>
            <w:r w:rsidRPr="00EA587D">
              <w:rPr>
                <w:color w:val="000000"/>
                <w:sz w:val="16"/>
                <w:szCs w:val="16"/>
              </w:rPr>
              <w:t>51</w:t>
            </w:r>
            <w:r>
              <w:rPr>
                <w:color w:val="000000"/>
                <w:sz w:val="16"/>
                <w:szCs w:val="16"/>
              </w:rPr>
              <w:t>6,0</w:t>
            </w:r>
          </w:p>
        </w:tc>
        <w:tc>
          <w:tcPr>
            <w:tcW w:w="633" w:type="pct"/>
            <w:tcBorders>
              <w:left w:val="nil"/>
              <w:right w:val="nil"/>
            </w:tcBorders>
            <w:shd w:val="clear" w:color="000000" w:fill="FFFFFF"/>
          </w:tcPr>
          <w:p w14:paraId="6C39EEE3" w14:textId="66F600DC" w:rsidR="00820D96" w:rsidRPr="00FC4EB7" w:rsidRDefault="00820D96" w:rsidP="00820D96">
            <w:pPr>
              <w:snapToGrid w:val="0"/>
              <w:spacing w:before="40" w:after="40" w:line="240" w:lineRule="auto"/>
              <w:jc w:val="left"/>
              <w:rPr>
                <w:color w:val="000000"/>
                <w:sz w:val="16"/>
                <w:szCs w:val="16"/>
              </w:rPr>
            </w:pPr>
            <w:r>
              <w:rPr>
                <w:color w:val="000000"/>
                <w:sz w:val="16"/>
                <w:szCs w:val="16"/>
              </w:rPr>
              <w:t>-</w:t>
            </w:r>
            <w:r w:rsidRPr="00EA587D">
              <w:rPr>
                <w:color w:val="000000"/>
                <w:sz w:val="16"/>
                <w:szCs w:val="16"/>
              </w:rPr>
              <w:t>3</w:t>
            </w:r>
            <w:r>
              <w:rPr>
                <w:color w:val="000000"/>
                <w:sz w:val="16"/>
                <w:szCs w:val="16"/>
              </w:rPr>
              <w:t>.</w:t>
            </w:r>
            <w:r w:rsidRPr="00EA587D">
              <w:rPr>
                <w:color w:val="000000"/>
                <w:sz w:val="16"/>
                <w:szCs w:val="16"/>
              </w:rPr>
              <w:t>70</w:t>
            </w:r>
            <w:r>
              <w:rPr>
                <w:color w:val="000000"/>
                <w:sz w:val="16"/>
                <w:szCs w:val="16"/>
              </w:rPr>
              <w:t>2,8</w:t>
            </w:r>
          </w:p>
        </w:tc>
        <w:tc>
          <w:tcPr>
            <w:tcW w:w="634" w:type="pct"/>
            <w:tcBorders>
              <w:left w:val="nil"/>
              <w:right w:val="nil"/>
            </w:tcBorders>
            <w:shd w:val="clear" w:color="000000" w:fill="FFFFFF"/>
          </w:tcPr>
          <w:p w14:paraId="058E6ADC" w14:textId="2EDF095F" w:rsidR="00820D96" w:rsidRPr="00FC4EB7" w:rsidRDefault="00820D96" w:rsidP="00820D96">
            <w:pPr>
              <w:snapToGrid w:val="0"/>
              <w:spacing w:before="40" w:after="40" w:line="240" w:lineRule="auto"/>
              <w:jc w:val="left"/>
              <w:rPr>
                <w:color w:val="000000"/>
                <w:sz w:val="16"/>
                <w:szCs w:val="16"/>
              </w:rPr>
            </w:pPr>
            <w:r>
              <w:rPr>
                <w:color w:val="000000"/>
                <w:sz w:val="16"/>
                <w:szCs w:val="16"/>
              </w:rPr>
              <w:t>-</w:t>
            </w:r>
            <w:r w:rsidRPr="00EA587D">
              <w:rPr>
                <w:color w:val="000000"/>
                <w:sz w:val="16"/>
                <w:szCs w:val="16"/>
              </w:rPr>
              <w:t>3</w:t>
            </w:r>
            <w:r>
              <w:rPr>
                <w:color w:val="000000"/>
                <w:sz w:val="16"/>
                <w:szCs w:val="16"/>
              </w:rPr>
              <w:t>.</w:t>
            </w:r>
            <w:r w:rsidRPr="00EA587D">
              <w:rPr>
                <w:color w:val="000000"/>
                <w:sz w:val="16"/>
                <w:szCs w:val="16"/>
              </w:rPr>
              <w:t>265</w:t>
            </w:r>
            <w:r>
              <w:rPr>
                <w:color w:val="000000"/>
                <w:sz w:val="16"/>
                <w:szCs w:val="16"/>
              </w:rPr>
              <w:t>,</w:t>
            </w:r>
            <w:r w:rsidRPr="00EA587D">
              <w:rPr>
                <w:color w:val="000000"/>
                <w:sz w:val="16"/>
                <w:szCs w:val="16"/>
              </w:rPr>
              <w:t>4</w:t>
            </w:r>
          </w:p>
        </w:tc>
        <w:tc>
          <w:tcPr>
            <w:tcW w:w="633" w:type="pct"/>
            <w:tcBorders>
              <w:left w:val="nil"/>
              <w:right w:val="nil"/>
            </w:tcBorders>
            <w:shd w:val="clear" w:color="000000" w:fill="FFFFFF"/>
          </w:tcPr>
          <w:p w14:paraId="43A63F15" w14:textId="4A0EB071" w:rsidR="00820D96" w:rsidRPr="00FC4EB7" w:rsidRDefault="00820D96" w:rsidP="00820D96">
            <w:pPr>
              <w:snapToGrid w:val="0"/>
              <w:spacing w:before="40" w:after="40" w:line="240" w:lineRule="auto"/>
              <w:jc w:val="left"/>
              <w:rPr>
                <w:color w:val="000000"/>
                <w:sz w:val="16"/>
                <w:szCs w:val="16"/>
              </w:rPr>
            </w:pPr>
            <w:r>
              <w:rPr>
                <w:color w:val="000000"/>
                <w:sz w:val="16"/>
                <w:szCs w:val="16"/>
              </w:rPr>
              <w:t>-2.</w:t>
            </w:r>
            <w:r w:rsidRPr="00103BF8">
              <w:rPr>
                <w:color w:val="000000"/>
                <w:sz w:val="16"/>
                <w:szCs w:val="16"/>
              </w:rPr>
              <w:t>883</w:t>
            </w:r>
            <w:r>
              <w:rPr>
                <w:color w:val="000000"/>
                <w:sz w:val="16"/>
                <w:szCs w:val="16"/>
              </w:rPr>
              <w:t>,</w:t>
            </w:r>
            <w:r w:rsidRPr="00103BF8">
              <w:rPr>
                <w:color w:val="000000"/>
                <w:sz w:val="16"/>
                <w:szCs w:val="16"/>
              </w:rPr>
              <w:t>1</w:t>
            </w:r>
          </w:p>
        </w:tc>
        <w:tc>
          <w:tcPr>
            <w:tcW w:w="633" w:type="pct"/>
            <w:tcBorders>
              <w:left w:val="nil"/>
              <w:right w:val="nil"/>
            </w:tcBorders>
            <w:shd w:val="clear" w:color="000000" w:fill="FFFFFF"/>
          </w:tcPr>
          <w:p w14:paraId="5BCED534" w14:textId="4B170B47" w:rsidR="00820D96" w:rsidRPr="00FC4EB7" w:rsidRDefault="00820D96" w:rsidP="00820D96">
            <w:pPr>
              <w:snapToGrid w:val="0"/>
              <w:spacing w:before="40" w:after="40" w:line="240" w:lineRule="auto"/>
              <w:jc w:val="left"/>
              <w:rPr>
                <w:color w:val="000000"/>
                <w:sz w:val="16"/>
                <w:szCs w:val="16"/>
              </w:rPr>
            </w:pPr>
            <w:r>
              <w:rPr>
                <w:color w:val="000000"/>
                <w:sz w:val="16"/>
                <w:szCs w:val="16"/>
              </w:rPr>
              <w:t>-</w:t>
            </w:r>
            <w:r w:rsidRPr="00103BF8">
              <w:rPr>
                <w:color w:val="000000"/>
                <w:sz w:val="16"/>
                <w:szCs w:val="16"/>
              </w:rPr>
              <w:t>4</w:t>
            </w:r>
            <w:r>
              <w:rPr>
                <w:color w:val="000000"/>
                <w:sz w:val="16"/>
                <w:szCs w:val="16"/>
              </w:rPr>
              <w:t>.</w:t>
            </w:r>
            <w:r w:rsidRPr="00103BF8">
              <w:rPr>
                <w:color w:val="000000"/>
                <w:sz w:val="16"/>
                <w:szCs w:val="16"/>
              </w:rPr>
              <w:t>140</w:t>
            </w:r>
            <w:r>
              <w:rPr>
                <w:color w:val="000000"/>
                <w:sz w:val="16"/>
                <w:szCs w:val="16"/>
              </w:rPr>
              <w:t>,</w:t>
            </w:r>
            <w:r w:rsidRPr="00103BF8">
              <w:rPr>
                <w:color w:val="000000"/>
                <w:sz w:val="16"/>
                <w:szCs w:val="16"/>
              </w:rPr>
              <w:t>9</w:t>
            </w:r>
          </w:p>
        </w:tc>
        <w:tc>
          <w:tcPr>
            <w:tcW w:w="633" w:type="pct"/>
            <w:tcBorders>
              <w:left w:val="nil"/>
              <w:right w:val="nil"/>
            </w:tcBorders>
            <w:shd w:val="clear" w:color="000000" w:fill="FFFFFF"/>
          </w:tcPr>
          <w:p w14:paraId="28D61E28" w14:textId="18BB5723" w:rsidR="00820D96" w:rsidRPr="00FC4EB7" w:rsidRDefault="00820D96" w:rsidP="00820D96">
            <w:pPr>
              <w:snapToGrid w:val="0"/>
              <w:spacing w:before="40" w:after="40" w:line="240" w:lineRule="auto"/>
              <w:jc w:val="left"/>
              <w:rPr>
                <w:color w:val="000000"/>
                <w:sz w:val="16"/>
                <w:szCs w:val="16"/>
              </w:rPr>
            </w:pPr>
            <w:r>
              <w:rPr>
                <w:color w:val="000000"/>
                <w:sz w:val="16"/>
                <w:szCs w:val="16"/>
              </w:rPr>
              <w:t>-</w:t>
            </w:r>
            <w:r w:rsidRPr="00103BF8">
              <w:rPr>
                <w:color w:val="000000"/>
                <w:sz w:val="16"/>
                <w:szCs w:val="16"/>
              </w:rPr>
              <w:t>7.170,6</w:t>
            </w:r>
          </w:p>
        </w:tc>
      </w:tr>
      <w:tr w:rsidR="00820D96" w:rsidRPr="00FC4EB7" w14:paraId="0A358BF9" w14:textId="77777777" w:rsidTr="003B1C0E">
        <w:trPr>
          <w:trHeight w:val="20"/>
          <w:jc w:val="center"/>
        </w:trPr>
        <w:tc>
          <w:tcPr>
            <w:tcW w:w="1201" w:type="pct"/>
            <w:tcBorders>
              <w:left w:val="nil"/>
              <w:bottom w:val="single" w:sz="8" w:space="0" w:color="auto"/>
              <w:right w:val="nil"/>
            </w:tcBorders>
            <w:shd w:val="clear" w:color="000000" w:fill="FFFFFF"/>
          </w:tcPr>
          <w:p w14:paraId="4349F40E" w14:textId="4CBA9128" w:rsidR="00820D96" w:rsidRPr="00BB7665" w:rsidRDefault="00820D96" w:rsidP="00820D96">
            <w:pPr>
              <w:snapToGrid w:val="0"/>
              <w:spacing w:before="40" w:after="40" w:line="240" w:lineRule="auto"/>
              <w:jc w:val="left"/>
              <w:rPr>
                <w:b/>
                <w:bCs/>
                <w:color w:val="000000"/>
                <w:sz w:val="16"/>
                <w:szCs w:val="16"/>
              </w:rPr>
            </w:pPr>
            <w:r>
              <w:rPr>
                <w:b/>
                <w:bCs/>
                <w:color w:val="000000"/>
                <w:sz w:val="16"/>
                <w:szCs w:val="16"/>
              </w:rPr>
              <w:t xml:space="preserve">Pseudo </w:t>
            </w:r>
            <w:r>
              <w:rPr>
                <w:rFonts w:cs="Times New Roman"/>
                <w:b/>
                <w:bCs/>
                <w:sz w:val="16"/>
                <w:szCs w:val="16"/>
              </w:rPr>
              <w:t>R</w:t>
            </w:r>
            <w:r w:rsidRPr="00BB7665">
              <w:rPr>
                <w:rFonts w:cs="Times New Roman"/>
                <w:b/>
                <w:bCs/>
                <w:sz w:val="16"/>
                <w:szCs w:val="16"/>
                <w:vertAlign w:val="superscript"/>
              </w:rPr>
              <w:t>2</w:t>
            </w:r>
          </w:p>
        </w:tc>
        <w:tc>
          <w:tcPr>
            <w:tcW w:w="633" w:type="pct"/>
            <w:tcBorders>
              <w:left w:val="nil"/>
              <w:bottom w:val="single" w:sz="8" w:space="0" w:color="auto"/>
              <w:right w:val="nil"/>
            </w:tcBorders>
            <w:shd w:val="clear" w:color="000000" w:fill="FFFFFF"/>
            <w:noWrap/>
          </w:tcPr>
          <w:p w14:paraId="0724925C" w14:textId="03402F34" w:rsidR="00820D96" w:rsidRPr="00FC4EB7" w:rsidRDefault="00820D96" w:rsidP="00820D96">
            <w:pPr>
              <w:snapToGrid w:val="0"/>
              <w:spacing w:before="40" w:after="40" w:line="240" w:lineRule="auto"/>
              <w:jc w:val="left"/>
              <w:rPr>
                <w:color w:val="000000"/>
                <w:sz w:val="16"/>
                <w:szCs w:val="16"/>
              </w:rPr>
            </w:pPr>
            <w:r>
              <w:rPr>
                <w:color w:val="000000"/>
                <w:sz w:val="16"/>
                <w:szCs w:val="16"/>
              </w:rPr>
              <w:t>0,</w:t>
            </w:r>
            <w:r w:rsidRPr="00EA587D">
              <w:rPr>
                <w:color w:val="000000"/>
                <w:sz w:val="16"/>
                <w:szCs w:val="16"/>
              </w:rPr>
              <w:t>0771</w:t>
            </w:r>
          </w:p>
        </w:tc>
        <w:tc>
          <w:tcPr>
            <w:tcW w:w="633" w:type="pct"/>
            <w:tcBorders>
              <w:left w:val="nil"/>
              <w:bottom w:val="single" w:sz="8" w:space="0" w:color="auto"/>
              <w:right w:val="nil"/>
            </w:tcBorders>
            <w:shd w:val="clear" w:color="000000" w:fill="FFFFFF"/>
          </w:tcPr>
          <w:p w14:paraId="210F7BA9" w14:textId="3D3754CC" w:rsidR="00820D96" w:rsidRPr="00FC4EB7" w:rsidRDefault="00820D96" w:rsidP="00820D96">
            <w:pPr>
              <w:snapToGrid w:val="0"/>
              <w:spacing w:before="40" w:after="40" w:line="240" w:lineRule="auto"/>
              <w:jc w:val="left"/>
              <w:rPr>
                <w:color w:val="000000"/>
                <w:sz w:val="16"/>
                <w:szCs w:val="16"/>
              </w:rPr>
            </w:pPr>
            <w:r>
              <w:rPr>
                <w:color w:val="000000"/>
                <w:sz w:val="16"/>
                <w:szCs w:val="16"/>
              </w:rPr>
              <w:t>0,</w:t>
            </w:r>
            <w:r w:rsidRPr="00EA587D">
              <w:rPr>
                <w:color w:val="000000"/>
                <w:sz w:val="16"/>
                <w:szCs w:val="16"/>
              </w:rPr>
              <w:t>0409</w:t>
            </w:r>
          </w:p>
        </w:tc>
        <w:tc>
          <w:tcPr>
            <w:tcW w:w="634" w:type="pct"/>
            <w:tcBorders>
              <w:left w:val="nil"/>
              <w:bottom w:val="single" w:sz="8" w:space="0" w:color="auto"/>
              <w:right w:val="nil"/>
            </w:tcBorders>
            <w:shd w:val="clear" w:color="000000" w:fill="FFFFFF"/>
          </w:tcPr>
          <w:p w14:paraId="6A07CAA0" w14:textId="491CF7A0" w:rsidR="00820D96" w:rsidRPr="00FC4EB7" w:rsidRDefault="00820D96" w:rsidP="00820D96">
            <w:pPr>
              <w:snapToGrid w:val="0"/>
              <w:spacing w:before="40" w:after="40" w:line="240" w:lineRule="auto"/>
              <w:jc w:val="left"/>
              <w:rPr>
                <w:color w:val="000000"/>
                <w:sz w:val="16"/>
                <w:szCs w:val="16"/>
              </w:rPr>
            </w:pPr>
            <w:r>
              <w:rPr>
                <w:color w:val="000000"/>
                <w:sz w:val="16"/>
                <w:szCs w:val="16"/>
              </w:rPr>
              <w:t>0,</w:t>
            </w:r>
            <w:r w:rsidRPr="00103BF8">
              <w:rPr>
                <w:color w:val="000000"/>
                <w:sz w:val="16"/>
                <w:szCs w:val="16"/>
              </w:rPr>
              <w:t>1153</w:t>
            </w:r>
          </w:p>
        </w:tc>
        <w:tc>
          <w:tcPr>
            <w:tcW w:w="633" w:type="pct"/>
            <w:tcBorders>
              <w:left w:val="nil"/>
              <w:bottom w:val="single" w:sz="8" w:space="0" w:color="auto"/>
              <w:right w:val="nil"/>
            </w:tcBorders>
            <w:shd w:val="clear" w:color="000000" w:fill="FFFFFF"/>
          </w:tcPr>
          <w:p w14:paraId="47F539DC" w14:textId="3093CDB9" w:rsidR="00820D96" w:rsidRPr="00FC4EB7" w:rsidRDefault="00820D96" w:rsidP="00820D96">
            <w:pPr>
              <w:snapToGrid w:val="0"/>
              <w:spacing w:before="40" w:after="40" w:line="240" w:lineRule="auto"/>
              <w:jc w:val="left"/>
              <w:rPr>
                <w:color w:val="000000"/>
                <w:sz w:val="16"/>
                <w:szCs w:val="16"/>
              </w:rPr>
            </w:pPr>
            <w:r>
              <w:rPr>
                <w:color w:val="000000"/>
                <w:sz w:val="16"/>
                <w:szCs w:val="16"/>
              </w:rPr>
              <w:t>0,</w:t>
            </w:r>
            <w:r w:rsidRPr="00103BF8">
              <w:rPr>
                <w:color w:val="000000"/>
                <w:sz w:val="16"/>
                <w:szCs w:val="16"/>
              </w:rPr>
              <w:t>0967</w:t>
            </w:r>
          </w:p>
        </w:tc>
        <w:tc>
          <w:tcPr>
            <w:tcW w:w="633" w:type="pct"/>
            <w:tcBorders>
              <w:left w:val="nil"/>
              <w:bottom w:val="single" w:sz="8" w:space="0" w:color="auto"/>
              <w:right w:val="nil"/>
            </w:tcBorders>
            <w:shd w:val="clear" w:color="000000" w:fill="FFFFFF"/>
          </w:tcPr>
          <w:p w14:paraId="25B98FAE" w14:textId="57760173" w:rsidR="00820D96" w:rsidRPr="00FC4EB7" w:rsidRDefault="00820D96" w:rsidP="00820D96">
            <w:pPr>
              <w:snapToGrid w:val="0"/>
              <w:spacing w:before="40" w:after="40" w:line="240" w:lineRule="auto"/>
              <w:jc w:val="left"/>
              <w:rPr>
                <w:color w:val="000000"/>
                <w:sz w:val="16"/>
                <w:szCs w:val="16"/>
              </w:rPr>
            </w:pPr>
            <w:r>
              <w:rPr>
                <w:color w:val="000000"/>
                <w:sz w:val="16"/>
                <w:szCs w:val="16"/>
              </w:rPr>
              <w:t>0,</w:t>
            </w:r>
            <w:r w:rsidRPr="00103BF8">
              <w:rPr>
                <w:color w:val="000000"/>
                <w:sz w:val="16"/>
                <w:szCs w:val="16"/>
              </w:rPr>
              <w:t>0441</w:t>
            </w:r>
          </w:p>
        </w:tc>
        <w:tc>
          <w:tcPr>
            <w:tcW w:w="633" w:type="pct"/>
            <w:tcBorders>
              <w:left w:val="nil"/>
              <w:bottom w:val="single" w:sz="8" w:space="0" w:color="auto"/>
              <w:right w:val="nil"/>
            </w:tcBorders>
            <w:shd w:val="clear" w:color="000000" w:fill="FFFFFF"/>
          </w:tcPr>
          <w:p w14:paraId="5AC9C91F" w14:textId="76249900" w:rsidR="00820D96" w:rsidRPr="00FC4EB7" w:rsidRDefault="00820D96" w:rsidP="00820D96">
            <w:pPr>
              <w:snapToGrid w:val="0"/>
              <w:spacing w:before="40" w:after="40" w:line="240" w:lineRule="auto"/>
              <w:jc w:val="left"/>
              <w:rPr>
                <w:color w:val="000000"/>
                <w:sz w:val="16"/>
                <w:szCs w:val="16"/>
              </w:rPr>
            </w:pPr>
            <w:r w:rsidRPr="00103BF8">
              <w:rPr>
                <w:color w:val="000000"/>
                <w:sz w:val="16"/>
                <w:szCs w:val="16"/>
              </w:rPr>
              <w:t>0,1086</w:t>
            </w:r>
          </w:p>
        </w:tc>
      </w:tr>
    </w:tbl>
    <w:p w14:paraId="05407133" w14:textId="77777777" w:rsidR="009023DB" w:rsidRDefault="009023DB" w:rsidP="00B44ECE">
      <w:pPr>
        <w:spacing w:after="0"/>
        <w:rPr>
          <w:sz w:val="16"/>
          <w:szCs w:val="14"/>
        </w:rPr>
      </w:pPr>
      <w:r>
        <w:rPr>
          <w:sz w:val="16"/>
          <w:szCs w:val="14"/>
        </w:rPr>
        <w:t>Unabhängige univariate logistische Regressionen</w:t>
      </w:r>
      <w:r w:rsidR="00B44ECE" w:rsidRPr="0092115E">
        <w:rPr>
          <w:sz w:val="16"/>
          <w:szCs w:val="14"/>
        </w:rPr>
        <w:t>; Standardfehler sind in Klammern</w:t>
      </w:r>
      <w:r w:rsidR="00B44ECE">
        <w:rPr>
          <w:sz w:val="16"/>
          <w:szCs w:val="14"/>
        </w:rPr>
        <w:t xml:space="preserve"> angegeben</w:t>
      </w:r>
      <w:r w:rsidR="00B44ECE" w:rsidRPr="0092115E">
        <w:rPr>
          <w:sz w:val="16"/>
          <w:szCs w:val="14"/>
        </w:rPr>
        <w:t>;</w:t>
      </w:r>
    </w:p>
    <w:p w14:paraId="2B46FB89" w14:textId="07B9FD8B" w:rsidR="00B44ECE" w:rsidRPr="009023DB" w:rsidRDefault="00B44ECE" w:rsidP="00B44ECE">
      <w:pPr>
        <w:spacing w:after="0"/>
        <w:rPr>
          <w:sz w:val="16"/>
          <w:szCs w:val="14"/>
          <w:lang w:val="en-US"/>
        </w:rPr>
      </w:pPr>
      <w:r w:rsidRPr="009023DB">
        <w:rPr>
          <w:sz w:val="16"/>
          <w:szCs w:val="14"/>
          <w:lang w:val="en-US"/>
        </w:rPr>
        <w:t>Wald-Test:   ***p &lt; 0,01   **p &lt; 0,05   *p &lt; 0,1</w:t>
      </w:r>
    </w:p>
    <w:p w14:paraId="43477D8A" w14:textId="77777777" w:rsidR="00B22F24" w:rsidRPr="009023DB" w:rsidRDefault="00B22F24" w:rsidP="00B22F24">
      <w:pPr>
        <w:spacing w:after="0"/>
        <w:rPr>
          <w:lang w:val="en-US"/>
        </w:rPr>
      </w:pPr>
    </w:p>
    <w:p w14:paraId="22E39C8C" w14:textId="77777777" w:rsidR="00B22F24" w:rsidRPr="009023DB" w:rsidRDefault="00B22F24">
      <w:pPr>
        <w:spacing w:line="276" w:lineRule="auto"/>
        <w:jc w:val="left"/>
        <w:rPr>
          <w:lang w:val="en-US"/>
        </w:rPr>
      </w:pPr>
      <w:r w:rsidRPr="009023DB">
        <w:rPr>
          <w:lang w:val="en-US"/>
        </w:rPr>
        <w:br w:type="page"/>
      </w:r>
    </w:p>
    <w:p w14:paraId="32172C49" w14:textId="516CE2BF" w:rsidR="00FA16EC" w:rsidRDefault="00FA16EC" w:rsidP="00FA16EC">
      <w:pPr>
        <w:pStyle w:val="Beschriftung"/>
        <w:keepNext/>
        <w:spacing w:after="0"/>
        <w:ind w:left="1418" w:hanging="1418"/>
        <w:rPr>
          <w:i w:val="0"/>
          <w:iCs w:val="0"/>
          <w:color w:val="auto"/>
          <w:sz w:val="24"/>
          <w:szCs w:val="22"/>
        </w:rPr>
      </w:pPr>
      <w:bookmarkStart w:id="89" w:name="_Toc88423398"/>
      <w:r w:rsidRPr="00FA16EC">
        <w:rPr>
          <w:b/>
          <w:bCs/>
          <w:i w:val="0"/>
          <w:iCs w:val="0"/>
          <w:color w:val="auto"/>
          <w:sz w:val="24"/>
          <w:szCs w:val="22"/>
        </w:rPr>
        <w:lastRenderedPageBreak/>
        <w:t xml:space="preserve">Tabelle </w:t>
      </w:r>
      <w:r w:rsidRPr="00FA16EC">
        <w:rPr>
          <w:b/>
          <w:bCs/>
          <w:i w:val="0"/>
          <w:iCs w:val="0"/>
          <w:color w:val="auto"/>
          <w:sz w:val="24"/>
          <w:szCs w:val="22"/>
        </w:rPr>
        <w:fldChar w:fldCharType="begin"/>
      </w:r>
      <w:r w:rsidRPr="00FA16EC">
        <w:rPr>
          <w:b/>
          <w:bCs/>
          <w:i w:val="0"/>
          <w:iCs w:val="0"/>
          <w:color w:val="auto"/>
          <w:sz w:val="24"/>
          <w:szCs w:val="22"/>
        </w:rPr>
        <w:instrText xml:space="preserve"> SEQ Tabelle \* ARABIC </w:instrText>
      </w:r>
      <w:r w:rsidRPr="00FA16EC">
        <w:rPr>
          <w:b/>
          <w:bCs/>
          <w:i w:val="0"/>
          <w:iCs w:val="0"/>
          <w:color w:val="auto"/>
          <w:sz w:val="24"/>
          <w:szCs w:val="22"/>
        </w:rPr>
        <w:fldChar w:fldCharType="separate"/>
      </w:r>
      <w:r w:rsidR="00285390">
        <w:rPr>
          <w:b/>
          <w:bCs/>
          <w:i w:val="0"/>
          <w:iCs w:val="0"/>
          <w:noProof/>
          <w:color w:val="auto"/>
          <w:sz w:val="24"/>
          <w:szCs w:val="22"/>
        </w:rPr>
        <w:t>11</w:t>
      </w:r>
      <w:r w:rsidRPr="00FA16EC">
        <w:rPr>
          <w:b/>
          <w:bCs/>
          <w:i w:val="0"/>
          <w:iCs w:val="0"/>
          <w:color w:val="auto"/>
          <w:sz w:val="24"/>
          <w:szCs w:val="22"/>
        </w:rPr>
        <w:fldChar w:fldCharType="end"/>
      </w:r>
      <w:r w:rsidRPr="00FA16EC">
        <w:rPr>
          <w:b/>
          <w:bCs/>
          <w:i w:val="0"/>
          <w:iCs w:val="0"/>
          <w:color w:val="auto"/>
          <w:sz w:val="24"/>
          <w:szCs w:val="22"/>
        </w:rPr>
        <w:t xml:space="preserve">: </w:t>
      </w:r>
      <w:r w:rsidRPr="00FA16EC">
        <w:rPr>
          <w:b/>
          <w:bCs/>
          <w:i w:val="0"/>
          <w:iCs w:val="0"/>
          <w:color w:val="auto"/>
          <w:sz w:val="24"/>
          <w:szCs w:val="22"/>
        </w:rPr>
        <w:tab/>
      </w:r>
      <w:r w:rsidRPr="00B22F24">
        <w:rPr>
          <w:i w:val="0"/>
          <w:iCs w:val="0"/>
          <w:color w:val="auto"/>
          <w:sz w:val="24"/>
          <w:szCs w:val="22"/>
        </w:rPr>
        <w:t xml:space="preserve">Regressionsergebnisse der </w:t>
      </w:r>
      <w:r>
        <w:rPr>
          <w:i w:val="0"/>
          <w:iCs w:val="0"/>
          <w:color w:val="auto"/>
          <w:sz w:val="24"/>
          <w:szCs w:val="22"/>
        </w:rPr>
        <w:t>multinomialen</w:t>
      </w:r>
      <w:r w:rsidRPr="00B22F24">
        <w:rPr>
          <w:i w:val="0"/>
          <w:iCs w:val="0"/>
          <w:color w:val="auto"/>
          <w:sz w:val="24"/>
          <w:szCs w:val="22"/>
        </w:rPr>
        <w:t xml:space="preserve"> logistischen Regression</w:t>
      </w:r>
      <w:r>
        <w:rPr>
          <w:i w:val="0"/>
          <w:iCs w:val="0"/>
          <w:color w:val="auto"/>
          <w:sz w:val="24"/>
          <w:szCs w:val="22"/>
        </w:rPr>
        <w:t>en</w:t>
      </w:r>
      <w:bookmarkEnd w:id="89"/>
    </w:p>
    <w:p w14:paraId="28EEBF81" w14:textId="2E0B3EE8" w:rsidR="00FA16EC" w:rsidRDefault="00FA16EC" w:rsidP="00FA16EC">
      <w:pPr>
        <w:spacing w:after="0"/>
      </w:pPr>
      <w:r w:rsidRPr="001A0BAE">
        <w:tab/>
      </w:r>
      <w:r w:rsidRPr="001A0BAE">
        <w:tab/>
        <w:t>eigene Darstellung</w:t>
      </w:r>
      <w:r w:rsidRPr="004A3151">
        <w:t xml:space="preserve"> </w:t>
      </w:r>
      <w:r>
        <w:t>nach Masiak et al. (2019), S. 324 f.</w:t>
      </w:r>
    </w:p>
    <w:tbl>
      <w:tblPr>
        <w:tblW w:w="5000" w:type="pct"/>
        <w:jc w:val="center"/>
        <w:tblLayout w:type="fixed"/>
        <w:tblLook w:val="04A0" w:firstRow="1" w:lastRow="0" w:firstColumn="1" w:lastColumn="0" w:noHBand="0" w:noVBand="1"/>
      </w:tblPr>
      <w:tblGrid>
        <w:gridCol w:w="2094"/>
        <w:gridCol w:w="1104"/>
        <w:gridCol w:w="1104"/>
        <w:gridCol w:w="1106"/>
        <w:gridCol w:w="1104"/>
        <w:gridCol w:w="1104"/>
        <w:gridCol w:w="1104"/>
      </w:tblGrid>
      <w:tr w:rsidR="00485743" w:rsidRPr="00CF3B2D" w14:paraId="3836D130" w14:textId="77777777" w:rsidTr="00B22F24">
        <w:trPr>
          <w:trHeight w:val="20"/>
          <w:jc w:val="center"/>
        </w:trPr>
        <w:tc>
          <w:tcPr>
            <w:tcW w:w="1201" w:type="pct"/>
            <w:tcBorders>
              <w:top w:val="single" w:sz="8" w:space="0" w:color="auto"/>
              <w:left w:val="nil"/>
              <w:bottom w:val="single" w:sz="6" w:space="0" w:color="auto"/>
              <w:right w:val="nil"/>
            </w:tcBorders>
            <w:shd w:val="clear" w:color="000000" w:fill="FFFFFF"/>
            <w:noWrap/>
            <w:vAlign w:val="bottom"/>
            <w:hideMark/>
          </w:tcPr>
          <w:p w14:paraId="7E235C60" w14:textId="77777777" w:rsidR="00485743" w:rsidRPr="002D11BF" w:rsidRDefault="00485743" w:rsidP="00485743">
            <w:pPr>
              <w:snapToGrid w:val="0"/>
              <w:spacing w:after="0" w:line="240" w:lineRule="auto"/>
              <w:jc w:val="left"/>
              <w:rPr>
                <w:b/>
                <w:bCs/>
                <w:color w:val="000000"/>
                <w:sz w:val="16"/>
                <w:szCs w:val="16"/>
              </w:rPr>
            </w:pPr>
            <w:r w:rsidRPr="002D11BF">
              <w:rPr>
                <w:b/>
                <w:bCs/>
                <w:color w:val="000000"/>
                <w:sz w:val="16"/>
                <w:szCs w:val="16"/>
              </w:rPr>
              <w:t>Variable</w:t>
            </w:r>
          </w:p>
        </w:tc>
        <w:tc>
          <w:tcPr>
            <w:tcW w:w="633" w:type="pct"/>
            <w:tcBorders>
              <w:top w:val="single" w:sz="8" w:space="0" w:color="auto"/>
              <w:left w:val="nil"/>
              <w:bottom w:val="single" w:sz="6" w:space="0" w:color="auto"/>
              <w:right w:val="nil"/>
            </w:tcBorders>
            <w:shd w:val="clear" w:color="000000" w:fill="FFFFFF"/>
            <w:noWrap/>
            <w:vAlign w:val="bottom"/>
            <w:hideMark/>
          </w:tcPr>
          <w:p w14:paraId="2D9BD97E" w14:textId="77777777" w:rsidR="00485743" w:rsidRDefault="00485743" w:rsidP="00485743">
            <w:pPr>
              <w:snapToGrid w:val="0"/>
              <w:spacing w:after="0" w:line="240" w:lineRule="auto"/>
              <w:jc w:val="left"/>
              <w:rPr>
                <w:b/>
                <w:bCs/>
                <w:color w:val="000000"/>
                <w:sz w:val="16"/>
                <w:szCs w:val="16"/>
              </w:rPr>
            </w:pPr>
            <w:r>
              <w:rPr>
                <w:b/>
                <w:bCs/>
                <w:color w:val="000000"/>
                <w:sz w:val="16"/>
                <w:szCs w:val="16"/>
              </w:rPr>
              <w:t>Darlehen</w:t>
            </w:r>
          </w:p>
          <w:p w14:paraId="4EF3921C"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H1</w:t>
            </w:r>
          </w:p>
        </w:tc>
        <w:tc>
          <w:tcPr>
            <w:tcW w:w="633" w:type="pct"/>
            <w:tcBorders>
              <w:top w:val="single" w:sz="8" w:space="0" w:color="auto"/>
              <w:left w:val="nil"/>
              <w:bottom w:val="single" w:sz="6" w:space="0" w:color="auto"/>
              <w:right w:val="nil"/>
            </w:tcBorders>
            <w:shd w:val="clear" w:color="000000" w:fill="FFFFFF"/>
            <w:vAlign w:val="bottom"/>
          </w:tcPr>
          <w:p w14:paraId="7139261E" w14:textId="77777777" w:rsidR="00485743" w:rsidRDefault="00485743" w:rsidP="00485743">
            <w:pPr>
              <w:snapToGrid w:val="0"/>
              <w:spacing w:after="0" w:line="240" w:lineRule="auto"/>
              <w:jc w:val="left"/>
              <w:rPr>
                <w:b/>
                <w:bCs/>
                <w:color w:val="000000"/>
                <w:sz w:val="16"/>
                <w:szCs w:val="16"/>
              </w:rPr>
            </w:pPr>
            <w:r>
              <w:rPr>
                <w:b/>
                <w:bCs/>
                <w:color w:val="000000"/>
                <w:sz w:val="16"/>
                <w:szCs w:val="16"/>
              </w:rPr>
              <w:t>Flexible Schulden</w:t>
            </w:r>
          </w:p>
          <w:p w14:paraId="387846F5"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H2</w:t>
            </w:r>
          </w:p>
        </w:tc>
        <w:tc>
          <w:tcPr>
            <w:tcW w:w="634" w:type="pct"/>
            <w:tcBorders>
              <w:top w:val="single" w:sz="8" w:space="0" w:color="auto"/>
              <w:left w:val="nil"/>
              <w:bottom w:val="single" w:sz="6" w:space="0" w:color="auto"/>
              <w:right w:val="nil"/>
            </w:tcBorders>
            <w:shd w:val="clear" w:color="000000" w:fill="FFFFFF"/>
            <w:vAlign w:val="bottom"/>
          </w:tcPr>
          <w:p w14:paraId="3B98EF89" w14:textId="77777777" w:rsidR="00485743" w:rsidRDefault="00485743" w:rsidP="00485743">
            <w:pPr>
              <w:snapToGrid w:val="0"/>
              <w:spacing w:after="0" w:line="240" w:lineRule="auto"/>
              <w:jc w:val="left"/>
              <w:rPr>
                <w:b/>
                <w:bCs/>
                <w:color w:val="000000"/>
                <w:sz w:val="16"/>
                <w:szCs w:val="16"/>
              </w:rPr>
            </w:pPr>
            <w:r>
              <w:rPr>
                <w:b/>
                <w:bCs/>
                <w:color w:val="000000"/>
                <w:sz w:val="16"/>
                <w:szCs w:val="16"/>
              </w:rPr>
              <w:t>Lieferanten-kredite</w:t>
            </w:r>
          </w:p>
          <w:p w14:paraId="33103D20" w14:textId="752A22FF" w:rsidR="00485743" w:rsidRPr="002D11BF" w:rsidRDefault="00485743" w:rsidP="00485743">
            <w:pPr>
              <w:snapToGrid w:val="0"/>
              <w:spacing w:after="0" w:line="240" w:lineRule="auto"/>
              <w:jc w:val="left"/>
              <w:rPr>
                <w:b/>
                <w:bCs/>
                <w:color w:val="000000"/>
                <w:sz w:val="16"/>
                <w:szCs w:val="16"/>
              </w:rPr>
            </w:pPr>
            <w:r>
              <w:rPr>
                <w:b/>
                <w:bCs/>
                <w:color w:val="000000"/>
                <w:sz w:val="16"/>
                <w:szCs w:val="16"/>
              </w:rPr>
              <w:t>H3</w:t>
            </w:r>
          </w:p>
        </w:tc>
        <w:tc>
          <w:tcPr>
            <w:tcW w:w="633" w:type="pct"/>
            <w:tcBorders>
              <w:top w:val="single" w:sz="8" w:space="0" w:color="auto"/>
              <w:left w:val="nil"/>
              <w:bottom w:val="single" w:sz="6" w:space="0" w:color="auto"/>
              <w:right w:val="nil"/>
            </w:tcBorders>
            <w:shd w:val="clear" w:color="000000" w:fill="FFFFFF"/>
            <w:vAlign w:val="bottom"/>
          </w:tcPr>
          <w:p w14:paraId="0E8FD321" w14:textId="77777777" w:rsidR="00485743" w:rsidRDefault="00485743" w:rsidP="00485743">
            <w:pPr>
              <w:snapToGrid w:val="0"/>
              <w:spacing w:after="0" w:line="240" w:lineRule="auto"/>
              <w:jc w:val="left"/>
              <w:rPr>
                <w:b/>
                <w:bCs/>
                <w:color w:val="000000"/>
                <w:sz w:val="16"/>
                <w:szCs w:val="16"/>
              </w:rPr>
            </w:pPr>
            <w:r>
              <w:rPr>
                <w:b/>
                <w:bCs/>
                <w:color w:val="000000"/>
                <w:sz w:val="16"/>
                <w:szCs w:val="16"/>
              </w:rPr>
              <w:t>Zuschüsse</w:t>
            </w:r>
          </w:p>
          <w:p w14:paraId="25980ADF" w14:textId="3EA362F1" w:rsidR="00485743" w:rsidRPr="002D11BF" w:rsidRDefault="00485743" w:rsidP="00485743">
            <w:pPr>
              <w:snapToGrid w:val="0"/>
              <w:spacing w:after="0" w:line="240" w:lineRule="auto"/>
              <w:jc w:val="left"/>
              <w:rPr>
                <w:b/>
                <w:bCs/>
                <w:color w:val="000000"/>
                <w:sz w:val="16"/>
                <w:szCs w:val="16"/>
              </w:rPr>
            </w:pPr>
            <w:r>
              <w:rPr>
                <w:b/>
                <w:bCs/>
                <w:color w:val="000000"/>
                <w:sz w:val="16"/>
                <w:szCs w:val="16"/>
              </w:rPr>
              <w:t>H4</w:t>
            </w:r>
          </w:p>
        </w:tc>
        <w:tc>
          <w:tcPr>
            <w:tcW w:w="633" w:type="pct"/>
            <w:tcBorders>
              <w:top w:val="single" w:sz="8" w:space="0" w:color="auto"/>
              <w:left w:val="nil"/>
              <w:bottom w:val="single" w:sz="6" w:space="0" w:color="auto"/>
              <w:right w:val="nil"/>
            </w:tcBorders>
            <w:shd w:val="clear" w:color="000000" w:fill="FFFFFF"/>
            <w:vAlign w:val="bottom"/>
          </w:tcPr>
          <w:p w14:paraId="54E5D71D" w14:textId="77777777" w:rsidR="00485743" w:rsidRDefault="00485743" w:rsidP="00485743">
            <w:pPr>
              <w:snapToGrid w:val="0"/>
              <w:spacing w:after="0" w:line="240" w:lineRule="auto"/>
              <w:jc w:val="left"/>
              <w:rPr>
                <w:b/>
                <w:bCs/>
                <w:color w:val="000000"/>
                <w:sz w:val="16"/>
                <w:szCs w:val="16"/>
              </w:rPr>
            </w:pPr>
            <w:r>
              <w:rPr>
                <w:b/>
                <w:bCs/>
                <w:color w:val="000000"/>
                <w:sz w:val="16"/>
                <w:szCs w:val="16"/>
              </w:rPr>
              <w:t>Asset-   basiert</w:t>
            </w:r>
          </w:p>
          <w:p w14:paraId="107A6607"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H5</w:t>
            </w:r>
          </w:p>
        </w:tc>
        <w:tc>
          <w:tcPr>
            <w:tcW w:w="633" w:type="pct"/>
            <w:tcBorders>
              <w:top w:val="single" w:sz="8" w:space="0" w:color="auto"/>
              <w:left w:val="nil"/>
              <w:bottom w:val="single" w:sz="6" w:space="0" w:color="auto"/>
              <w:right w:val="nil"/>
            </w:tcBorders>
            <w:shd w:val="clear" w:color="000000" w:fill="FFFFFF"/>
            <w:vAlign w:val="bottom"/>
          </w:tcPr>
          <w:p w14:paraId="42A8E300" w14:textId="77777777" w:rsidR="00485743" w:rsidRDefault="00485743" w:rsidP="00485743">
            <w:pPr>
              <w:snapToGrid w:val="0"/>
              <w:spacing w:after="0" w:line="240" w:lineRule="auto"/>
              <w:jc w:val="left"/>
              <w:rPr>
                <w:b/>
                <w:bCs/>
                <w:color w:val="000000"/>
                <w:sz w:val="16"/>
                <w:szCs w:val="16"/>
              </w:rPr>
            </w:pPr>
            <w:r>
              <w:rPr>
                <w:b/>
                <w:bCs/>
                <w:color w:val="000000"/>
                <w:sz w:val="16"/>
                <w:szCs w:val="16"/>
              </w:rPr>
              <w:t>Innen-finanzierung</w:t>
            </w:r>
          </w:p>
          <w:p w14:paraId="64194346"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H6</w:t>
            </w:r>
          </w:p>
        </w:tc>
      </w:tr>
      <w:tr w:rsidR="00B22F24" w:rsidRPr="00FC4EB7" w14:paraId="1F5E6621" w14:textId="77777777" w:rsidTr="00B22F24">
        <w:trPr>
          <w:trHeight w:val="20"/>
          <w:jc w:val="center"/>
        </w:trPr>
        <w:tc>
          <w:tcPr>
            <w:tcW w:w="1201" w:type="pct"/>
            <w:tcBorders>
              <w:top w:val="nil"/>
              <w:left w:val="nil"/>
              <w:right w:val="nil"/>
            </w:tcBorders>
            <w:shd w:val="clear" w:color="000000" w:fill="FFFFFF"/>
          </w:tcPr>
          <w:p w14:paraId="2A03E279" w14:textId="77777777" w:rsidR="00B22F24" w:rsidRPr="00FC4EB7" w:rsidRDefault="00B22F24" w:rsidP="003B1C0E">
            <w:pPr>
              <w:snapToGrid w:val="0"/>
              <w:spacing w:before="40" w:after="40" w:line="240" w:lineRule="auto"/>
              <w:jc w:val="left"/>
              <w:rPr>
                <w:color w:val="000000"/>
                <w:sz w:val="16"/>
                <w:szCs w:val="16"/>
              </w:rPr>
            </w:pPr>
            <w:r>
              <w:rPr>
                <w:i/>
                <w:iCs/>
                <w:color w:val="000000"/>
                <w:sz w:val="16"/>
                <w:szCs w:val="16"/>
              </w:rPr>
              <w:t>Unabhängige Variablen</w:t>
            </w:r>
          </w:p>
        </w:tc>
        <w:tc>
          <w:tcPr>
            <w:tcW w:w="633" w:type="pct"/>
            <w:tcBorders>
              <w:top w:val="nil"/>
              <w:left w:val="nil"/>
              <w:right w:val="nil"/>
            </w:tcBorders>
            <w:shd w:val="clear" w:color="000000" w:fill="FFFFFF"/>
          </w:tcPr>
          <w:p w14:paraId="72141319"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left w:val="nil"/>
              <w:right w:val="nil"/>
            </w:tcBorders>
            <w:shd w:val="clear" w:color="000000" w:fill="FFFFFF"/>
          </w:tcPr>
          <w:p w14:paraId="072D8971" w14:textId="77777777" w:rsidR="00B22F24" w:rsidRPr="00FC4EB7" w:rsidRDefault="00B22F24" w:rsidP="003B1C0E">
            <w:pPr>
              <w:snapToGrid w:val="0"/>
              <w:spacing w:before="40" w:after="40" w:line="240" w:lineRule="auto"/>
              <w:jc w:val="left"/>
              <w:rPr>
                <w:color w:val="000000"/>
                <w:sz w:val="16"/>
                <w:szCs w:val="16"/>
              </w:rPr>
            </w:pPr>
          </w:p>
        </w:tc>
        <w:tc>
          <w:tcPr>
            <w:tcW w:w="634" w:type="pct"/>
            <w:tcBorders>
              <w:top w:val="nil"/>
              <w:left w:val="nil"/>
              <w:right w:val="nil"/>
            </w:tcBorders>
            <w:shd w:val="clear" w:color="000000" w:fill="FFFFFF"/>
          </w:tcPr>
          <w:p w14:paraId="78FE6221"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left w:val="nil"/>
              <w:right w:val="nil"/>
            </w:tcBorders>
            <w:shd w:val="clear" w:color="000000" w:fill="FFFFFF"/>
          </w:tcPr>
          <w:p w14:paraId="52078107"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left w:val="nil"/>
              <w:right w:val="nil"/>
            </w:tcBorders>
            <w:shd w:val="clear" w:color="000000" w:fill="FFFFFF"/>
          </w:tcPr>
          <w:p w14:paraId="04EDB8E5"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left w:val="nil"/>
              <w:right w:val="nil"/>
            </w:tcBorders>
            <w:shd w:val="clear" w:color="000000" w:fill="FFFFFF"/>
          </w:tcPr>
          <w:p w14:paraId="2EDAEA61" w14:textId="77777777" w:rsidR="00B22F24" w:rsidRPr="00FC4EB7" w:rsidRDefault="00B22F24" w:rsidP="003B1C0E">
            <w:pPr>
              <w:snapToGrid w:val="0"/>
              <w:spacing w:before="40" w:after="40" w:line="240" w:lineRule="auto"/>
              <w:jc w:val="left"/>
              <w:rPr>
                <w:color w:val="000000"/>
                <w:sz w:val="16"/>
                <w:szCs w:val="16"/>
              </w:rPr>
            </w:pPr>
          </w:p>
        </w:tc>
      </w:tr>
      <w:tr w:rsidR="00B22F24" w:rsidRPr="00FC4EB7" w14:paraId="3FFE55DB" w14:textId="77777777" w:rsidTr="00B22F24">
        <w:trPr>
          <w:trHeight w:val="20"/>
          <w:jc w:val="center"/>
        </w:trPr>
        <w:tc>
          <w:tcPr>
            <w:tcW w:w="1201" w:type="pct"/>
            <w:tcBorders>
              <w:top w:val="nil"/>
              <w:left w:val="nil"/>
            </w:tcBorders>
            <w:shd w:val="clear" w:color="000000" w:fill="FFFFFF"/>
          </w:tcPr>
          <w:p w14:paraId="0380C022" w14:textId="77777777" w:rsidR="00B22F24" w:rsidRPr="00F906E9" w:rsidRDefault="00B22F24" w:rsidP="003B1C0E">
            <w:pPr>
              <w:snapToGrid w:val="0"/>
              <w:spacing w:before="40" w:after="40" w:line="240" w:lineRule="auto"/>
              <w:jc w:val="left"/>
              <w:rPr>
                <w:b/>
                <w:bCs/>
                <w:color w:val="000000"/>
                <w:sz w:val="16"/>
                <w:szCs w:val="16"/>
              </w:rPr>
            </w:pPr>
            <w:r w:rsidRPr="00F906E9">
              <w:rPr>
                <w:b/>
                <w:bCs/>
                <w:color w:val="000000"/>
                <w:sz w:val="16"/>
                <w:szCs w:val="16"/>
              </w:rPr>
              <w:t>Unternehmensgröße</w:t>
            </w:r>
          </w:p>
        </w:tc>
        <w:tc>
          <w:tcPr>
            <w:tcW w:w="633" w:type="pct"/>
            <w:tcBorders>
              <w:top w:val="nil"/>
              <w:right w:val="nil"/>
            </w:tcBorders>
            <w:shd w:val="clear" w:color="000000" w:fill="FFFFFF"/>
            <w:noWrap/>
          </w:tcPr>
          <w:p w14:paraId="7D57780B"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right w:val="nil"/>
            </w:tcBorders>
            <w:shd w:val="clear" w:color="000000" w:fill="FFFFFF"/>
          </w:tcPr>
          <w:p w14:paraId="1FA537D5" w14:textId="77777777" w:rsidR="00B22F24" w:rsidRPr="00FC4EB7" w:rsidRDefault="00B22F24" w:rsidP="003B1C0E">
            <w:pPr>
              <w:snapToGrid w:val="0"/>
              <w:spacing w:before="40" w:after="40" w:line="240" w:lineRule="auto"/>
              <w:jc w:val="left"/>
              <w:rPr>
                <w:color w:val="000000"/>
                <w:sz w:val="16"/>
                <w:szCs w:val="16"/>
              </w:rPr>
            </w:pPr>
          </w:p>
        </w:tc>
        <w:tc>
          <w:tcPr>
            <w:tcW w:w="634" w:type="pct"/>
            <w:tcBorders>
              <w:top w:val="nil"/>
              <w:right w:val="nil"/>
            </w:tcBorders>
            <w:shd w:val="clear" w:color="000000" w:fill="FFFFFF"/>
          </w:tcPr>
          <w:p w14:paraId="205BA758"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right w:val="nil"/>
            </w:tcBorders>
            <w:shd w:val="clear" w:color="000000" w:fill="FFFFFF"/>
          </w:tcPr>
          <w:p w14:paraId="772FA0F3"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right w:val="nil"/>
            </w:tcBorders>
            <w:shd w:val="clear" w:color="000000" w:fill="FFFFFF"/>
          </w:tcPr>
          <w:p w14:paraId="793E7D24"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nil"/>
              <w:left w:val="nil"/>
              <w:right w:val="nil"/>
            </w:tcBorders>
            <w:shd w:val="clear" w:color="000000" w:fill="FFFFFF"/>
          </w:tcPr>
          <w:p w14:paraId="6D53B973" w14:textId="77777777" w:rsidR="00B22F24" w:rsidRPr="00FC4EB7" w:rsidRDefault="00B22F24" w:rsidP="003B1C0E">
            <w:pPr>
              <w:snapToGrid w:val="0"/>
              <w:spacing w:before="40" w:after="40" w:line="240" w:lineRule="auto"/>
              <w:jc w:val="left"/>
              <w:rPr>
                <w:color w:val="000000"/>
                <w:sz w:val="16"/>
                <w:szCs w:val="16"/>
              </w:rPr>
            </w:pPr>
          </w:p>
        </w:tc>
      </w:tr>
      <w:tr w:rsidR="00340844" w:rsidRPr="00FC4EB7" w14:paraId="60595463" w14:textId="77777777" w:rsidTr="001564E0">
        <w:trPr>
          <w:trHeight w:val="20"/>
          <w:jc w:val="center"/>
        </w:trPr>
        <w:tc>
          <w:tcPr>
            <w:tcW w:w="1201" w:type="pct"/>
            <w:tcBorders>
              <w:top w:val="nil"/>
              <w:left w:val="nil"/>
            </w:tcBorders>
            <w:shd w:val="clear" w:color="000000" w:fill="FFFFFF"/>
          </w:tcPr>
          <w:p w14:paraId="1B308DC0" w14:textId="0100FF92" w:rsidR="00340844" w:rsidRPr="00FC4EB7" w:rsidRDefault="005572F3" w:rsidP="001A4E15">
            <w:pPr>
              <w:pStyle w:val="Listenabsatz"/>
              <w:numPr>
                <w:ilvl w:val="0"/>
                <w:numId w:val="10"/>
              </w:numPr>
              <w:snapToGrid w:val="0"/>
              <w:spacing w:before="40" w:after="40" w:line="240" w:lineRule="auto"/>
              <w:ind w:left="142" w:hanging="142"/>
              <w:jc w:val="left"/>
              <w:rPr>
                <w:color w:val="000000"/>
                <w:sz w:val="16"/>
                <w:szCs w:val="16"/>
              </w:rPr>
            </w:pPr>
            <w:r w:rsidRPr="00FC4EB7">
              <w:rPr>
                <w:color w:val="000000"/>
                <w:sz w:val="16"/>
                <w:szCs w:val="16"/>
              </w:rPr>
              <w:t>Kleinstunternehmen</w:t>
            </w:r>
          </w:p>
        </w:tc>
        <w:tc>
          <w:tcPr>
            <w:tcW w:w="633" w:type="pct"/>
            <w:tcBorders>
              <w:top w:val="nil"/>
              <w:right w:val="nil"/>
            </w:tcBorders>
            <w:shd w:val="clear" w:color="000000" w:fill="FFFFFF"/>
            <w:noWrap/>
          </w:tcPr>
          <w:p w14:paraId="30BAB466" w14:textId="77C6A1B4"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-1</w:t>
            </w:r>
            <w:r>
              <w:rPr>
                <w:rFonts w:cs="Times New Roman"/>
                <w:sz w:val="16"/>
                <w:szCs w:val="16"/>
              </w:rPr>
              <w:t>,</w:t>
            </w:r>
            <w:r w:rsidRPr="001564E0">
              <w:rPr>
                <w:rFonts w:cs="Times New Roman"/>
                <w:sz w:val="16"/>
                <w:szCs w:val="16"/>
              </w:rPr>
              <w:t>525***</w:t>
            </w:r>
            <w:r w:rsidRPr="001564E0">
              <w:rPr>
                <w:rFonts w:cs="Times New Roman"/>
                <w:sz w:val="16"/>
                <w:szCs w:val="16"/>
              </w:rPr>
              <w:br/>
              <w:t>(0</w:t>
            </w:r>
            <w:r>
              <w:rPr>
                <w:rFonts w:cs="Times New Roman"/>
                <w:sz w:val="16"/>
                <w:szCs w:val="16"/>
              </w:rPr>
              <w:t>,</w:t>
            </w:r>
            <w:r w:rsidRPr="001564E0">
              <w:rPr>
                <w:rFonts w:cs="Times New Roman"/>
                <w:sz w:val="16"/>
                <w:szCs w:val="16"/>
              </w:rPr>
              <w:t>098)</w:t>
            </w:r>
          </w:p>
        </w:tc>
        <w:tc>
          <w:tcPr>
            <w:tcW w:w="633" w:type="pct"/>
            <w:tcBorders>
              <w:top w:val="nil"/>
              <w:right w:val="nil"/>
            </w:tcBorders>
            <w:shd w:val="clear" w:color="000000" w:fill="FFFFFF"/>
          </w:tcPr>
          <w:p w14:paraId="05A788FF" w14:textId="0A5A1BCB"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266***</w:t>
            </w:r>
            <w:r w:rsidRPr="001564E0">
              <w:rPr>
                <w:rFonts w:cs="Times New Roman"/>
                <w:sz w:val="16"/>
                <w:szCs w:val="16"/>
              </w:rPr>
              <w:br/>
              <w:t>(0</w:t>
            </w:r>
            <w:r>
              <w:rPr>
                <w:rFonts w:cs="Times New Roman"/>
                <w:sz w:val="16"/>
                <w:szCs w:val="16"/>
              </w:rPr>
              <w:t>,</w:t>
            </w:r>
            <w:r w:rsidRPr="001564E0">
              <w:rPr>
                <w:rFonts w:cs="Times New Roman"/>
                <w:sz w:val="16"/>
                <w:szCs w:val="16"/>
              </w:rPr>
              <w:t>097)</w:t>
            </w:r>
          </w:p>
        </w:tc>
        <w:tc>
          <w:tcPr>
            <w:tcW w:w="634" w:type="pct"/>
            <w:tcBorders>
              <w:top w:val="nil"/>
              <w:right w:val="nil"/>
            </w:tcBorders>
            <w:shd w:val="clear" w:color="000000" w:fill="FFFFFF"/>
          </w:tcPr>
          <w:p w14:paraId="073F4D3F" w14:textId="09FAD451"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-1</w:t>
            </w:r>
            <w:r>
              <w:rPr>
                <w:rFonts w:cs="Times New Roman"/>
                <w:sz w:val="16"/>
                <w:szCs w:val="16"/>
              </w:rPr>
              <w:t>,</w:t>
            </w:r>
            <w:r w:rsidRPr="001564E0">
              <w:rPr>
                <w:rFonts w:cs="Times New Roman"/>
                <w:sz w:val="16"/>
                <w:szCs w:val="16"/>
              </w:rPr>
              <w:t>238***</w:t>
            </w:r>
            <w:r w:rsidRPr="001564E0">
              <w:rPr>
                <w:rFonts w:cs="Times New Roman"/>
                <w:sz w:val="16"/>
                <w:szCs w:val="16"/>
              </w:rPr>
              <w:br/>
              <w:t>(0</w:t>
            </w:r>
            <w:r>
              <w:rPr>
                <w:rFonts w:cs="Times New Roman"/>
                <w:sz w:val="16"/>
                <w:szCs w:val="16"/>
              </w:rPr>
              <w:t>,</w:t>
            </w:r>
            <w:r w:rsidRPr="001564E0">
              <w:rPr>
                <w:rFonts w:cs="Times New Roman"/>
                <w:sz w:val="16"/>
                <w:szCs w:val="16"/>
              </w:rPr>
              <w:t>098)</w:t>
            </w:r>
          </w:p>
        </w:tc>
        <w:tc>
          <w:tcPr>
            <w:tcW w:w="633" w:type="pct"/>
            <w:tcBorders>
              <w:top w:val="nil"/>
              <w:right w:val="nil"/>
            </w:tcBorders>
            <w:shd w:val="clear" w:color="000000" w:fill="FFFFFF"/>
          </w:tcPr>
          <w:p w14:paraId="22831C9E" w14:textId="27647F88"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-1</w:t>
            </w:r>
            <w:r>
              <w:rPr>
                <w:rFonts w:cs="Times New Roman"/>
                <w:sz w:val="16"/>
                <w:szCs w:val="16"/>
              </w:rPr>
              <w:t>,</w:t>
            </w:r>
            <w:r w:rsidRPr="001564E0">
              <w:rPr>
                <w:rFonts w:cs="Times New Roman"/>
                <w:sz w:val="16"/>
                <w:szCs w:val="16"/>
              </w:rPr>
              <w:t>648***</w:t>
            </w:r>
            <w:r w:rsidRPr="001564E0">
              <w:rPr>
                <w:rFonts w:cs="Times New Roman"/>
                <w:sz w:val="16"/>
                <w:szCs w:val="16"/>
              </w:rPr>
              <w:br/>
              <w:t>(0</w:t>
            </w:r>
            <w:r>
              <w:rPr>
                <w:rFonts w:cs="Times New Roman"/>
                <w:sz w:val="16"/>
                <w:szCs w:val="16"/>
              </w:rPr>
              <w:t>,</w:t>
            </w:r>
            <w:r w:rsidRPr="001564E0">
              <w:rPr>
                <w:rFonts w:cs="Times New Roman"/>
                <w:sz w:val="16"/>
                <w:szCs w:val="16"/>
              </w:rPr>
              <w:t>110)</w:t>
            </w:r>
          </w:p>
        </w:tc>
        <w:tc>
          <w:tcPr>
            <w:tcW w:w="633" w:type="pct"/>
            <w:tcBorders>
              <w:top w:val="nil"/>
              <w:right w:val="nil"/>
            </w:tcBorders>
            <w:shd w:val="clear" w:color="000000" w:fill="FFFFFF"/>
          </w:tcPr>
          <w:p w14:paraId="1AED8BC1" w14:textId="13EDDB05"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-1</w:t>
            </w:r>
            <w:r>
              <w:rPr>
                <w:rFonts w:cs="Times New Roman"/>
                <w:sz w:val="16"/>
                <w:szCs w:val="16"/>
              </w:rPr>
              <w:t>,</w:t>
            </w:r>
            <w:r w:rsidRPr="001564E0">
              <w:rPr>
                <w:rFonts w:cs="Times New Roman"/>
                <w:sz w:val="16"/>
                <w:szCs w:val="16"/>
              </w:rPr>
              <w:t>191***</w:t>
            </w:r>
            <w:r w:rsidRPr="001564E0">
              <w:rPr>
                <w:rFonts w:cs="Times New Roman"/>
                <w:sz w:val="16"/>
                <w:szCs w:val="16"/>
              </w:rPr>
              <w:br/>
              <w:t>(0</w:t>
            </w:r>
            <w:r>
              <w:rPr>
                <w:rFonts w:cs="Times New Roman"/>
                <w:sz w:val="16"/>
                <w:szCs w:val="16"/>
              </w:rPr>
              <w:t>,</w:t>
            </w:r>
            <w:r w:rsidRPr="001564E0">
              <w:rPr>
                <w:rFonts w:cs="Times New Roman"/>
                <w:sz w:val="16"/>
                <w:szCs w:val="16"/>
              </w:rPr>
              <w:t>090)</w:t>
            </w:r>
          </w:p>
        </w:tc>
        <w:tc>
          <w:tcPr>
            <w:tcW w:w="633" w:type="pct"/>
            <w:tcBorders>
              <w:top w:val="nil"/>
              <w:left w:val="nil"/>
              <w:right w:val="nil"/>
            </w:tcBorders>
            <w:shd w:val="clear" w:color="000000" w:fill="FFFFFF"/>
          </w:tcPr>
          <w:p w14:paraId="261720FD" w14:textId="1B6AF9FE" w:rsidR="00340844" w:rsidRPr="00694C51" w:rsidRDefault="00CF13EC" w:rsidP="00340844">
            <w:pPr>
              <w:snapToGrid w:val="0"/>
              <w:spacing w:before="40" w:after="40" w:line="240" w:lineRule="auto"/>
              <w:jc w:val="left"/>
              <w:rPr>
                <w:rFonts w:cs="Times New Roman"/>
                <w:color w:val="000000"/>
                <w:sz w:val="16"/>
                <w:szCs w:val="16"/>
              </w:rPr>
            </w:pPr>
            <w:r>
              <w:rPr>
                <w:rFonts w:cs="Times New Roman"/>
                <w:color w:val="000000"/>
                <w:sz w:val="16"/>
                <w:szCs w:val="16"/>
              </w:rPr>
              <w:t>Referenz-gruppe</w:t>
            </w:r>
          </w:p>
        </w:tc>
      </w:tr>
      <w:tr w:rsidR="00340844" w:rsidRPr="00FC4EB7" w14:paraId="5DC87BB1" w14:textId="77777777" w:rsidTr="001564E0">
        <w:trPr>
          <w:trHeight w:val="20"/>
          <w:jc w:val="center"/>
        </w:trPr>
        <w:tc>
          <w:tcPr>
            <w:tcW w:w="1201" w:type="pct"/>
            <w:tcBorders>
              <w:top w:val="nil"/>
              <w:left w:val="nil"/>
            </w:tcBorders>
            <w:shd w:val="clear" w:color="000000" w:fill="FFFFFF"/>
          </w:tcPr>
          <w:p w14:paraId="5E0748EF" w14:textId="77777777" w:rsidR="00340844" w:rsidRPr="00FC4EB7" w:rsidRDefault="00340844" w:rsidP="001A4E15">
            <w:pPr>
              <w:pStyle w:val="Listenabsatz"/>
              <w:numPr>
                <w:ilvl w:val="0"/>
                <w:numId w:val="10"/>
              </w:numPr>
              <w:snapToGrid w:val="0"/>
              <w:spacing w:before="40" w:after="40" w:line="240" w:lineRule="auto"/>
              <w:ind w:left="142" w:hanging="142"/>
              <w:jc w:val="left"/>
              <w:rPr>
                <w:color w:val="000000"/>
                <w:sz w:val="16"/>
                <w:szCs w:val="16"/>
              </w:rPr>
            </w:pPr>
            <w:r w:rsidRPr="00FC4EB7">
              <w:rPr>
                <w:color w:val="000000"/>
                <w:sz w:val="16"/>
                <w:szCs w:val="16"/>
              </w:rPr>
              <w:t>Kleine Unternehmen</w:t>
            </w:r>
          </w:p>
        </w:tc>
        <w:tc>
          <w:tcPr>
            <w:tcW w:w="633" w:type="pct"/>
            <w:tcBorders>
              <w:top w:val="nil"/>
              <w:right w:val="nil"/>
            </w:tcBorders>
            <w:shd w:val="clear" w:color="000000" w:fill="FFFFFF"/>
            <w:noWrap/>
          </w:tcPr>
          <w:p w14:paraId="5885D309" w14:textId="34261159"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688***</w:t>
            </w:r>
            <w:r w:rsidRPr="001564E0">
              <w:rPr>
                <w:rFonts w:cs="Times New Roman"/>
                <w:sz w:val="16"/>
                <w:szCs w:val="16"/>
              </w:rPr>
              <w:br/>
              <w:t>(0</w:t>
            </w:r>
            <w:r>
              <w:rPr>
                <w:rFonts w:cs="Times New Roman"/>
                <w:sz w:val="16"/>
                <w:szCs w:val="16"/>
              </w:rPr>
              <w:t>,</w:t>
            </w:r>
            <w:r w:rsidRPr="001564E0">
              <w:rPr>
                <w:rFonts w:cs="Times New Roman"/>
                <w:sz w:val="16"/>
                <w:szCs w:val="16"/>
              </w:rPr>
              <w:t>090)</w:t>
            </w:r>
          </w:p>
        </w:tc>
        <w:tc>
          <w:tcPr>
            <w:tcW w:w="633" w:type="pct"/>
            <w:tcBorders>
              <w:top w:val="nil"/>
              <w:right w:val="nil"/>
            </w:tcBorders>
            <w:shd w:val="clear" w:color="000000" w:fill="FFFFFF"/>
          </w:tcPr>
          <w:p w14:paraId="20FDF4C9" w14:textId="2D526382"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232**</w:t>
            </w:r>
            <w:r w:rsidRPr="001564E0">
              <w:rPr>
                <w:rFonts w:cs="Times New Roman"/>
                <w:sz w:val="16"/>
                <w:szCs w:val="16"/>
              </w:rPr>
              <w:br/>
              <w:t>(0</w:t>
            </w:r>
            <w:r>
              <w:rPr>
                <w:rFonts w:cs="Times New Roman"/>
                <w:sz w:val="16"/>
                <w:szCs w:val="16"/>
              </w:rPr>
              <w:t>,</w:t>
            </w:r>
            <w:r w:rsidRPr="001564E0">
              <w:rPr>
                <w:rFonts w:cs="Times New Roman"/>
                <w:sz w:val="16"/>
                <w:szCs w:val="16"/>
              </w:rPr>
              <w:t>098)</w:t>
            </w:r>
          </w:p>
        </w:tc>
        <w:tc>
          <w:tcPr>
            <w:tcW w:w="634" w:type="pct"/>
            <w:tcBorders>
              <w:top w:val="nil"/>
              <w:right w:val="nil"/>
            </w:tcBorders>
            <w:shd w:val="clear" w:color="000000" w:fill="FFFFFF"/>
          </w:tcPr>
          <w:p w14:paraId="49A487CE" w14:textId="1390A3BD"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672***</w:t>
            </w:r>
            <w:r w:rsidRPr="001564E0">
              <w:rPr>
                <w:rFonts w:cs="Times New Roman"/>
                <w:sz w:val="16"/>
                <w:szCs w:val="16"/>
              </w:rPr>
              <w:br/>
              <w:t>(0</w:t>
            </w:r>
            <w:r>
              <w:rPr>
                <w:rFonts w:cs="Times New Roman"/>
                <w:sz w:val="16"/>
                <w:szCs w:val="16"/>
              </w:rPr>
              <w:t>,</w:t>
            </w:r>
            <w:r w:rsidRPr="001564E0">
              <w:rPr>
                <w:rFonts w:cs="Times New Roman"/>
                <w:sz w:val="16"/>
                <w:szCs w:val="16"/>
              </w:rPr>
              <w:t>094)</w:t>
            </w:r>
          </w:p>
        </w:tc>
        <w:tc>
          <w:tcPr>
            <w:tcW w:w="633" w:type="pct"/>
            <w:tcBorders>
              <w:top w:val="nil"/>
              <w:right w:val="nil"/>
            </w:tcBorders>
            <w:shd w:val="clear" w:color="000000" w:fill="FFFFFF"/>
          </w:tcPr>
          <w:p w14:paraId="47FAB9EF" w14:textId="5CE28FDD"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843***</w:t>
            </w:r>
            <w:r w:rsidRPr="001564E0">
              <w:rPr>
                <w:rFonts w:cs="Times New Roman"/>
                <w:sz w:val="16"/>
                <w:szCs w:val="16"/>
              </w:rPr>
              <w:br/>
              <w:t>(0</w:t>
            </w:r>
            <w:r>
              <w:rPr>
                <w:rFonts w:cs="Times New Roman"/>
                <w:sz w:val="16"/>
                <w:szCs w:val="16"/>
              </w:rPr>
              <w:t>,</w:t>
            </w:r>
            <w:r w:rsidRPr="001564E0">
              <w:rPr>
                <w:rFonts w:cs="Times New Roman"/>
                <w:sz w:val="16"/>
                <w:szCs w:val="16"/>
              </w:rPr>
              <w:t>098)</w:t>
            </w:r>
          </w:p>
        </w:tc>
        <w:tc>
          <w:tcPr>
            <w:tcW w:w="633" w:type="pct"/>
            <w:tcBorders>
              <w:top w:val="nil"/>
              <w:right w:val="nil"/>
            </w:tcBorders>
            <w:shd w:val="clear" w:color="000000" w:fill="FFFFFF"/>
          </w:tcPr>
          <w:p w14:paraId="78BBE654" w14:textId="7F0CD820"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438***</w:t>
            </w:r>
            <w:r w:rsidRPr="001564E0">
              <w:rPr>
                <w:rFonts w:cs="Times New Roman"/>
                <w:sz w:val="16"/>
                <w:szCs w:val="16"/>
              </w:rPr>
              <w:br/>
              <w:t>(0</w:t>
            </w:r>
            <w:r>
              <w:rPr>
                <w:rFonts w:cs="Times New Roman"/>
                <w:sz w:val="16"/>
                <w:szCs w:val="16"/>
              </w:rPr>
              <w:t>,</w:t>
            </w:r>
            <w:r w:rsidRPr="001564E0">
              <w:rPr>
                <w:rFonts w:cs="Times New Roman"/>
                <w:sz w:val="16"/>
                <w:szCs w:val="16"/>
              </w:rPr>
              <w:t>082)</w:t>
            </w:r>
          </w:p>
        </w:tc>
        <w:tc>
          <w:tcPr>
            <w:tcW w:w="633" w:type="pct"/>
            <w:tcBorders>
              <w:top w:val="nil"/>
              <w:left w:val="nil"/>
              <w:right w:val="nil"/>
            </w:tcBorders>
            <w:shd w:val="clear" w:color="000000" w:fill="FFFFFF"/>
          </w:tcPr>
          <w:p w14:paraId="5B8022EB" w14:textId="094A7CCF"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0B8D7FD1" w14:textId="77777777" w:rsidTr="001564E0">
        <w:trPr>
          <w:trHeight w:val="20"/>
          <w:jc w:val="center"/>
        </w:trPr>
        <w:tc>
          <w:tcPr>
            <w:tcW w:w="1201" w:type="pct"/>
            <w:tcBorders>
              <w:left w:val="nil"/>
              <w:bottom w:val="dotted" w:sz="4" w:space="0" w:color="auto"/>
            </w:tcBorders>
            <w:shd w:val="clear" w:color="000000" w:fill="FFFFFF"/>
          </w:tcPr>
          <w:p w14:paraId="6F3E2BD6" w14:textId="77777777" w:rsidR="00340844" w:rsidRPr="00FC4EB7" w:rsidRDefault="00340844" w:rsidP="001A4E15">
            <w:pPr>
              <w:pStyle w:val="Listenabsatz"/>
              <w:numPr>
                <w:ilvl w:val="0"/>
                <w:numId w:val="10"/>
              </w:numPr>
              <w:snapToGrid w:val="0"/>
              <w:spacing w:before="40" w:after="40" w:line="240" w:lineRule="auto"/>
              <w:ind w:left="142" w:hanging="142"/>
              <w:jc w:val="left"/>
              <w:rPr>
                <w:color w:val="000000"/>
                <w:sz w:val="16"/>
                <w:szCs w:val="16"/>
              </w:rPr>
            </w:pPr>
            <w:r w:rsidRPr="00FC4EB7">
              <w:rPr>
                <w:color w:val="000000"/>
                <w:sz w:val="16"/>
                <w:szCs w:val="16"/>
              </w:rPr>
              <w:t>Mittlere Unternehmen</w:t>
            </w:r>
            <w:r>
              <w:rPr>
                <w:color w:val="000000"/>
                <w:sz w:val="16"/>
                <w:szCs w:val="16"/>
              </w:rPr>
              <w:t xml:space="preserve"> (Referenzgruppe)</w:t>
            </w:r>
          </w:p>
        </w:tc>
        <w:tc>
          <w:tcPr>
            <w:tcW w:w="633" w:type="pct"/>
            <w:tcBorders>
              <w:bottom w:val="dotted" w:sz="4" w:space="0" w:color="auto"/>
              <w:right w:val="nil"/>
            </w:tcBorders>
            <w:shd w:val="clear" w:color="000000" w:fill="FFFFFF"/>
            <w:noWrap/>
          </w:tcPr>
          <w:p w14:paraId="3F249838"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bottom w:val="dotted" w:sz="4" w:space="0" w:color="auto"/>
              <w:right w:val="nil"/>
            </w:tcBorders>
            <w:shd w:val="clear" w:color="000000" w:fill="FFFFFF"/>
          </w:tcPr>
          <w:p w14:paraId="79F07056" w14:textId="77777777" w:rsidR="00340844" w:rsidRPr="001564E0" w:rsidRDefault="00340844" w:rsidP="00340844">
            <w:pPr>
              <w:snapToGrid w:val="0"/>
              <w:spacing w:before="40" w:after="40" w:line="240" w:lineRule="auto"/>
              <w:jc w:val="left"/>
              <w:rPr>
                <w:rFonts w:cs="Times New Roman"/>
                <w:color w:val="000000"/>
                <w:spacing w:val="-2"/>
                <w:sz w:val="16"/>
                <w:szCs w:val="16"/>
              </w:rPr>
            </w:pPr>
          </w:p>
        </w:tc>
        <w:tc>
          <w:tcPr>
            <w:tcW w:w="634" w:type="pct"/>
            <w:tcBorders>
              <w:bottom w:val="dotted" w:sz="4" w:space="0" w:color="auto"/>
              <w:right w:val="nil"/>
            </w:tcBorders>
            <w:shd w:val="clear" w:color="000000" w:fill="FFFFFF"/>
          </w:tcPr>
          <w:p w14:paraId="181284D6" w14:textId="77777777" w:rsidR="00340844" w:rsidRPr="001564E0" w:rsidRDefault="00340844" w:rsidP="00340844">
            <w:pPr>
              <w:snapToGrid w:val="0"/>
              <w:spacing w:before="40" w:after="40" w:line="240" w:lineRule="auto"/>
              <w:jc w:val="left"/>
              <w:rPr>
                <w:rFonts w:cs="Times New Roman"/>
                <w:color w:val="000000"/>
                <w:spacing w:val="-2"/>
                <w:sz w:val="16"/>
                <w:szCs w:val="16"/>
              </w:rPr>
            </w:pPr>
          </w:p>
        </w:tc>
        <w:tc>
          <w:tcPr>
            <w:tcW w:w="633" w:type="pct"/>
            <w:tcBorders>
              <w:bottom w:val="dotted" w:sz="4" w:space="0" w:color="auto"/>
              <w:right w:val="nil"/>
            </w:tcBorders>
            <w:shd w:val="clear" w:color="000000" w:fill="FFFFFF"/>
          </w:tcPr>
          <w:p w14:paraId="197EC74F" w14:textId="77777777" w:rsidR="00340844" w:rsidRPr="001564E0" w:rsidRDefault="00340844" w:rsidP="00340844">
            <w:pPr>
              <w:snapToGrid w:val="0"/>
              <w:spacing w:before="40" w:after="40" w:line="240" w:lineRule="auto"/>
              <w:jc w:val="left"/>
              <w:rPr>
                <w:rFonts w:cs="Times New Roman"/>
                <w:color w:val="000000"/>
                <w:spacing w:val="-2"/>
                <w:sz w:val="16"/>
                <w:szCs w:val="16"/>
              </w:rPr>
            </w:pPr>
          </w:p>
        </w:tc>
        <w:tc>
          <w:tcPr>
            <w:tcW w:w="633" w:type="pct"/>
            <w:tcBorders>
              <w:bottom w:val="dotted" w:sz="4" w:space="0" w:color="auto"/>
              <w:right w:val="nil"/>
            </w:tcBorders>
            <w:shd w:val="clear" w:color="000000" w:fill="FFFFFF"/>
          </w:tcPr>
          <w:p w14:paraId="2FB0D2B4" w14:textId="77777777" w:rsidR="00340844" w:rsidRPr="001564E0" w:rsidRDefault="00340844" w:rsidP="00340844">
            <w:pPr>
              <w:snapToGrid w:val="0"/>
              <w:spacing w:before="40" w:after="40" w:line="240" w:lineRule="auto"/>
              <w:jc w:val="left"/>
              <w:rPr>
                <w:rFonts w:cs="Times New Roman"/>
                <w:color w:val="000000"/>
                <w:spacing w:val="-2"/>
                <w:sz w:val="16"/>
                <w:szCs w:val="16"/>
              </w:rPr>
            </w:pPr>
          </w:p>
        </w:tc>
        <w:tc>
          <w:tcPr>
            <w:tcW w:w="633" w:type="pct"/>
            <w:tcBorders>
              <w:left w:val="nil"/>
              <w:bottom w:val="dotted" w:sz="4" w:space="0" w:color="auto"/>
              <w:right w:val="nil"/>
            </w:tcBorders>
            <w:shd w:val="clear" w:color="000000" w:fill="FFFFFF"/>
          </w:tcPr>
          <w:p w14:paraId="2D90154A" w14:textId="77777777" w:rsidR="00340844" w:rsidRPr="00694C51" w:rsidRDefault="00340844" w:rsidP="00340844">
            <w:pPr>
              <w:snapToGrid w:val="0"/>
              <w:spacing w:before="40" w:after="40" w:line="240" w:lineRule="auto"/>
              <w:jc w:val="left"/>
              <w:rPr>
                <w:rFonts w:cs="Times New Roman"/>
                <w:color w:val="000000"/>
                <w:spacing w:val="-2"/>
                <w:sz w:val="16"/>
                <w:szCs w:val="16"/>
              </w:rPr>
            </w:pPr>
          </w:p>
        </w:tc>
      </w:tr>
      <w:tr w:rsidR="00340844" w:rsidRPr="00FC4EB7" w14:paraId="65655082" w14:textId="77777777" w:rsidTr="001564E0">
        <w:trPr>
          <w:trHeight w:val="20"/>
          <w:jc w:val="center"/>
        </w:trPr>
        <w:tc>
          <w:tcPr>
            <w:tcW w:w="1201" w:type="pct"/>
            <w:tcBorders>
              <w:top w:val="nil"/>
              <w:left w:val="nil"/>
              <w:right w:val="nil"/>
            </w:tcBorders>
            <w:shd w:val="clear" w:color="000000" w:fill="FFFFFF"/>
          </w:tcPr>
          <w:p w14:paraId="01D0422C" w14:textId="77777777" w:rsidR="00340844" w:rsidRPr="00FC4EB7" w:rsidRDefault="00340844" w:rsidP="00340844">
            <w:pPr>
              <w:snapToGrid w:val="0"/>
              <w:spacing w:before="40" w:after="40" w:line="240" w:lineRule="auto"/>
              <w:jc w:val="left"/>
              <w:rPr>
                <w:i/>
                <w:iCs/>
                <w:color w:val="000000"/>
                <w:sz w:val="16"/>
                <w:szCs w:val="16"/>
              </w:rPr>
            </w:pPr>
            <w:r w:rsidRPr="00FC4EB7">
              <w:rPr>
                <w:i/>
                <w:iCs/>
                <w:color w:val="000000"/>
                <w:sz w:val="16"/>
                <w:szCs w:val="16"/>
              </w:rPr>
              <w:t>Kontrollvariablen</w:t>
            </w:r>
          </w:p>
        </w:tc>
        <w:tc>
          <w:tcPr>
            <w:tcW w:w="633" w:type="pct"/>
            <w:tcBorders>
              <w:top w:val="nil"/>
              <w:left w:val="nil"/>
              <w:right w:val="nil"/>
            </w:tcBorders>
            <w:shd w:val="clear" w:color="000000" w:fill="FFFFFF"/>
            <w:noWrap/>
          </w:tcPr>
          <w:p w14:paraId="2D8732BB"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36B1F1E0"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4" w:type="pct"/>
            <w:tcBorders>
              <w:top w:val="nil"/>
              <w:left w:val="nil"/>
              <w:right w:val="nil"/>
            </w:tcBorders>
            <w:shd w:val="clear" w:color="000000" w:fill="FFFFFF"/>
          </w:tcPr>
          <w:p w14:paraId="6398E2DC"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7B43EC82"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77D52837"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4774C2E3" w14:textId="77777777"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2B567AD8" w14:textId="77777777" w:rsidTr="001564E0">
        <w:trPr>
          <w:trHeight w:val="20"/>
          <w:jc w:val="center"/>
        </w:trPr>
        <w:tc>
          <w:tcPr>
            <w:tcW w:w="1201" w:type="pct"/>
            <w:tcBorders>
              <w:top w:val="nil"/>
              <w:left w:val="nil"/>
            </w:tcBorders>
            <w:shd w:val="clear" w:color="000000" w:fill="FFFFFF"/>
          </w:tcPr>
          <w:p w14:paraId="7ACE8774" w14:textId="77777777" w:rsidR="00340844" w:rsidRPr="00F906E9" w:rsidRDefault="00340844" w:rsidP="00340844">
            <w:pPr>
              <w:snapToGrid w:val="0"/>
              <w:spacing w:before="40" w:after="40" w:line="240" w:lineRule="auto"/>
              <w:jc w:val="left"/>
              <w:rPr>
                <w:b/>
                <w:bCs/>
                <w:color w:val="000000"/>
                <w:sz w:val="16"/>
                <w:szCs w:val="16"/>
              </w:rPr>
            </w:pPr>
            <w:r w:rsidRPr="00F906E9">
              <w:rPr>
                <w:b/>
                <w:bCs/>
                <w:color w:val="000000"/>
                <w:sz w:val="16"/>
                <w:szCs w:val="16"/>
              </w:rPr>
              <w:t>Unternehmensalter</w:t>
            </w:r>
          </w:p>
        </w:tc>
        <w:tc>
          <w:tcPr>
            <w:tcW w:w="633" w:type="pct"/>
            <w:tcBorders>
              <w:top w:val="nil"/>
              <w:right w:val="nil"/>
            </w:tcBorders>
            <w:shd w:val="clear" w:color="000000" w:fill="FFFFFF"/>
            <w:noWrap/>
          </w:tcPr>
          <w:p w14:paraId="602F737C"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right w:val="nil"/>
            </w:tcBorders>
            <w:shd w:val="clear" w:color="000000" w:fill="FFFFFF"/>
          </w:tcPr>
          <w:p w14:paraId="176E501D"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4" w:type="pct"/>
            <w:tcBorders>
              <w:top w:val="nil"/>
              <w:right w:val="nil"/>
            </w:tcBorders>
            <w:shd w:val="clear" w:color="000000" w:fill="FFFFFF"/>
          </w:tcPr>
          <w:p w14:paraId="7E0429DF"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right w:val="nil"/>
            </w:tcBorders>
            <w:shd w:val="clear" w:color="000000" w:fill="FFFFFF"/>
          </w:tcPr>
          <w:p w14:paraId="00C738D7"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right w:val="nil"/>
            </w:tcBorders>
            <w:shd w:val="clear" w:color="000000" w:fill="FFFFFF"/>
          </w:tcPr>
          <w:p w14:paraId="75DC4813"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1EC5F50B" w14:textId="77777777"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46D0DB63" w14:textId="77777777" w:rsidTr="001564E0">
        <w:trPr>
          <w:trHeight w:val="20"/>
          <w:jc w:val="center"/>
        </w:trPr>
        <w:tc>
          <w:tcPr>
            <w:tcW w:w="1201" w:type="pct"/>
            <w:tcBorders>
              <w:top w:val="nil"/>
              <w:left w:val="nil"/>
            </w:tcBorders>
            <w:shd w:val="clear" w:color="000000" w:fill="FFFFFF"/>
          </w:tcPr>
          <w:p w14:paraId="2FB36DC3" w14:textId="77777777" w:rsidR="00340844" w:rsidRPr="00F01B0A" w:rsidRDefault="00340844" w:rsidP="001A4E15">
            <w:pPr>
              <w:pStyle w:val="Listenabsatz"/>
              <w:numPr>
                <w:ilvl w:val="0"/>
                <w:numId w:val="10"/>
              </w:numPr>
              <w:snapToGrid w:val="0"/>
              <w:spacing w:before="40" w:after="40" w:line="240" w:lineRule="auto"/>
              <w:ind w:left="142" w:hanging="142"/>
              <w:jc w:val="left"/>
              <w:rPr>
                <w:color w:val="000000"/>
                <w:sz w:val="16"/>
                <w:szCs w:val="16"/>
              </w:rPr>
            </w:pPr>
            <w:r w:rsidRPr="00F01B0A">
              <w:rPr>
                <w:color w:val="000000"/>
                <w:sz w:val="16"/>
                <w:szCs w:val="16"/>
              </w:rPr>
              <w:t>&lt;2 Jahre</w:t>
            </w:r>
          </w:p>
        </w:tc>
        <w:tc>
          <w:tcPr>
            <w:tcW w:w="633" w:type="pct"/>
            <w:tcBorders>
              <w:top w:val="nil"/>
              <w:right w:val="nil"/>
            </w:tcBorders>
            <w:shd w:val="clear" w:color="000000" w:fill="FFFFFF"/>
            <w:noWrap/>
          </w:tcPr>
          <w:p w14:paraId="11869BA6" w14:textId="12A2CD19"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030</w:t>
            </w:r>
            <w:r w:rsidRPr="001564E0">
              <w:rPr>
                <w:rFonts w:cs="Times New Roman"/>
                <w:sz w:val="16"/>
                <w:szCs w:val="16"/>
              </w:rPr>
              <w:br/>
              <w:t>(0</w:t>
            </w:r>
            <w:r>
              <w:rPr>
                <w:rFonts w:cs="Times New Roman"/>
                <w:sz w:val="16"/>
                <w:szCs w:val="16"/>
              </w:rPr>
              <w:t>,</w:t>
            </w:r>
            <w:r w:rsidRPr="001564E0">
              <w:rPr>
                <w:rFonts w:cs="Times New Roman"/>
                <w:sz w:val="16"/>
                <w:szCs w:val="16"/>
              </w:rPr>
              <w:t>319)</w:t>
            </w:r>
          </w:p>
        </w:tc>
        <w:tc>
          <w:tcPr>
            <w:tcW w:w="633" w:type="pct"/>
            <w:tcBorders>
              <w:top w:val="nil"/>
              <w:right w:val="nil"/>
            </w:tcBorders>
            <w:shd w:val="clear" w:color="000000" w:fill="FFFFFF"/>
          </w:tcPr>
          <w:p w14:paraId="740DDF8E" w14:textId="06197209"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-1</w:t>
            </w:r>
            <w:r>
              <w:rPr>
                <w:rFonts w:cs="Times New Roman"/>
                <w:sz w:val="16"/>
                <w:szCs w:val="16"/>
              </w:rPr>
              <w:t>,</w:t>
            </w:r>
            <w:r w:rsidRPr="001564E0">
              <w:rPr>
                <w:rFonts w:cs="Times New Roman"/>
                <w:sz w:val="16"/>
                <w:szCs w:val="16"/>
              </w:rPr>
              <w:t>124**</w:t>
            </w:r>
            <w:r w:rsidRPr="001564E0">
              <w:rPr>
                <w:rFonts w:cs="Times New Roman"/>
                <w:sz w:val="16"/>
                <w:szCs w:val="16"/>
              </w:rPr>
              <w:br/>
              <w:t>(0</w:t>
            </w:r>
            <w:r>
              <w:rPr>
                <w:rFonts w:cs="Times New Roman"/>
                <w:sz w:val="16"/>
                <w:szCs w:val="16"/>
              </w:rPr>
              <w:t>,</w:t>
            </w:r>
            <w:r w:rsidRPr="001564E0">
              <w:rPr>
                <w:rFonts w:cs="Times New Roman"/>
                <w:sz w:val="16"/>
                <w:szCs w:val="16"/>
              </w:rPr>
              <w:t>474)</w:t>
            </w:r>
          </w:p>
        </w:tc>
        <w:tc>
          <w:tcPr>
            <w:tcW w:w="634" w:type="pct"/>
            <w:tcBorders>
              <w:top w:val="nil"/>
              <w:right w:val="nil"/>
            </w:tcBorders>
            <w:shd w:val="clear" w:color="000000" w:fill="FFFFFF"/>
          </w:tcPr>
          <w:p w14:paraId="534649E3" w14:textId="49087F18"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386</w:t>
            </w:r>
            <w:r w:rsidRPr="001564E0">
              <w:rPr>
                <w:rFonts w:cs="Times New Roman"/>
                <w:sz w:val="16"/>
                <w:szCs w:val="16"/>
              </w:rPr>
              <w:br/>
              <w:t>(0</w:t>
            </w:r>
            <w:r>
              <w:rPr>
                <w:rFonts w:cs="Times New Roman"/>
                <w:sz w:val="16"/>
                <w:szCs w:val="16"/>
              </w:rPr>
              <w:t>,</w:t>
            </w:r>
            <w:r w:rsidRPr="001564E0">
              <w:rPr>
                <w:rFonts w:cs="Times New Roman"/>
                <w:sz w:val="16"/>
                <w:szCs w:val="16"/>
              </w:rPr>
              <w:t>395)</w:t>
            </w:r>
          </w:p>
        </w:tc>
        <w:tc>
          <w:tcPr>
            <w:tcW w:w="633" w:type="pct"/>
            <w:tcBorders>
              <w:top w:val="nil"/>
              <w:right w:val="nil"/>
            </w:tcBorders>
            <w:shd w:val="clear" w:color="000000" w:fill="FFFFFF"/>
          </w:tcPr>
          <w:p w14:paraId="4A8D7AAE" w14:textId="18E5747C"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074</w:t>
            </w:r>
            <w:r w:rsidRPr="001564E0">
              <w:rPr>
                <w:rFonts w:cs="Times New Roman"/>
                <w:sz w:val="16"/>
                <w:szCs w:val="16"/>
              </w:rPr>
              <w:br/>
              <w:t>(0</w:t>
            </w:r>
            <w:r>
              <w:rPr>
                <w:rFonts w:cs="Times New Roman"/>
                <w:sz w:val="16"/>
                <w:szCs w:val="16"/>
              </w:rPr>
              <w:t>,</w:t>
            </w:r>
            <w:r w:rsidRPr="001564E0">
              <w:rPr>
                <w:rFonts w:cs="Times New Roman"/>
                <w:sz w:val="16"/>
                <w:szCs w:val="16"/>
              </w:rPr>
              <w:t>366)</w:t>
            </w:r>
          </w:p>
        </w:tc>
        <w:tc>
          <w:tcPr>
            <w:tcW w:w="633" w:type="pct"/>
            <w:tcBorders>
              <w:top w:val="nil"/>
              <w:right w:val="nil"/>
            </w:tcBorders>
            <w:shd w:val="clear" w:color="000000" w:fill="FFFFFF"/>
          </w:tcPr>
          <w:p w14:paraId="30A850A9" w14:textId="1301D324"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034</w:t>
            </w:r>
            <w:r w:rsidRPr="001564E0">
              <w:rPr>
                <w:rFonts w:cs="Times New Roman"/>
                <w:sz w:val="16"/>
                <w:szCs w:val="16"/>
              </w:rPr>
              <w:br/>
              <w:t>(0</w:t>
            </w:r>
            <w:r>
              <w:rPr>
                <w:rFonts w:cs="Times New Roman"/>
                <w:sz w:val="16"/>
                <w:szCs w:val="16"/>
              </w:rPr>
              <w:t>,</w:t>
            </w:r>
            <w:r w:rsidRPr="001564E0">
              <w:rPr>
                <w:rFonts w:cs="Times New Roman"/>
                <w:sz w:val="16"/>
                <w:szCs w:val="16"/>
              </w:rPr>
              <w:t>304)</w:t>
            </w:r>
          </w:p>
        </w:tc>
        <w:tc>
          <w:tcPr>
            <w:tcW w:w="633" w:type="pct"/>
            <w:tcBorders>
              <w:top w:val="nil"/>
              <w:left w:val="nil"/>
              <w:right w:val="nil"/>
            </w:tcBorders>
            <w:shd w:val="clear" w:color="000000" w:fill="FFFFFF"/>
          </w:tcPr>
          <w:p w14:paraId="442B2901" w14:textId="45AD6385"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3C59329D" w14:textId="77777777" w:rsidTr="001564E0">
        <w:trPr>
          <w:trHeight w:val="20"/>
          <w:jc w:val="center"/>
        </w:trPr>
        <w:tc>
          <w:tcPr>
            <w:tcW w:w="1201" w:type="pct"/>
            <w:tcBorders>
              <w:top w:val="nil"/>
              <w:left w:val="nil"/>
            </w:tcBorders>
            <w:shd w:val="clear" w:color="000000" w:fill="FFFFFF"/>
          </w:tcPr>
          <w:p w14:paraId="557D3E81" w14:textId="77777777" w:rsidR="00340844" w:rsidRPr="00F01B0A" w:rsidRDefault="00340844" w:rsidP="001A4E15">
            <w:pPr>
              <w:pStyle w:val="Listenabsatz"/>
              <w:numPr>
                <w:ilvl w:val="0"/>
                <w:numId w:val="10"/>
              </w:numPr>
              <w:snapToGrid w:val="0"/>
              <w:spacing w:before="40" w:after="40" w:line="240" w:lineRule="auto"/>
              <w:ind w:left="142" w:hanging="142"/>
              <w:jc w:val="left"/>
              <w:rPr>
                <w:color w:val="000000"/>
                <w:sz w:val="16"/>
                <w:szCs w:val="16"/>
              </w:rPr>
            </w:pPr>
            <w:r w:rsidRPr="00F01B0A">
              <w:rPr>
                <w:color w:val="000000"/>
                <w:sz w:val="16"/>
                <w:szCs w:val="16"/>
              </w:rPr>
              <w:t>2–4 Jahre</w:t>
            </w:r>
          </w:p>
        </w:tc>
        <w:tc>
          <w:tcPr>
            <w:tcW w:w="633" w:type="pct"/>
            <w:tcBorders>
              <w:top w:val="nil"/>
              <w:right w:val="nil"/>
            </w:tcBorders>
            <w:shd w:val="clear" w:color="000000" w:fill="FFFFFF"/>
            <w:noWrap/>
          </w:tcPr>
          <w:p w14:paraId="40D3B706" w14:textId="2952E62E"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322</w:t>
            </w:r>
            <w:r w:rsidRPr="001564E0">
              <w:rPr>
                <w:rFonts w:cs="Times New Roman"/>
                <w:sz w:val="16"/>
                <w:szCs w:val="16"/>
              </w:rPr>
              <w:br/>
              <w:t>(0</w:t>
            </w:r>
            <w:r>
              <w:rPr>
                <w:rFonts w:cs="Times New Roman"/>
                <w:sz w:val="16"/>
                <w:szCs w:val="16"/>
              </w:rPr>
              <w:t>,</w:t>
            </w:r>
            <w:r w:rsidRPr="001564E0">
              <w:rPr>
                <w:rFonts w:cs="Times New Roman"/>
                <w:sz w:val="16"/>
                <w:szCs w:val="16"/>
              </w:rPr>
              <w:t>224)</w:t>
            </w:r>
          </w:p>
        </w:tc>
        <w:tc>
          <w:tcPr>
            <w:tcW w:w="633" w:type="pct"/>
            <w:tcBorders>
              <w:top w:val="nil"/>
              <w:right w:val="nil"/>
            </w:tcBorders>
            <w:shd w:val="clear" w:color="000000" w:fill="FFFFFF"/>
          </w:tcPr>
          <w:p w14:paraId="15214B0E" w14:textId="26A06A04"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227</w:t>
            </w:r>
            <w:r w:rsidRPr="001564E0">
              <w:rPr>
                <w:rFonts w:cs="Times New Roman"/>
                <w:sz w:val="16"/>
                <w:szCs w:val="16"/>
              </w:rPr>
              <w:br/>
              <w:t>(0</w:t>
            </w:r>
            <w:r>
              <w:rPr>
                <w:rFonts w:cs="Times New Roman"/>
                <w:sz w:val="16"/>
                <w:szCs w:val="16"/>
              </w:rPr>
              <w:t>,</w:t>
            </w:r>
            <w:r w:rsidRPr="001564E0">
              <w:rPr>
                <w:rFonts w:cs="Times New Roman"/>
                <w:sz w:val="16"/>
                <w:szCs w:val="16"/>
              </w:rPr>
              <w:t>199)</w:t>
            </w:r>
          </w:p>
        </w:tc>
        <w:tc>
          <w:tcPr>
            <w:tcW w:w="634" w:type="pct"/>
            <w:tcBorders>
              <w:top w:val="nil"/>
              <w:right w:val="nil"/>
            </w:tcBorders>
            <w:shd w:val="clear" w:color="000000" w:fill="FFFFFF"/>
          </w:tcPr>
          <w:p w14:paraId="394924D0" w14:textId="19A37D7B"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058</w:t>
            </w:r>
            <w:r w:rsidRPr="001564E0">
              <w:rPr>
                <w:rFonts w:cs="Times New Roman"/>
                <w:sz w:val="16"/>
                <w:szCs w:val="16"/>
              </w:rPr>
              <w:br/>
              <w:t>(0</w:t>
            </w:r>
            <w:r>
              <w:rPr>
                <w:rFonts w:cs="Times New Roman"/>
                <w:sz w:val="16"/>
                <w:szCs w:val="16"/>
              </w:rPr>
              <w:t>,</w:t>
            </w:r>
            <w:r w:rsidRPr="001564E0">
              <w:rPr>
                <w:rFonts w:cs="Times New Roman"/>
                <w:sz w:val="16"/>
                <w:szCs w:val="16"/>
              </w:rPr>
              <w:t>204)</w:t>
            </w:r>
          </w:p>
        </w:tc>
        <w:tc>
          <w:tcPr>
            <w:tcW w:w="633" w:type="pct"/>
            <w:tcBorders>
              <w:top w:val="nil"/>
              <w:right w:val="nil"/>
            </w:tcBorders>
            <w:shd w:val="clear" w:color="000000" w:fill="FFFFFF"/>
          </w:tcPr>
          <w:p w14:paraId="46161967" w14:textId="4B5575C7"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399</w:t>
            </w:r>
            <w:r w:rsidRPr="001564E0">
              <w:rPr>
                <w:rFonts w:cs="Times New Roman"/>
                <w:sz w:val="16"/>
                <w:szCs w:val="16"/>
              </w:rPr>
              <w:br/>
              <w:t>(0</w:t>
            </w:r>
            <w:r>
              <w:rPr>
                <w:rFonts w:cs="Times New Roman"/>
                <w:sz w:val="16"/>
                <w:szCs w:val="16"/>
              </w:rPr>
              <w:t>,</w:t>
            </w:r>
            <w:r w:rsidRPr="001564E0">
              <w:rPr>
                <w:rFonts w:cs="Times New Roman"/>
                <w:sz w:val="16"/>
                <w:szCs w:val="16"/>
              </w:rPr>
              <w:t>262)</w:t>
            </w:r>
          </w:p>
        </w:tc>
        <w:tc>
          <w:tcPr>
            <w:tcW w:w="633" w:type="pct"/>
            <w:tcBorders>
              <w:top w:val="nil"/>
              <w:right w:val="nil"/>
            </w:tcBorders>
            <w:shd w:val="clear" w:color="000000" w:fill="FFFFFF"/>
          </w:tcPr>
          <w:p w14:paraId="58D95617" w14:textId="229E6BB3"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074</w:t>
            </w:r>
            <w:r w:rsidRPr="001564E0">
              <w:rPr>
                <w:rFonts w:cs="Times New Roman"/>
                <w:sz w:val="16"/>
                <w:szCs w:val="16"/>
              </w:rPr>
              <w:br/>
              <w:t>(0</w:t>
            </w:r>
            <w:r>
              <w:rPr>
                <w:rFonts w:cs="Times New Roman"/>
                <w:sz w:val="16"/>
                <w:szCs w:val="16"/>
              </w:rPr>
              <w:t>,</w:t>
            </w:r>
            <w:r w:rsidRPr="001564E0">
              <w:rPr>
                <w:rFonts w:cs="Times New Roman"/>
                <w:sz w:val="16"/>
                <w:szCs w:val="16"/>
              </w:rPr>
              <w:t>177)</w:t>
            </w:r>
          </w:p>
        </w:tc>
        <w:tc>
          <w:tcPr>
            <w:tcW w:w="633" w:type="pct"/>
            <w:tcBorders>
              <w:top w:val="nil"/>
              <w:left w:val="nil"/>
              <w:right w:val="nil"/>
            </w:tcBorders>
            <w:shd w:val="clear" w:color="000000" w:fill="FFFFFF"/>
          </w:tcPr>
          <w:p w14:paraId="24C889BF" w14:textId="27CFAD06"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169C73FB" w14:textId="77777777" w:rsidTr="001564E0">
        <w:trPr>
          <w:trHeight w:val="20"/>
          <w:jc w:val="center"/>
        </w:trPr>
        <w:tc>
          <w:tcPr>
            <w:tcW w:w="1201" w:type="pct"/>
            <w:tcBorders>
              <w:top w:val="nil"/>
              <w:left w:val="nil"/>
            </w:tcBorders>
            <w:shd w:val="clear" w:color="000000" w:fill="FFFFFF"/>
          </w:tcPr>
          <w:p w14:paraId="44F77CCA" w14:textId="77777777" w:rsidR="00340844" w:rsidRPr="00F01B0A" w:rsidRDefault="00340844" w:rsidP="001A4E15">
            <w:pPr>
              <w:pStyle w:val="Listenabsatz"/>
              <w:numPr>
                <w:ilvl w:val="0"/>
                <w:numId w:val="10"/>
              </w:numPr>
              <w:snapToGrid w:val="0"/>
              <w:spacing w:before="40" w:after="40" w:line="240" w:lineRule="auto"/>
              <w:ind w:left="142" w:hanging="142"/>
              <w:jc w:val="left"/>
              <w:rPr>
                <w:color w:val="000000"/>
                <w:sz w:val="16"/>
                <w:szCs w:val="16"/>
              </w:rPr>
            </w:pPr>
            <w:r w:rsidRPr="00F01B0A">
              <w:rPr>
                <w:color w:val="000000"/>
                <w:sz w:val="16"/>
                <w:szCs w:val="16"/>
              </w:rPr>
              <w:t>5–9 Jahre</w:t>
            </w:r>
          </w:p>
        </w:tc>
        <w:tc>
          <w:tcPr>
            <w:tcW w:w="633" w:type="pct"/>
            <w:tcBorders>
              <w:top w:val="nil"/>
              <w:right w:val="nil"/>
            </w:tcBorders>
            <w:shd w:val="clear" w:color="000000" w:fill="FFFFFF"/>
            <w:noWrap/>
          </w:tcPr>
          <w:p w14:paraId="657B1D5C" w14:textId="1D97C3B8"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233*</w:t>
            </w:r>
            <w:r w:rsidRPr="001564E0">
              <w:rPr>
                <w:rFonts w:cs="Times New Roman"/>
                <w:sz w:val="16"/>
                <w:szCs w:val="16"/>
              </w:rPr>
              <w:br/>
              <w:t>(0</w:t>
            </w:r>
            <w:r>
              <w:rPr>
                <w:rFonts w:cs="Times New Roman"/>
                <w:sz w:val="16"/>
                <w:szCs w:val="16"/>
              </w:rPr>
              <w:t>,</w:t>
            </w:r>
            <w:r w:rsidRPr="001564E0">
              <w:rPr>
                <w:rFonts w:cs="Times New Roman"/>
                <w:sz w:val="16"/>
                <w:szCs w:val="16"/>
              </w:rPr>
              <w:t>134)</w:t>
            </w:r>
          </w:p>
        </w:tc>
        <w:tc>
          <w:tcPr>
            <w:tcW w:w="633" w:type="pct"/>
            <w:tcBorders>
              <w:top w:val="nil"/>
              <w:right w:val="nil"/>
            </w:tcBorders>
            <w:shd w:val="clear" w:color="000000" w:fill="FFFFFF"/>
          </w:tcPr>
          <w:p w14:paraId="3F22334E" w14:textId="4519FD3D"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101</w:t>
            </w:r>
            <w:r w:rsidRPr="001564E0">
              <w:rPr>
                <w:rFonts w:cs="Times New Roman"/>
                <w:sz w:val="16"/>
                <w:szCs w:val="16"/>
              </w:rPr>
              <w:br/>
              <w:t>(0</w:t>
            </w:r>
            <w:r>
              <w:rPr>
                <w:rFonts w:cs="Times New Roman"/>
                <w:sz w:val="16"/>
                <w:szCs w:val="16"/>
              </w:rPr>
              <w:t>,</w:t>
            </w:r>
            <w:r w:rsidRPr="001564E0">
              <w:rPr>
                <w:rFonts w:cs="Times New Roman"/>
                <w:sz w:val="16"/>
                <w:szCs w:val="16"/>
              </w:rPr>
              <w:t>112)</w:t>
            </w:r>
          </w:p>
        </w:tc>
        <w:tc>
          <w:tcPr>
            <w:tcW w:w="634" w:type="pct"/>
            <w:tcBorders>
              <w:top w:val="nil"/>
              <w:right w:val="nil"/>
            </w:tcBorders>
            <w:shd w:val="clear" w:color="000000" w:fill="FFFFFF"/>
          </w:tcPr>
          <w:p w14:paraId="1E170BDC" w14:textId="1700AE4E"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152</w:t>
            </w:r>
            <w:r w:rsidRPr="001564E0">
              <w:rPr>
                <w:rFonts w:cs="Times New Roman"/>
                <w:sz w:val="16"/>
                <w:szCs w:val="16"/>
              </w:rPr>
              <w:br/>
              <w:t>(0</w:t>
            </w:r>
            <w:r>
              <w:rPr>
                <w:rFonts w:cs="Times New Roman"/>
                <w:sz w:val="16"/>
                <w:szCs w:val="16"/>
              </w:rPr>
              <w:t>,</w:t>
            </w:r>
            <w:r w:rsidRPr="001564E0">
              <w:rPr>
                <w:rFonts w:cs="Times New Roman"/>
                <w:sz w:val="16"/>
                <w:szCs w:val="16"/>
              </w:rPr>
              <w:t>123)</w:t>
            </w:r>
          </w:p>
        </w:tc>
        <w:tc>
          <w:tcPr>
            <w:tcW w:w="633" w:type="pct"/>
            <w:tcBorders>
              <w:top w:val="nil"/>
              <w:right w:val="nil"/>
            </w:tcBorders>
            <w:shd w:val="clear" w:color="000000" w:fill="FFFFFF"/>
          </w:tcPr>
          <w:p w14:paraId="752EA633" w14:textId="46463D9B"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048</w:t>
            </w:r>
            <w:r w:rsidRPr="001564E0">
              <w:rPr>
                <w:rFonts w:cs="Times New Roman"/>
                <w:sz w:val="16"/>
                <w:szCs w:val="16"/>
              </w:rPr>
              <w:br/>
              <w:t>(0</w:t>
            </w:r>
            <w:r>
              <w:rPr>
                <w:rFonts w:cs="Times New Roman"/>
                <w:sz w:val="16"/>
                <w:szCs w:val="16"/>
              </w:rPr>
              <w:t>,</w:t>
            </w:r>
            <w:r w:rsidRPr="001564E0">
              <w:rPr>
                <w:rFonts w:cs="Times New Roman"/>
                <w:sz w:val="16"/>
                <w:szCs w:val="16"/>
              </w:rPr>
              <w:t>142)</w:t>
            </w:r>
          </w:p>
        </w:tc>
        <w:tc>
          <w:tcPr>
            <w:tcW w:w="633" w:type="pct"/>
            <w:tcBorders>
              <w:top w:val="nil"/>
              <w:right w:val="nil"/>
            </w:tcBorders>
            <w:shd w:val="clear" w:color="000000" w:fill="FFFFFF"/>
          </w:tcPr>
          <w:p w14:paraId="19AAE3F9" w14:textId="69A500F9"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038</w:t>
            </w:r>
            <w:r w:rsidRPr="001564E0">
              <w:rPr>
                <w:rFonts w:cs="Times New Roman"/>
                <w:sz w:val="16"/>
                <w:szCs w:val="16"/>
              </w:rPr>
              <w:br/>
              <w:t>(0</w:t>
            </w:r>
            <w:r>
              <w:rPr>
                <w:rFonts w:cs="Times New Roman"/>
                <w:sz w:val="16"/>
                <w:szCs w:val="16"/>
              </w:rPr>
              <w:t>,</w:t>
            </w:r>
            <w:r w:rsidRPr="001564E0">
              <w:rPr>
                <w:rFonts w:cs="Times New Roman"/>
                <w:sz w:val="16"/>
                <w:szCs w:val="16"/>
              </w:rPr>
              <w:t>112)</w:t>
            </w:r>
          </w:p>
        </w:tc>
        <w:tc>
          <w:tcPr>
            <w:tcW w:w="633" w:type="pct"/>
            <w:tcBorders>
              <w:top w:val="nil"/>
              <w:left w:val="nil"/>
              <w:right w:val="nil"/>
            </w:tcBorders>
            <w:shd w:val="clear" w:color="000000" w:fill="FFFFFF"/>
          </w:tcPr>
          <w:p w14:paraId="4BF87B3B" w14:textId="652D927F"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17FD15AF" w14:textId="77777777" w:rsidTr="001564E0">
        <w:trPr>
          <w:trHeight w:val="20"/>
          <w:jc w:val="center"/>
        </w:trPr>
        <w:tc>
          <w:tcPr>
            <w:tcW w:w="1201" w:type="pct"/>
            <w:tcBorders>
              <w:top w:val="nil"/>
              <w:left w:val="nil"/>
            </w:tcBorders>
            <w:shd w:val="clear" w:color="000000" w:fill="FFFFFF"/>
          </w:tcPr>
          <w:p w14:paraId="0B1A2D18" w14:textId="77777777" w:rsidR="00340844" w:rsidRPr="00F01B0A" w:rsidRDefault="00340844" w:rsidP="001A4E15">
            <w:pPr>
              <w:pStyle w:val="Listenabsatz"/>
              <w:numPr>
                <w:ilvl w:val="0"/>
                <w:numId w:val="10"/>
              </w:numPr>
              <w:snapToGrid w:val="0"/>
              <w:spacing w:before="40" w:after="40" w:line="240" w:lineRule="auto"/>
              <w:ind w:left="142" w:hanging="142"/>
              <w:jc w:val="left"/>
              <w:rPr>
                <w:color w:val="000000"/>
                <w:sz w:val="16"/>
                <w:szCs w:val="16"/>
              </w:rPr>
            </w:pPr>
            <w:r w:rsidRPr="00F01B0A">
              <w:rPr>
                <w:color w:val="000000"/>
                <w:sz w:val="16"/>
                <w:szCs w:val="16"/>
              </w:rPr>
              <w:t>&gt;9 Jahre</w:t>
            </w:r>
            <w:r>
              <w:rPr>
                <w:color w:val="000000"/>
                <w:sz w:val="16"/>
                <w:szCs w:val="16"/>
              </w:rPr>
              <w:t xml:space="preserve"> (Referenzgruppe)</w:t>
            </w:r>
          </w:p>
        </w:tc>
        <w:tc>
          <w:tcPr>
            <w:tcW w:w="633" w:type="pct"/>
            <w:tcBorders>
              <w:top w:val="nil"/>
              <w:right w:val="nil"/>
            </w:tcBorders>
            <w:shd w:val="clear" w:color="000000" w:fill="FFFFFF"/>
            <w:noWrap/>
          </w:tcPr>
          <w:p w14:paraId="06409B15"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right w:val="nil"/>
            </w:tcBorders>
            <w:shd w:val="clear" w:color="000000" w:fill="FFFFFF"/>
          </w:tcPr>
          <w:p w14:paraId="778A324B"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4" w:type="pct"/>
            <w:tcBorders>
              <w:top w:val="nil"/>
              <w:right w:val="nil"/>
            </w:tcBorders>
            <w:shd w:val="clear" w:color="000000" w:fill="FFFFFF"/>
          </w:tcPr>
          <w:p w14:paraId="0BB853E5"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right w:val="nil"/>
            </w:tcBorders>
            <w:shd w:val="clear" w:color="000000" w:fill="FFFFFF"/>
          </w:tcPr>
          <w:p w14:paraId="39773A5B"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right w:val="nil"/>
            </w:tcBorders>
            <w:shd w:val="clear" w:color="000000" w:fill="FFFFFF"/>
          </w:tcPr>
          <w:p w14:paraId="2E067772"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492127B5" w14:textId="77777777"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4BC06640" w14:textId="77777777" w:rsidTr="001564E0">
        <w:trPr>
          <w:trHeight w:val="20"/>
          <w:jc w:val="center"/>
        </w:trPr>
        <w:tc>
          <w:tcPr>
            <w:tcW w:w="1201" w:type="pct"/>
            <w:tcBorders>
              <w:top w:val="nil"/>
              <w:left w:val="nil"/>
              <w:right w:val="nil"/>
            </w:tcBorders>
            <w:shd w:val="clear" w:color="000000" w:fill="FFFFFF"/>
          </w:tcPr>
          <w:p w14:paraId="6335A6A0" w14:textId="77777777" w:rsidR="00340844" w:rsidRPr="00F906E9" w:rsidRDefault="00340844" w:rsidP="00340844">
            <w:pPr>
              <w:snapToGrid w:val="0"/>
              <w:spacing w:before="40" w:after="40" w:line="240" w:lineRule="auto"/>
              <w:jc w:val="left"/>
              <w:rPr>
                <w:b/>
                <w:bCs/>
                <w:color w:val="000000"/>
                <w:sz w:val="16"/>
                <w:szCs w:val="16"/>
              </w:rPr>
            </w:pPr>
            <w:r w:rsidRPr="00F906E9">
              <w:rPr>
                <w:b/>
                <w:bCs/>
                <w:color w:val="000000"/>
                <w:sz w:val="16"/>
                <w:szCs w:val="16"/>
              </w:rPr>
              <w:t>Gesellschafterstruktur</w:t>
            </w:r>
          </w:p>
        </w:tc>
        <w:tc>
          <w:tcPr>
            <w:tcW w:w="633" w:type="pct"/>
            <w:tcBorders>
              <w:top w:val="nil"/>
              <w:left w:val="nil"/>
              <w:right w:val="nil"/>
            </w:tcBorders>
            <w:shd w:val="clear" w:color="000000" w:fill="FFFFFF"/>
            <w:noWrap/>
          </w:tcPr>
          <w:p w14:paraId="1C462FFA"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4BAB5A38"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4" w:type="pct"/>
            <w:tcBorders>
              <w:top w:val="nil"/>
              <w:left w:val="nil"/>
              <w:right w:val="nil"/>
            </w:tcBorders>
            <w:shd w:val="clear" w:color="000000" w:fill="FFFFFF"/>
          </w:tcPr>
          <w:p w14:paraId="07B0EC5D"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29687358"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271DBC5B"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3ACFAA2D" w14:textId="77777777"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5B388210" w14:textId="77777777" w:rsidTr="001564E0">
        <w:trPr>
          <w:trHeight w:val="20"/>
          <w:jc w:val="center"/>
        </w:trPr>
        <w:tc>
          <w:tcPr>
            <w:tcW w:w="1201" w:type="pct"/>
            <w:tcBorders>
              <w:top w:val="nil"/>
              <w:left w:val="nil"/>
              <w:right w:val="nil"/>
            </w:tcBorders>
            <w:shd w:val="clear" w:color="000000" w:fill="FFFFFF"/>
          </w:tcPr>
          <w:p w14:paraId="2F1F804A" w14:textId="77777777" w:rsidR="00340844" w:rsidRPr="00FC4EB7"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VC / BA</w:t>
            </w:r>
          </w:p>
        </w:tc>
        <w:tc>
          <w:tcPr>
            <w:tcW w:w="633" w:type="pct"/>
            <w:tcBorders>
              <w:top w:val="nil"/>
              <w:left w:val="nil"/>
              <w:right w:val="nil"/>
            </w:tcBorders>
            <w:shd w:val="clear" w:color="000000" w:fill="FFFFFF"/>
            <w:noWrap/>
          </w:tcPr>
          <w:p w14:paraId="668964F5" w14:textId="38E15195"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1</w:t>
            </w:r>
            <w:r>
              <w:rPr>
                <w:rFonts w:cs="Times New Roman"/>
                <w:sz w:val="16"/>
                <w:szCs w:val="16"/>
              </w:rPr>
              <w:t>,</w:t>
            </w:r>
            <w:r w:rsidRPr="001564E0">
              <w:rPr>
                <w:rFonts w:cs="Times New Roman"/>
                <w:sz w:val="16"/>
                <w:szCs w:val="16"/>
              </w:rPr>
              <w:t>115**</w:t>
            </w:r>
            <w:r w:rsidRPr="001564E0">
              <w:rPr>
                <w:rFonts w:cs="Times New Roman"/>
                <w:sz w:val="16"/>
                <w:szCs w:val="16"/>
              </w:rPr>
              <w:br/>
              <w:t>(0</w:t>
            </w:r>
            <w:r>
              <w:rPr>
                <w:rFonts w:cs="Times New Roman"/>
                <w:sz w:val="16"/>
                <w:szCs w:val="16"/>
              </w:rPr>
              <w:t>,</w:t>
            </w:r>
            <w:r w:rsidRPr="001564E0">
              <w:rPr>
                <w:rFonts w:cs="Times New Roman"/>
                <w:sz w:val="16"/>
                <w:szCs w:val="16"/>
              </w:rPr>
              <w:t>517)</w:t>
            </w:r>
          </w:p>
        </w:tc>
        <w:tc>
          <w:tcPr>
            <w:tcW w:w="633" w:type="pct"/>
            <w:tcBorders>
              <w:top w:val="nil"/>
              <w:left w:val="nil"/>
              <w:right w:val="nil"/>
            </w:tcBorders>
            <w:shd w:val="clear" w:color="000000" w:fill="FFFFFF"/>
          </w:tcPr>
          <w:p w14:paraId="3FF2EF2F" w14:textId="6A3F390C"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435</w:t>
            </w:r>
            <w:r w:rsidRPr="001564E0">
              <w:rPr>
                <w:rFonts w:cs="Times New Roman"/>
                <w:sz w:val="16"/>
                <w:szCs w:val="16"/>
              </w:rPr>
              <w:br/>
              <w:t>(0</w:t>
            </w:r>
            <w:r>
              <w:rPr>
                <w:rFonts w:cs="Times New Roman"/>
                <w:sz w:val="16"/>
                <w:szCs w:val="16"/>
              </w:rPr>
              <w:t>,</w:t>
            </w:r>
            <w:r w:rsidRPr="001564E0">
              <w:rPr>
                <w:rFonts w:cs="Times New Roman"/>
                <w:sz w:val="16"/>
                <w:szCs w:val="16"/>
              </w:rPr>
              <w:t>574)</w:t>
            </w:r>
          </w:p>
        </w:tc>
        <w:tc>
          <w:tcPr>
            <w:tcW w:w="634" w:type="pct"/>
            <w:tcBorders>
              <w:top w:val="nil"/>
              <w:left w:val="nil"/>
              <w:right w:val="nil"/>
            </w:tcBorders>
            <w:shd w:val="clear" w:color="000000" w:fill="FFFFFF"/>
          </w:tcPr>
          <w:p w14:paraId="65CEB24B" w14:textId="19AE5524"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982**</w:t>
            </w:r>
            <w:r w:rsidRPr="001564E0">
              <w:rPr>
                <w:rFonts w:cs="Times New Roman"/>
                <w:sz w:val="16"/>
                <w:szCs w:val="16"/>
              </w:rPr>
              <w:br/>
              <w:t>(0</w:t>
            </w:r>
            <w:r>
              <w:rPr>
                <w:rFonts w:cs="Times New Roman"/>
                <w:sz w:val="16"/>
                <w:szCs w:val="16"/>
              </w:rPr>
              <w:t>,</w:t>
            </w:r>
            <w:r w:rsidRPr="001564E0">
              <w:rPr>
                <w:rFonts w:cs="Times New Roman"/>
                <w:sz w:val="16"/>
                <w:szCs w:val="16"/>
              </w:rPr>
              <w:t>486)</w:t>
            </w:r>
          </w:p>
        </w:tc>
        <w:tc>
          <w:tcPr>
            <w:tcW w:w="633" w:type="pct"/>
            <w:tcBorders>
              <w:top w:val="nil"/>
              <w:left w:val="nil"/>
              <w:right w:val="nil"/>
            </w:tcBorders>
            <w:shd w:val="clear" w:color="000000" w:fill="FFFFFF"/>
          </w:tcPr>
          <w:p w14:paraId="459AC761" w14:textId="60913722"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436</w:t>
            </w:r>
            <w:r w:rsidRPr="001564E0">
              <w:rPr>
                <w:rFonts w:cs="Times New Roman"/>
                <w:sz w:val="16"/>
                <w:szCs w:val="16"/>
              </w:rPr>
              <w:br/>
              <w:t>(0</w:t>
            </w:r>
            <w:r>
              <w:rPr>
                <w:rFonts w:cs="Times New Roman"/>
                <w:sz w:val="16"/>
                <w:szCs w:val="16"/>
              </w:rPr>
              <w:t>,</w:t>
            </w:r>
            <w:r w:rsidRPr="001564E0">
              <w:rPr>
                <w:rFonts w:cs="Times New Roman"/>
                <w:sz w:val="16"/>
                <w:szCs w:val="16"/>
              </w:rPr>
              <w:t>529)</w:t>
            </w:r>
          </w:p>
        </w:tc>
        <w:tc>
          <w:tcPr>
            <w:tcW w:w="633" w:type="pct"/>
            <w:tcBorders>
              <w:top w:val="nil"/>
              <w:left w:val="nil"/>
              <w:right w:val="nil"/>
            </w:tcBorders>
            <w:shd w:val="clear" w:color="000000" w:fill="FFFFFF"/>
          </w:tcPr>
          <w:p w14:paraId="5DDFAFCD" w14:textId="79E8A597"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973**</w:t>
            </w:r>
            <w:r w:rsidRPr="001564E0">
              <w:rPr>
                <w:rFonts w:cs="Times New Roman"/>
                <w:sz w:val="16"/>
                <w:szCs w:val="16"/>
              </w:rPr>
              <w:br/>
              <w:t>(0</w:t>
            </w:r>
            <w:r>
              <w:rPr>
                <w:rFonts w:cs="Times New Roman"/>
                <w:sz w:val="16"/>
                <w:szCs w:val="16"/>
              </w:rPr>
              <w:t>,</w:t>
            </w:r>
            <w:r w:rsidRPr="001564E0">
              <w:rPr>
                <w:rFonts w:cs="Times New Roman"/>
                <w:sz w:val="16"/>
                <w:szCs w:val="16"/>
              </w:rPr>
              <w:t>390)</w:t>
            </w:r>
          </w:p>
        </w:tc>
        <w:tc>
          <w:tcPr>
            <w:tcW w:w="633" w:type="pct"/>
            <w:tcBorders>
              <w:top w:val="nil"/>
              <w:left w:val="nil"/>
              <w:right w:val="nil"/>
            </w:tcBorders>
            <w:shd w:val="clear" w:color="000000" w:fill="FFFFFF"/>
          </w:tcPr>
          <w:p w14:paraId="696823F6" w14:textId="205A11BE"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5D1BAC2E" w14:textId="77777777" w:rsidTr="001564E0">
        <w:trPr>
          <w:trHeight w:val="20"/>
          <w:jc w:val="center"/>
        </w:trPr>
        <w:tc>
          <w:tcPr>
            <w:tcW w:w="1201" w:type="pct"/>
            <w:tcBorders>
              <w:top w:val="nil"/>
              <w:left w:val="nil"/>
              <w:right w:val="nil"/>
            </w:tcBorders>
            <w:shd w:val="clear" w:color="000000" w:fill="FFFFFF"/>
          </w:tcPr>
          <w:p w14:paraId="21E276A8" w14:textId="77777777" w:rsidR="00340844" w:rsidRPr="00FC4EB7" w:rsidRDefault="00340844" w:rsidP="001A4E15">
            <w:pPr>
              <w:pStyle w:val="Listenabsatz"/>
              <w:numPr>
                <w:ilvl w:val="0"/>
                <w:numId w:val="10"/>
              </w:numPr>
              <w:snapToGrid w:val="0"/>
              <w:spacing w:before="40" w:after="40" w:line="240" w:lineRule="auto"/>
              <w:ind w:left="142" w:hanging="142"/>
              <w:jc w:val="left"/>
              <w:rPr>
                <w:color w:val="000000"/>
                <w:sz w:val="16"/>
                <w:szCs w:val="16"/>
              </w:rPr>
            </w:pPr>
            <w:r w:rsidRPr="00FC4EB7">
              <w:rPr>
                <w:color w:val="000000"/>
                <w:sz w:val="16"/>
                <w:szCs w:val="16"/>
              </w:rPr>
              <w:t xml:space="preserve">Familie </w:t>
            </w:r>
            <w:r>
              <w:rPr>
                <w:color w:val="000000"/>
                <w:sz w:val="16"/>
                <w:szCs w:val="16"/>
              </w:rPr>
              <w:t>/</w:t>
            </w:r>
            <w:r w:rsidRPr="00FC4EB7">
              <w:rPr>
                <w:color w:val="000000"/>
                <w:sz w:val="16"/>
                <w:szCs w:val="16"/>
              </w:rPr>
              <w:t xml:space="preserve"> Entrepreneur</w:t>
            </w:r>
          </w:p>
        </w:tc>
        <w:tc>
          <w:tcPr>
            <w:tcW w:w="633" w:type="pct"/>
            <w:tcBorders>
              <w:top w:val="nil"/>
              <w:left w:val="nil"/>
              <w:right w:val="nil"/>
            </w:tcBorders>
            <w:shd w:val="clear" w:color="000000" w:fill="FFFFFF"/>
            <w:noWrap/>
          </w:tcPr>
          <w:p w14:paraId="07EED284" w14:textId="1C5D9BCF"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830***</w:t>
            </w:r>
            <w:r w:rsidRPr="001564E0">
              <w:rPr>
                <w:rFonts w:cs="Times New Roman"/>
                <w:sz w:val="16"/>
                <w:szCs w:val="16"/>
              </w:rPr>
              <w:br/>
              <w:t>(0</w:t>
            </w:r>
            <w:r>
              <w:rPr>
                <w:rFonts w:cs="Times New Roman"/>
                <w:sz w:val="16"/>
                <w:szCs w:val="16"/>
              </w:rPr>
              <w:t>,</w:t>
            </w:r>
            <w:r w:rsidRPr="001564E0">
              <w:rPr>
                <w:rFonts w:cs="Times New Roman"/>
                <w:sz w:val="16"/>
                <w:szCs w:val="16"/>
              </w:rPr>
              <w:t>258)</w:t>
            </w:r>
          </w:p>
        </w:tc>
        <w:tc>
          <w:tcPr>
            <w:tcW w:w="633" w:type="pct"/>
            <w:tcBorders>
              <w:top w:val="nil"/>
              <w:left w:val="nil"/>
              <w:right w:val="nil"/>
            </w:tcBorders>
            <w:shd w:val="clear" w:color="000000" w:fill="FFFFFF"/>
          </w:tcPr>
          <w:p w14:paraId="700ED05E" w14:textId="41668447" w:rsidR="00340844" w:rsidRPr="001564E0" w:rsidRDefault="00340844" w:rsidP="00340844">
            <w:pPr>
              <w:snapToGrid w:val="0"/>
              <w:spacing w:before="40" w:after="40" w:line="240" w:lineRule="auto"/>
              <w:jc w:val="left"/>
              <w:rPr>
                <w:rFonts w:cs="Times New Roman"/>
                <w:color w:val="000000"/>
                <w:spacing w:val="-4"/>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488**</w:t>
            </w:r>
            <w:r w:rsidRPr="001564E0">
              <w:rPr>
                <w:rFonts w:cs="Times New Roman"/>
                <w:sz w:val="16"/>
                <w:szCs w:val="16"/>
              </w:rPr>
              <w:br/>
              <w:t>(0</w:t>
            </w:r>
            <w:r>
              <w:rPr>
                <w:rFonts w:cs="Times New Roman"/>
                <w:sz w:val="16"/>
                <w:szCs w:val="16"/>
              </w:rPr>
              <w:t>,</w:t>
            </w:r>
            <w:r w:rsidRPr="001564E0">
              <w:rPr>
                <w:rFonts w:cs="Times New Roman"/>
                <w:sz w:val="16"/>
                <w:szCs w:val="16"/>
              </w:rPr>
              <w:t>249)</w:t>
            </w:r>
          </w:p>
        </w:tc>
        <w:tc>
          <w:tcPr>
            <w:tcW w:w="634" w:type="pct"/>
            <w:tcBorders>
              <w:top w:val="nil"/>
              <w:left w:val="nil"/>
              <w:right w:val="nil"/>
            </w:tcBorders>
            <w:shd w:val="clear" w:color="000000" w:fill="FFFFFF"/>
          </w:tcPr>
          <w:p w14:paraId="035C8BC1" w14:textId="698502B3" w:rsidR="00340844" w:rsidRPr="001564E0" w:rsidRDefault="00340844" w:rsidP="00340844">
            <w:pPr>
              <w:snapToGrid w:val="0"/>
              <w:spacing w:before="40" w:after="40" w:line="240" w:lineRule="auto"/>
              <w:jc w:val="left"/>
              <w:rPr>
                <w:rFonts w:cs="Times New Roman"/>
                <w:color w:val="000000"/>
                <w:spacing w:val="-4"/>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577**</w:t>
            </w:r>
            <w:r w:rsidRPr="001564E0">
              <w:rPr>
                <w:rFonts w:cs="Times New Roman"/>
                <w:sz w:val="16"/>
                <w:szCs w:val="16"/>
              </w:rPr>
              <w:br/>
              <w:t>(0</w:t>
            </w:r>
            <w:r>
              <w:rPr>
                <w:rFonts w:cs="Times New Roman"/>
                <w:sz w:val="16"/>
                <w:szCs w:val="16"/>
              </w:rPr>
              <w:t>,</w:t>
            </w:r>
            <w:r w:rsidRPr="001564E0">
              <w:rPr>
                <w:rFonts w:cs="Times New Roman"/>
                <w:sz w:val="16"/>
                <w:szCs w:val="16"/>
              </w:rPr>
              <w:t>244)</w:t>
            </w:r>
          </w:p>
        </w:tc>
        <w:tc>
          <w:tcPr>
            <w:tcW w:w="633" w:type="pct"/>
            <w:tcBorders>
              <w:top w:val="nil"/>
              <w:left w:val="nil"/>
              <w:right w:val="nil"/>
            </w:tcBorders>
            <w:shd w:val="clear" w:color="000000" w:fill="FFFFFF"/>
          </w:tcPr>
          <w:p w14:paraId="106A2A48" w14:textId="16AB03E0" w:rsidR="00340844" w:rsidRPr="001564E0" w:rsidRDefault="00340844" w:rsidP="00340844">
            <w:pPr>
              <w:snapToGrid w:val="0"/>
              <w:spacing w:before="40" w:after="40" w:line="240" w:lineRule="auto"/>
              <w:jc w:val="left"/>
              <w:rPr>
                <w:rFonts w:cs="Times New Roman"/>
                <w:color w:val="000000"/>
                <w:spacing w:val="-4"/>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424*</w:t>
            </w:r>
            <w:r w:rsidRPr="001564E0">
              <w:rPr>
                <w:rFonts w:cs="Times New Roman"/>
                <w:sz w:val="16"/>
                <w:szCs w:val="16"/>
              </w:rPr>
              <w:br/>
              <w:t>(0</w:t>
            </w:r>
            <w:r>
              <w:rPr>
                <w:rFonts w:cs="Times New Roman"/>
                <w:sz w:val="16"/>
                <w:szCs w:val="16"/>
              </w:rPr>
              <w:t>,</w:t>
            </w:r>
            <w:r w:rsidRPr="001564E0">
              <w:rPr>
                <w:rFonts w:cs="Times New Roman"/>
                <w:sz w:val="16"/>
                <w:szCs w:val="16"/>
              </w:rPr>
              <w:t>248)</w:t>
            </w:r>
          </w:p>
        </w:tc>
        <w:tc>
          <w:tcPr>
            <w:tcW w:w="633" w:type="pct"/>
            <w:tcBorders>
              <w:top w:val="nil"/>
              <w:left w:val="nil"/>
              <w:right w:val="nil"/>
            </w:tcBorders>
            <w:shd w:val="clear" w:color="000000" w:fill="FFFFFF"/>
          </w:tcPr>
          <w:p w14:paraId="53E4C45A" w14:textId="1CC26D92" w:rsidR="00340844" w:rsidRPr="001564E0" w:rsidRDefault="00340844" w:rsidP="00340844">
            <w:pPr>
              <w:snapToGrid w:val="0"/>
              <w:spacing w:before="40" w:after="40" w:line="240" w:lineRule="auto"/>
              <w:jc w:val="left"/>
              <w:rPr>
                <w:rFonts w:cs="Times New Roman"/>
                <w:color w:val="000000"/>
                <w:spacing w:val="-4"/>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118</w:t>
            </w:r>
            <w:r w:rsidRPr="001564E0">
              <w:rPr>
                <w:rFonts w:cs="Times New Roman"/>
                <w:sz w:val="16"/>
                <w:szCs w:val="16"/>
              </w:rPr>
              <w:br/>
              <w:t>(0</w:t>
            </w:r>
            <w:r>
              <w:rPr>
                <w:rFonts w:cs="Times New Roman"/>
                <w:sz w:val="16"/>
                <w:szCs w:val="16"/>
              </w:rPr>
              <w:t>,</w:t>
            </w:r>
            <w:r w:rsidRPr="001564E0">
              <w:rPr>
                <w:rFonts w:cs="Times New Roman"/>
                <w:sz w:val="16"/>
                <w:szCs w:val="16"/>
              </w:rPr>
              <w:t>192)</w:t>
            </w:r>
          </w:p>
        </w:tc>
        <w:tc>
          <w:tcPr>
            <w:tcW w:w="633" w:type="pct"/>
            <w:tcBorders>
              <w:top w:val="nil"/>
              <w:left w:val="nil"/>
              <w:right w:val="nil"/>
            </w:tcBorders>
            <w:shd w:val="clear" w:color="000000" w:fill="FFFFFF"/>
          </w:tcPr>
          <w:p w14:paraId="0A4D9361" w14:textId="3A676650" w:rsidR="00340844" w:rsidRPr="00694C51" w:rsidRDefault="00340844" w:rsidP="00340844">
            <w:pPr>
              <w:snapToGrid w:val="0"/>
              <w:spacing w:before="40" w:after="40" w:line="240" w:lineRule="auto"/>
              <w:jc w:val="left"/>
              <w:rPr>
                <w:rFonts w:cs="Times New Roman"/>
                <w:color w:val="000000"/>
                <w:spacing w:val="-4"/>
                <w:sz w:val="16"/>
                <w:szCs w:val="16"/>
              </w:rPr>
            </w:pPr>
          </w:p>
        </w:tc>
      </w:tr>
      <w:tr w:rsidR="00340844" w:rsidRPr="00FC4EB7" w14:paraId="232F91BF" w14:textId="77777777" w:rsidTr="001564E0">
        <w:trPr>
          <w:trHeight w:val="20"/>
          <w:jc w:val="center"/>
        </w:trPr>
        <w:tc>
          <w:tcPr>
            <w:tcW w:w="1201" w:type="pct"/>
            <w:tcBorders>
              <w:top w:val="nil"/>
              <w:left w:val="nil"/>
              <w:right w:val="nil"/>
            </w:tcBorders>
            <w:shd w:val="clear" w:color="000000" w:fill="FFFFFF"/>
          </w:tcPr>
          <w:p w14:paraId="09A9468B" w14:textId="77777777" w:rsidR="00340844" w:rsidRPr="00FC4EB7"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Sonstige</w:t>
            </w:r>
          </w:p>
        </w:tc>
        <w:tc>
          <w:tcPr>
            <w:tcW w:w="633" w:type="pct"/>
            <w:tcBorders>
              <w:top w:val="nil"/>
              <w:left w:val="nil"/>
              <w:right w:val="nil"/>
            </w:tcBorders>
            <w:shd w:val="clear" w:color="000000" w:fill="FFFFFF"/>
            <w:noWrap/>
          </w:tcPr>
          <w:p w14:paraId="3E03F034" w14:textId="7E997A41"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436</w:t>
            </w:r>
            <w:r w:rsidRPr="001564E0">
              <w:rPr>
                <w:rFonts w:cs="Times New Roman"/>
                <w:sz w:val="16"/>
                <w:szCs w:val="16"/>
              </w:rPr>
              <w:br/>
              <w:t>(0</w:t>
            </w:r>
            <w:r>
              <w:rPr>
                <w:rFonts w:cs="Times New Roman"/>
                <w:sz w:val="16"/>
                <w:szCs w:val="16"/>
              </w:rPr>
              <w:t>,</w:t>
            </w:r>
            <w:r w:rsidRPr="001564E0">
              <w:rPr>
                <w:rFonts w:cs="Times New Roman"/>
                <w:sz w:val="16"/>
                <w:szCs w:val="16"/>
              </w:rPr>
              <w:t>310)</w:t>
            </w:r>
          </w:p>
        </w:tc>
        <w:tc>
          <w:tcPr>
            <w:tcW w:w="633" w:type="pct"/>
            <w:tcBorders>
              <w:top w:val="nil"/>
              <w:left w:val="nil"/>
              <w:right w:val="nil"/>
            </w:tcBorders>
            <w:shd w:val="clear" w:color="000000" w:fill="FFFFFF"/>
          </w:tcPr>
          <w:p w14:paraId="3822CD16" w14:textId="74892162"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325</w:t>
            </w:r>
            <w:r w:rsidRPr="001564E0">
              <w:rPr>
                <w:rFonts w:cs="Times New Roman"/>
                <w:sz w:val="16"/>
                <w:szCs w:val="16"/>
              </w:rPr>
              <w:br/>
              <w:t>(0</w:t>
            </w:r>
            <w:r>
              <w:rPr>
                <w:rFonts w:cs="Times New Roman"/>
                <w:sz w:val="16"/>
                <w:szCs w:val="16"/>
              </w:rPr>
              <w:t>,</w:t>
            </w:r>
            <w:r w:rsidRPr="001564E0">
              <w:rPr>
                <w:rFonts w:cs="Times New Roman"/>
                <w:sz w:val="16"/>
                <w:szCs w:val="16"/>
              </w:rPr>
              <w:t>298)</w:t>
            </w:r>
          </w:p>
        </w:tc>
        <w:tc>
          <w:tcPr>
            <w:tcW w:w="634" w:type="pct"/>
            <w:tcBorders>
              <w:top w:val="nil"/>
              <w:left w:val="nil"/>
              <w:right w:val="nil"/>
            </w:tcBorders>
            <w:shd w:val="clear" w:color="000000" w:fill="FFFFFF"/>
          </w:tcPr>
          <w:p w14:paraId="2A22A8CC" w14:textId="1DDC8A6E"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457</w:t>
            </w:r>
            <w:r w:rsidRPr="001564E0">
              <w:rPr>
                <w:rFonts w:cs="Times New Roman"/>
                <w:sz w:val="16"/>
                <w:szCs w:val="16"/>
              </w:rPr>
              <w:br/>
              <w:t>(0</w:t>
            </w:r>
            <w:r>
              <w:rPr>
                <w:rFonts w:cs="Times New Roman"/>
                <w:sz w:val="16"/>
                <w:szCs w:val="16"/>
              </w:rPr>
              <w:t>,</w:t>
            </w:r>
            <w:r w:rsidRPr="001564E0">
              <w:rPr>
                <w:rFonts w:cs="Times New Roman"/>
                <w:sz w:val="16"/>
                <w:szCs w:val="16"/>
              </w:rPr>
              <w:t>328)</w:t>
            </w:r>
          </w:p>
        </w:tc>
        <w:tc>
          <w:tcPr>
            <w:tcW w:w="633" w:type="pct"/>
            <w:tcBorders>
              <w:top w:val="nil"/>
              <w:left w:val="nil"/>
              <w:right w:val="nil"/>
            </w:tcBorders>
            <w:shd w:val="clear" w:color="000000" w:fill="FFFFFF"/>
          </w:tcPr>
          <w:p w14:paraId="0EB271DB" w14:textId="3D7F17B6"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257</w:t>
            </w:r>
            <w:r w:rsidRPr="001564E0">
              <w:rPr>
                <w:rFonts w:cs="Times New Roman"/>
                <w:sz w:val="16"/>
                <w:szCs w:val="16"/>
              </w:rPr>
              <w:br/>
              <w:t>(0</w:t>
            </w:r>
            <w:r>
              <w:rPr>
                <w:rFonts w:cs="Times New Roman"/>
                <w:sz w:val="16"/>
                <w:szCs w:val="16"/>
              </w:rPr>
              <w:t>,</w:t>
            </w:r>
            <w:r w:rsidRPr="001564E0">
              <w:rPr>
                <w:rFonts w:cs="Times New Roman"/>
                <w:sz w:val="16"/>
                <w:szCs w:val="16"/>
              </w:rPr>
              <w:t>297)</w:t>
            </w:r>
          </w:p>
        </w:tc>
        <w:tc>
          <w:tcPr>
            <w:tcW w:w="633" w:type="pct"/>
            <w:tcBorders>
              <w:top w:val="nil"/>
              <w:left w:val="nil"/>
              <w:right w:val="nil"/>
            </w:tcBorders>
            <w:shd w:val="clear" w:color="000000" w:fill="FFFFFF"/>
          </w:tcPr>
          <w:p w14:paraId="6EC68691" w14:textId="1A16B887"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457*</w:t>
            </w:r>
            <w:r w:rsidRPr="001564E0">
              <w:rPr>
                <w:rFonts w:cs="Times New Roman"/>
                <w:sz w:val="16"/>
                <w:szCs w:val="16"/>
              </w:rPr>
              <w:br/>
              <w:t>(0</w:t>
            </w:r>
            <w:r>
              <w:rPr>
                <w:rFonts w:cs="Times New Roman"/>
                <w:sz w:val="16"/>
                <w:szCs w:val="16"/>
              </w:rPr>
              <w:t>,</w:t>
            </w:r>
            <w:r w:rsidRPr="001564E0">
              <w:rPr>
                <w:rFonts w:cs="Times New Roman"/>
                <w:sz w:val="16"/>
                <w:szCs w:val="16"/>
              </w:rPr>
              <w:t>256)</w:t>
            </w:r>
          </w:p>
        </w:tc>
        <w:tc>
          <w:tcPr>
            <w:tcW w:w="633" w:type="pct"/>
            <w:tcBorders>
              <w:top w:val="nil"/>
              <w:left w:val="nil"/>
              <w:right w:val="nil"/>
            </w:tcBorders>
            <w:shd w:val="clear" w:color="000000" w:fill="FFFFFF"/>
          </w:tcPr>
          <w:p w14:paraId="512568BA" w14:textId="2BCCDF0F"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601EB25E" w14:textId="77777777" w:rsidTr="001564E0">
        <w:trPr>
          <w:trHeight w:val="20"/>
          <w:jc w:val="center"/>
        </w:trPr>
        <w:tc>
          <w:tcPr>
            <w:tcW w:w="1201" w:type="pct"/>
            <w:tcBorders>
              <w:top w:val="nil"/>
              <w:left w:val="nil"/>
              <w:right w:val="nil"/>
            </w:tcBorders>
            <w:shd w:val="clear" w:color="000000" w:fill="FFFFFF"/>
          </w:tcPr>
          <w:p w14:paraId="72F70E9F" w14:textId="77777777" w:rsidR="00340844" w:rsidRPr="00FC4EB7"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Einzelperson</w:t>
            </w:r>
          </w:p>
        </w:tc>
        <w:tc>
          <w:tcPr>
            <w:tcW w:w="633" w:type="pct"/>
            <w:tcBorders>
              <w:top w:val="nil"/>
              <w:left w:val="nil"/>
              <w:right w:val="nil"/>
            </w:tcBorders>
            <w:shd w:val="clear" w:color="000000" w:fill="FFFFFF"/>
            <w:noWrap/>
          </w:tcPr>
          <w:p w14:paraId="0AF8D97C" w14:textId="0FDB81FC"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770***</w:t>
            </w:r>
            <w:r w:rsidRPr="001564E0">
              <w:rPr>
                <w:rFonts w:cs="Times New Roman"/>
                <w:sz w:val="16"/>
                <w:szCs w:val="16"/>
              </w:rPr>
              <w:br/>
              <w:t>(0</w:t>
            </w:r>
            <w:r>
              <w:rPr>
                <w:rFonts w:cs="Times New Roman"/>
                <w:sz w:val="16"/>
                <w:szCs w:val="16"/>
              </w:rPr>
              <w:t>,</w:t>
            </w:r>
            <w:r w:rsidRPr="001564E0">
              <w:rPr>
                <w:rFonts w:cs="Times New Roman"/>
                <w:sz w:val="16"/>
                <w:szCs w:val="16"/>
              </w:rPr>
              <w:t>257)</w:t>
            </w:r>
          </w:p>
        </w:tc>
        <w:tc>
          <w:tcPr>
            <w:tcW w:w="633" w:type="pct"/>
            <w:tcBorders>
              <w:top w:val="nil"/>
              <w:left w:val="nil"/>
              <w:right w:val="nil"/>
            </w:tcBorders>
            <w:shd w:val="clear" w:color="000000" w:fill="FFFFFF"/>
          </w:tcPr>
          <w:p w14:paraId="07BC16EF" w14:textId="69A70A53"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345</w:t>
            </w:r>
            <w:r w:rsidRPr="001564E0">
              <w:rPr>
                <w:rFonts w:cs="Times New Roman"/>
                <w:sz w:val="16"/>
                <w:szCs w:val="16"/>
              </w:rPr>
              <w:br/>
              <w:t>(0</w:t>
            </w:r>
            <w:r>
              <w:rPr>
                <w:rFonts w:cs="Times New Roman"/>
                <w:sz w:val="16"/>
                <w:szCs w:val="16"/>
              </w:rPr>
              <w:t>,</w:t>
            </w:r>
            <w:r w:rsidRPr="001564E0">
              <w:rPr>
                <w:rFonts w:cs="Times New Roman"/>
                <w:sz w:val="16"/>
                <w:szCs w:val="16"/>
              </w:rPr>
              <w:t>249)</w:t>
            </w:r>
          </w:p>
        </w:tc>
        <w:tc>
          <w:tcPr>
            <w:tcW w:w="634" w:type="pct"/>
            <w:tcBorders>
              <w:top w:val="nil"/>
              <w:left w:val="nil"/>
              <w:right w:val="nil"/>
            </w:tcBorders>
            <w:shd w:val="clear" w:color="000000" w:fill="FFFFFF"/>
          </w:tcPr>
          <w:p w14:paraId="55C87ABB" w14:textId="4C7E911F"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263</w:t>
            </w:r>
            <w:r w:rsidRPr="001564E0">
              <w:rPr>
                <w:rFonts w:cs="Times New Roman"/>
                <w:sz w:val="16"/>
                <w:szCs w:val="16"/>
              </w:rPr>
              <w:br/>
              <w:t>(0</w:t>
            </w:r>
            <w:r>
              <w:rPr>
                <w:rFonts w:cs="Times New Roman"/>
                <w:sz w:val="16"/>
                <w:szCs w:val="16"/>
              </w:rPr>
              <w:t>,</w:t>
            </w:r>
            <w:r w:rsidRPr="001564E0">
              <w:rPr>
                <w:rFonts w:cs="Times New Roman"/>
                <w:sz w:val="16"/>
                <w:szCs w:val="16"/>
              </w:rPr>
              <w:t>245)</w:t>
            </w:r>
          </w:p>
        </w:tc>
        <w:tc>
          <w:tcPr>
            <w:tcW w:w="633" w:type="pct"/>
            <w:tcBorders>
              <w:top w:val="nil"/>
              <w:left w:val="nil"/>
              <w:right w:val="nil"/>
            </w:tcBorders>
            <w:shd w:val="clear" w:color="000000" w:fill="FFFFFF"/>
          </w:tcPr>
          <w:p w14:paraId="071942B6" w14:textId="2691A26F"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005</w:t>
            </w:r>
            <w:r w:rsidRPr="001564E0">
              <w:rPr>
                <w:rFonts w:cs="Times New Roman"/>
                <w:sz w:val="16"/>
                <w:szCs w:val="16"/>
              </w:rPr>
              <w:br/>
              <w:t>(0</w:t>
            </w:r>
            <w:r>
              <w:rPr>
                <w:rFonts w:cs="Times New Roman"/>
                <w:sz w:val="16"/>
                <w:szCs w:val="16"/>
              </w:rPr>
              <w:t>,</w:t>
            </w:r>
            <w:r w:rsidRPr="001564E0">
              <w:rPr>
                <w:rFonts w:cs="Times New Roman"/>
                <w:sz w:val="16"/>
                <w:szCs w:val="16"/>
              </w:rPr>
              <w:t>251)</w:t>
            </w:r>
          </w:p>
        </w:tc>
        <w:tc>
          <w:tcPr>
            <w:tcW w:w="633" w:type="pct"/>
            <w:tcBorders>
              <w:top w:val="nil"/>
              <w:left w:val="nil"/>
              <w:right w:val="nil"/>
            </w:tcBorders>
            <w:shd w:val="clear" w:color="000000" w:fill="FFFFFF"/>
          </w:tcPr>
          <w:p w14:paraId="6F20ED5F" w14:textId="48D2E7C4"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003</w:t>
            </w:r>
            <w:r w:rsidRPr="001564E0">
              <w:rPr>
                <w:rFonts w:cs="Times New Roman"/>
                <w:sz w:val="16"/>
                <w:szCs w:val="16"/>
              </w:rPr>
              <w:br/>
              <w:t>(0</w:t>
            </w:r>
            <w:r>
              <w:rPr>
                <w:rFonts w:cs="Times New Roman"/>
                <w:sz w:val="16"/>
                <w:szCs w:val="16"/>
              </w:rPr>
              <w:t>,</w:t>
            </w:r>
            <w:r w:rsidRPr="001564E0">
              <w:rPr>
                <w:rFonts w:cs="Times New Roman"/>
                <w:sz w:val="16"/>
                <w:szCs w:val="16"/>
              </w:rPr>
              <w:t>191)</w:t>
            </w:r>
          </w:p>
        </w:tc>
        <w:tc>
          <w:tcPr>
            <w:tcW w:w="633" w:type="pct"/>
            <w:tcBorders>
              <w:top w:val="nil"/>
              <w:left w:val="nil"/>
              <w:right w:val="nil"/>
            </w:tcBorders>
            <w:shd w:val="clear" w:color="000000" w:fill="FFFFFF"/>
          </w:tcPr>
          <w:p w14:paraId="5D3F4AA0" w14:textId="6D960DAD"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65578677" w14:textId="77777777" w:rsidTr="001564E0">
        <w:trPr>
          <w:trHeight w:val="20"/>
          <w:jc w:val="center"/>
        </w:trPr>
        <w:tc>
          <w:tcPr>
            <w:tcW w:w="1201" w:type="pct"/>
            <w:tcBorders>
              <w:top w:val="nil"/>
              <w:left w:val="nil"/>
              <w:right w:val="nil"/>
            </w:tcBorders>
            <w:shd w:val="clear" w:color="000000" w:fill="FFFFFF"/>
          </w:tcPr>
          <w:p w14:paraId="14AD9C9D" w14:textId="77777777" w:rsidR="00340844" w:rsidRPr="00FC4EB7"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Andere Unternehmen / Geschäftspartner</w:t>
            </w:r>
          </w:p>
        </w:tc>
        <w:tc>
          <w:tcPr>
            <w:tcW w:w="633" w:type="pct"/>
            <w:tcBorders>
              <w:top w:val="nil"/>
              <w:left w:val="nil"/>
              <w:right w:val="nil"/>
            </w:tcBorders>
            <w:shd w:val="clear" w:color="000000" w:fill="FFFFFF"/>
            <w:noWrap/>
          </w:tcPr>
          <w:p w14:paraId="635DEC0E" w14:textId="3A885D04"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527**</w:t>
            </w:r>
            <w:r w:rsidRPr="001564E0">
              <w:rPr>
                <w:rFonts w:cs="Times New Roman"/>
                <w:sz w:val="16"/>
                <w:szCs w:val="16"/>
              </w:rPr>
              <w:br/>
              <w:t>(0</w:t>
            </w:r>
            <w:r>
              <w:rPr>
                <w:rFonts w:cs="Times New Roman"/>
                <w:sz w:val="16"/>
                <w:szCs w:val="16"/>
              </w:rPr>
              <w:t>,</w:t>
            </w:r>
            <w:r w:rsidRPr="001564E0">
              <w:rPr>
                <w:rFonts w:cs="Times New Roman"/>
                <w:sz w:val="16"/>
                <w:szCs w:val="16"/>
              </w:rPr>
              <w:t>267)</w:t>
            </w:r>
          </w:p>
        </w:tc>
        <w:tc>
          <w:tcPr>
            <w:tcW w:w="633" w:type="pct"/>
            <w:tcBorders>
              <w:top w:val="nil"/>
              <w:left w:val="nil"/>
              <w:right w:val="nil"/>
            </w:tcBorders>
            <w:shd w:val="clear" w:color="000000" w:fill="FFFFFF"/>
          </w:tcPr>
          <w:p w14:paraId="2535B7B2" w14:textId="75CBE6E0"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425</w:t>
            </w:r>
            <w:r w:rsidRPr="001564E0">
              <w:rPr>
                <w:rFonts w:cs="Times New Roman"/>
                <w:sz w:val="16"/>
                <w:szCs w:val="16"/>
              </w:rPr>
              <w:br/>
              <w:t>(0</w:t>
            </w:r>
            <w:r>
              <w:rPr>
                <w:rFonts w:cs="Times New Roman"/>
                <w:sz w:val="16"/>
                <w:szCs w:val="16"/>
              </w:rPr>
              <w:t>,</w:t>
            </w:r>
            <w:r w:rsidRPr="001564E0">
              <w:rPr>
                <w:rFonts w:cs="Times New Roman"/>
                <w:sz w:val="16"/>
                <w:szCs w:val="16"/>
              </w:rPr>
              <w:t>259)</w:t>
            </w:r>
          </w:p>
        </w:tc>
        <w:tc>
          <w:tcPr>
            <w:tcW w:w="634" w:type="pct"/>
            <w:tcBorders>
              <w:top w:val="nil"/>
              <w:left w:val="nil"/>
              <w:right w:val="nil"/>
            </w:tcBorders>
            <w:shd w:val="clear" w:color="000000" w:fill="FFFFFF"/>
          </w:tcPr>
          <w:p w14:paraId="18D4DCA4" w14:textId="26C50A35"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448*</w:t>
            </w:r>
            <w:r w:rsidRPr="001564E0">
              <w:rPr>
                <w:rFonts w:cs="Times New Roman"/>
                <w:sz w:val="16"/>
                <w:szCs w:val="16"/>
              </w:rPr>
              <w:br/>
              <w:t>(0</w:t>
            </w:r>
            <w:r>
              <w:rPr>
                <w:rFonts w:cs="Times New Roman"/>
                <w:sz w:val="16"/>
                <w:szCs w:val="16"/>
              </w:rPr>
              <w:t>,</w:t>
            </w:r>
            <w:r w:rsidRPr="001564E0">
              <w:rPr>
                <w:rFonts w:cs="Times New Roman"/>
                <w:sz w:val="16"/>
                <w:szCs w:val="16"/>
              </w:rPr>
              <w:t>255)</w:t>
            </w:r>
          </w:p>
        </w:tc>
        <w:tc>
          <w:tcPr>
            <w:tcW w:w="633" w:type="pct"/>
            <w:tcBorders>
              <w:top w:val="nil"/>
              <w:left w:val="nil"/>
              <w:right w:val="nil"/>
            </w:tcBorders>
            <w:shd w:val="clear" w:color="000000" w:fill="FFFFFF"/>
          </w:tcPr>
          <w:p w14:paraId="3921432A" w14:textId="64519F2B"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138</w:t>
            </w:r>
            <w:r w:rsidRPr="001564E0">
              <w:rPr>
                <w:rFonts w:cs="Times New Roman"/>
                <w:sz w:val="16"/>
                <w:szCs w:val="16"/>
              </w:rPr>
              <w:br/>
              <w:t>(0</w:t>
            </w:r>
            <w:r>
              <w:rPr>
                <w:rFonts w:cs="Times New Roman"/>
                <w:sz w:val="16"/>
                <w:szCs w:val="16"/>
              </w:rPr>
              <w:t>,</w:t>
            </w:r>
            <w:r w:rsidRPr="001564E0">
              <w:rPr>
                <w:rFonts w:cs="Times New Roman"/>
                <w:sz w:val="16"/>
                <w:szCs w:val="16"/>
              </w:rPr>
              <w:t>264)</w:t>
            </w:r>
          </w:p>
        </w:tc>
        <w:tc>
          <w:tcPr>
            <w:tcW w:w="633" w:type="pct"/>
            <w:tcBorders>
              <w:top w:val="nil"/>
              <w:left w:val="nil"/>
              <w:right w:val="nil"/>
            </w:tcBorders>
            <w:shd w:val="clear" w:color="000000" w:fill="FFFFFF"/>
          </w:tcPr>
          <w:p w14:paraId="4C1A75F4" w14:textId="7274560B"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067</w:t>
            </w:r>
            <w:r w:rsidRPr="001564E0">
              <w:rPr>
                <w:rFonts w:cs="Times New Roman"/>
                <w:sz w:val="16"/>
                <w:szCs w:val="16"/>
              </w:rPr>
              <w:br/>
              <w:t>(0</w:t>
            </w:r>
            <w:r>
              <w:rPr>
                <w:rFonts w:cs="Times New Roman"/>
                <w:sz w:val="16"/>
                <w:szCs w:val="16"/>
              </w:rPr>
              <w:t>,</w:t>
            </w:r>
            <w:r w:rsidRPr="001564E0">
              <w:rPr>
                <w:rFonts w:cs="Times New Roman"/>
                <w:sz w:val="16"/>
                <w:szCs w:val="16"/>
              </w:rPr>
              <w:t>200)</w:t>
            </w:r>
          </w:p>
        </w:tc>
        <w:tc>
          <w:tcPr>
            <w:tcW w:w="633" w:type="pct"/>
            <w:tcBorders>
              <w:top w:val="nil"/>
              <w:left w:val="nil"/>
              <w:right w:val="nil"/>
            </w:tcBorders>
            <w:shd w:val="clear" w:color="000000" w:fill="FFFFFF"/>
          </w:tcPr>
          <w:p w14:paraId="2E2BE75C" w14:textId="30978DC6"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36B16997" w14:textId="77777777" w:rsidTr="001564E0">
        <w:trPr>
          <w:trHeight w:val="20"/>
          <w:jc w:val="center"/>
        </w:trPr>
        <w:tc>
          <w:tcPr>
            <w:tcW w:w="1201" w:type="pct"/>
            <w:tcBorders>
              <w:top w:val="nil"/>
              <w:left w:val="nil"/>
              <w:right w:val="nil"/>
            </w:tcBorders>
            <w:shd w:val="clear" w:color="000000" w:fill="FFFFFF"/>
          </w:tcPr>
          <w:p w14:paraId="69CE7F76" w14:textId="77777777" w:rsidR="00340844" w:rsidRPr="00FC4EB7"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Öffentliche Aktionäre (Referenzgruppe)</w:t>
            </w:r>
          </w:p>
        </w:tc>
        <w:tc>
          <w:tcPr>
            <w:tcW w:w="633" w:type="pct"/>
            <w:tcBorders>
              <w:top w:val="nil"/>
              <w:left w:val="nil"/>
              <w:right w:val="nil"/>
            </w:tcBorders>
            <w:shd w:val="clear" w:color="000000" w:fill="FFFFFF"/>
            <w:noWrap/>
          </w:tcPr>
          <w:p w14:paraId="31FCB1DA" w14:textId="661C455A"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463FC5D2" w14:textId="659D86B4" w:rsidR="00340844" w:rsidRPr="001564E0" w:rsidRDefault="00340844" w:rsidP="00340844">
            <w:pPr>
              <w:snapToGrid w:val="0"/>
              <w:spacing w:before="40" w:after="40" w:line="240" w:lineRule="auto"/>
              <w:jc w:val="left"/>
              <w:rPr>
                <w:rFonts w:cs="Times New Roman"/>
                <w:color w:val="000000"/>
                <w:sz w:val="16"/>
                <w:szCs w:val="16"/>
              </w:rPr>
            </w:pPr>
          </w:p>
        </w:tc>
        <w:tc>
          <w:tcPr>
            <w:tcW w:w="634" w:type="pct"/>
            <w:tcBorders>
              <w:top w:val="nil"/>
              <w:left w:val="nil"/>
              <w:right w:val="nil"/>
            </w:tcBorders>
            <w:shd w:val="clear" w:color="000000" w:fill="FFFFFF"/>
          </w:tcPr>
          <w:p w14:paraId="1794EA06" w14:textId="67458EA4"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46E2AEC3" w14:textId="727E0EF4"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01574CBB" w14:textId="69109DA0"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0D2745E7" w14:textId="77777777"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1C8EB187" w14:textId="77777777" w:rsidTr="001564E0">
        <w:trPr>
          <w:trHeight w:val="20"/>
          <w:jc w:val="center"/>
        </w:trPr>
        <w:tc>
          <w:tcPr>
            <w:tcW w:w="1201" w:type="pct"/>
            <w:tcBorders>
              <w:top w:val="nil"/>
              <w:left w:val="nil"/>
              <w:right w:val="nil"/>
            </w:tcBorders>
            <w:shd w:val="clear" w:color="000000" w:fill="FFFFFF"/>
          </w:tcPr>
          <w:p w14:paraId="4F2C8D73" w14:textId="77777777" w:rsidR="00340844" w:rsidRPr="00F906E9" w:rsidRDefault="00340844" w:rsidP="00340844">
            <w:pPr>
              <w:snapToGrid w:val="0"/>
              <w:spacing w:before="40" w:after="40" w:line="240" w:lineRule="auto"/>
              <w:jc w:val="left"/>
              <w:rPr>
                <w:b/>
                <w:bCs/>
                <w:color w:val="000000"/>
                <w:sz w:val="16"/>
                <w:szCs w:val="16"/>
              </w:rPr>
            </w:pPr>
            <w:r w:rsidRPr="00F906E9">
              <w:rPr>
                <w:b/>
                <w:bCs/>
                <w:color w:val="000000"/>
                <w:sz w:val="16"/>
                <w:szCs w:val="16"/>
              </w:rPr>
              <w:t>Kapitalposition</w:t>
            </w:r>
          </w:p>
        </w:tc>
        <w:tc>
          <w:tcPr>
            <w:tcW w:w="633" w:type="pct"/>
            <w:tcBorders>
              <w:top w:val="nil"/>
              <w:left w:val="nil"/>
              <w:right w:val="nil"/>
            </w:tcBorders>
            <w:shd w:val="clear" w:color="000000" w:fill="FFFFFF"/>
            <w:noWrap/>
          </w:tcPr>
          <w:p w14:paraId="7B3B50C9" w14:textId="3D7BEE0C"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2D973152" w14:textId="566823EA" w:rsidR="00340844" w:rsidRPr="001564E0" w:rsidRDefault="00340844" w:rsidP="00340844">
            <w:pPr>
              <w:snapToGrid w:val="0"/>
              <w:spacing w:before="40" w:after="40" w:line="240" w:lineRule="auto"/>
              <w:jc w:val="left"/>
              <w:rPr>
                <w:rFonts w:cs="Times New Roman"/>
                <w:color w:val="000000"/>
                <w:sz w:val="16"/>
                <w:szCs w:val="16"/>
              </w:rPr>
            </w:pPr>
          </w:p>
        </w:tc>
        <w:tc>
          <w:tcPr>
            <w:tcW w:w="634" w:type="pct"/>
            <w:tcBorders>
              <w:top w:val="nil"/>
              <w:left w:val="nil"/>
              <w:right w:val="nil"/>
            </w:tcBorders>
            <w:shd w:val="clear" w:color="000000" w:fill="FFFFFF"/>
          </w:tcPr>
          <w:p w14:paraId="1C4BEBD6" w14:textId="7436B4E0"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27A32A70" w14:textId="71C5F2A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399FDF48" w14:textId="51FAE57B"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4545A9C5" w14:textId="77777777"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418E24FB" w14:textId="77777777" w:rsidTr="001564E0">
        <w:trPr>
          <w:trHeight w:val="20"/>
          <w:jc w:val="center"/>
        </w:trPr>
        <w:tc>
          <w:tcPr>
            <w:tcW w:w="1201" w:type="pct"/>
            <w:tcBorders>
              <w:top w:val="nil"/>
              <w:left w:val="nil"/>
              <w:right w:val="nil"/>
            </w:tcBorders>
            <w:shd w:val="clear" w:color="000000" w:fill="FFFFFF"/>
          </w:tcPr>
          <w:p w14:paraId="293D3C0C" w14:textId="77777777" w:rsidR="00340844"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Gestiegen</w:t>
            </w:r>
          </w:p>
        </w:tc>
        <w:tc>
          <w:tcPr>
            <w:tcW w:w="633" w:type="pct"/>
            <w:tcBorders>
              <w:top w:val="nil"/>
              <w:left w:val="nil"/>
              <w:right w:val="nil"/>
            </w:tcBorders>
            <w:shd w:val="clear" w:color="000000" w:fill="FFFFFF"/>
            <w:noWrap/>
          </w:tcPr>
          <w:p w14:paraId="2D354E16" w14:textId="72879DC3"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198</w:t>
            </w:r>
            <w:r w:rsidRPr="001564E0">
              <w:rPr>
                <w:rFonts w:cs="Times New Roman"/>
                <w:sz w:val="16"/>
                <w:szCs w:val="16"/>
              </w:rPr>
              <w:br/>
              <w:t>(0</w:t>
            </w:r>
            <w:r>
              <w:rPr>
                <w:rFonts w:cs="Times New Roman"/>
                <w:sz w:val="16"/>
                <w:szCs w:val="16"/>
              </w:rPr>
              <w:t>,</w:t>
            </w:r>
            <w:r w:rsidRPr="001564E0">
              <w:rPr>
                <w:rFonts w:cs="Times New Roman"/>
                <w:sz w:val="16"/>
                <w:szCs w:val="16"/>
              </w:rPr>
              <w:t>158)</w:t>
            </w:r>
          </w:p>
        </w:tc>
        <w:tc>
          <w:tcPr>
            <w:tcW w:w="633" w:type="pct"/>
            <w:tcBorders>
              <w:top w:val="nil"/>
              <w:left w:val="nil"/>
              <w:right w:val="nil"/>
            </w:tcBorders>
            <w:shd w:val="clear" w:color="000000" w:fill="FFFFFF"/>
          </w:tcPr>
          <w:p w14:paraId="71015E88" w14:textId="0311F2C2"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075</w:t>
            </w:r>
            <w:r w:rsidRPr="001564E0">
              <w:rPr>
                <w:rFonts w:cs="Times New Roman"/>
                <w:sz w:val="16"/>
                <w:szCs w:val="16"/>
              </w:rPr>
              <w:br/>
              <w:t>(0</w:t>
            </w:r>
            <w:r>
              <w:rPr>
                <w:rFonts w:cs="Times New Roman"/>
                <w:sz w:val="16"/>
                <w:szCs w:val="16"/>
              </w:rPr>
              <w:t>,</w:t>
            </w:r>
            <w:r w:rsidRPr="001564E0">
              <w:rPr>
                <w:rFonts w:cs="Times New Roman"/>
                <w:sz w:val="16"/>
                <w:szCs w:val="16"/>
              </w:rPr>
              <w:t>144)</w:t>
            </w:r>
          </w:p>
        </w:tc>
        <w:tc>
          <w:tcPr>
            <w:tcW w:w="634" w:type="pct"/>
            <w:tcBorders>
              <w:top w:val="nil"/>
              <w:left w:val="nil"/>
              <w:right w:val="nil"/>
            </w:tcBorders>
            <w:shd w:val="clear" w:color="000000" w:fill="FFFFFF"/>
          </w:tcPr>
          <w:p w14:paraId="5C947E9E" w14:textId="7F638A42"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239</w:t>
            </w:r>
            <w:r w:rsidRPr="001564E0">
              <w:rPr>
                <w:rFonts w:cs="Times New Roman"/>
                <w:sz w:val="16"/>
                <w:szCs w:val="16"/>
              </w:rPr>
              <w:br/>
              <w:t>(0</w:t>
            </w:r>
            <w:r>
              <w:rPr>
                <w:rFonts w:cs="Times New Roman"/>
                <w:sz w:val="16"/>
                <w:szCs w:val="16"/>
              </w:rPr>
              <w:t>,</w:t>
            </w:r>
            <w:r w:rsidRPr="001564E0">
              <w:rPr>
                <w:rFonts w:cs="Times New Roman"/>
                <w:sz w:val="16"/>
                <w:szCs w:val="16"/>
              </w:rPr>
              <w:t>151)</w:t>
            </w:r>
          </w:p>
        </w:tc>
        <w:tc>
          <w:tcPr>
            <w:tcW w:w="633" w:type="pct"/>
            <w:tcBorders>
              <w:top w:val="nil"/>
              <w:left w:val="nil"/>
              <w:right w:val="nil"/>
            </w:tcBorders>
            <w:shd w:val="clear" w:color="000000" w:fill="FFFFFF"/>
          </w:tcPr>
          <w:p w14:paraId="47CA4CF0" w14:textId="79AFB41F"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203</w:t>
            </w:r>
            <w:r w:rsidRPr="001564E0">
              <w:rPr>
                <w:rFonts w:cs="Times New Roman"/>
                <w:sz w:val="16"/>
                <w:szCs w:val="16"/>
              </w:rPr>
              <w:br/>
              <w:t>(0</w:t>
            </w:r>
            <w:r>
              <w:rPr>
                <w:rFonts w:cs="Times New Roman"/>
                <w:sz w:val="16"/>
                <w:szCs w:val="16"/>
              </w:rPr>
              <w:t>,</w:t>
            </w:r>
            <w:r w:rsidRPr="001564E0">
              <w:rPr>
                <w:rFonts w:cs="Times New Roman"/>
                <w:sz w:val="16"/>
                <w:szCs w:val="16"/>
              </w:rPr>
              <w:t>170)</w:t>
            </w:r>
          </w:p>
        </w:tc>
        <w:tc>
          <w:tcPr>
            <w:tcW w:w="633" w:type="pct"/>
            <w:tcBorders>
              <w:top w:val="nil"/>
              <w:left w:val="nil"/>
              <w:right w:val="nil"/>
            </w:tcBorders>
            <w:shd w:val="clear" w:color="000000" w:fill="FFFFFF"/>
          </w:tcPr>
          <w:p w14:paraId="36F66F5A" w14:textId="4F883E68"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052</w:t>
            </w:r>
            <w:r w:rsidRPr="001564E0">
              <w:rPr>
                <w:rFonts w:cs="Times New Roman"/>
                <w:sz w:val="16"/>
                <w:szCs w:val="16"/>
              </w:rPr>
              <w:br/>
              <w:t>(0</w:t>
            </w:r>
            <w:r>
              <w:rPr>
                <w:rFonts w:cs="Times New Roman"/>
                <w:sz w:val="16"/>
                <w:szCs w:val="16"/>
              </w:rPr>
              <w:t>,</w:t>
            </w:r>
            <w:r w:rsidRPr="001564E0">
              <w:rPr>
                <w:rFonts w:cs="Times New Roman"/>
                <w:sz w:val="16"/>
                <w:szCs w:val="16"/>
              </w:rPr>
              <w:t>143)</w:t>
            </w:r>
          </w:p>
        </w:tc>
        <w:tc>
          <w:tcPr>
            <w:tcW w:w="633" w:type="pct"/>
            <w:tcBorders>
              <w:top w:val="nil"/>
              <w:left w:val="nil"/>
              <w:right w:val="nil"/>
            </w:tcBorders>
            <w:shd w:val="clear" w:color="000000" w:fill="FFFFFF"/>
          </w:tcPr>
          <w:p w14:paraId="271A9335" w14:textId="4126BC5F"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4D936EE6" w14:textId="77777777" w:rsidTr="001564E0">
        <w:trPr>
          <w:trHeight w:val="20"/>
          <w:jc w:val="center"/>
        </w:trPr>
        <w:tc>
          <w:tcPr>
            <w:tcW w:w="1201" w:type="pct"/>
            <w:tcBorders>
              <w:top w:val="nil"/>
              <w:left w:val="nil"/>
              <w:right w:val="nil"/>
            </w:tcBorders>
            <w:shd w:val="clear" w:color="000000" w:fill="FFFFFF"/>
          </w:tcPr>
          <w:p w14:paraId="052D8B07" w14:textId="77777777" w:rsidR="00340844" w:rsidRPr="00FC4EB7"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Unverändert</w:t>
            </w:r>
          </w:p>
        </w:tc>
        <w:tc>
          <w:tcPr>
            <w:tcW w:w="633" w:type="pct"/>
            <w:tcBorders>
              <w:top w:val="nil"/>
              <w:left w:val="nil"/>
              <w:right w:val="nil"/>
            </w:tcBorders>
            <w:shd w:val="clear" w:color="000000" w:fill="FFFFFF"/>
            <w:noWrap/>
          </w:tcPr>
          <w:p w14:paraId="3F3B36DA" w14:textId="68841CAD"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061</w:t>
            </w:r>
            <w:r w:rsidRPr="001564E0">
              <w:rPr>
                <w:rFonts w:cs="Times New Roman"/>
                <w:sz w:val="16"/>
                <w:szCs w:val="16"/>
              </w:rPr>
              <w:br/>
              <w:t>(0</w:t>
            </w:r>
            <w:r>
              <w:rPr>
                <w:rFonts w:cs="Times New Roman"/>
                <w:sz w:val="16"/>
                <w:szCs w:val="16"/>
              </w:rPr>
              <w:t>,</w:t>
            </w:r>
            <w:r w:rsidRPr="001564E0">
              <w:rPr>
                <w:rFonts w:cs="Times New Roman"/>
                <w:sz w:val="16"/>
                <w:szCs w:val="16"/>
              </w:rPr>
              <w:t>143)</w:t>
            </w:r>
          </w:p>
        </w:tc>
        <w:tc>
          <w:tcPr>
            <w:tcW w:w="633" w:type="pct"/>
            <w:tcBorders>
              <w:top w:val="nil"/>
              <w:left w:val="nil"/>
              <w:right w:val="nil"/>
            </w:tcBorders>
            <w:shd w:val="clear" w:color="000000" w:fill="FFFFFF"/>
          </w:tcPr>
          <w:p w14:paraId="5DB42295" w14:textId="621823ED"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208</w:t>
            </w:r>
            <w:r w:rsidRPr="001564E0">
              <w:rPr>
                <w:rFonts w:cs="Times New Roman"/>
                <w:sz w:val="16"/>
                <w:szCs w:val="16"/>
              </w:rPr>
              <w:br/>
              <w:t>(0</w:t>
            </w:r>
            <w:r>
              <w:rPr>
                <w:rFonts w:cs="Times New Roman"/>
                <w:sz w:val="16"/>
                <w:szCs w:val="16"/>
              </w:rPr>
              <w:t>,</w:t>
            </w:r>
            <w:r w:rsidRPr="001564E0">
              <w:rPr>
                <w:rFonts w:cs="Times New Roman"/>
                <w:sz w:val="16"/>
                <w:szCs w:val="16"/>
              </w:rPr>
              <w:t>127)</w:t>
            </w:r>
          </w:p>
        </w:tc>
        <w:tc>
          <w:tcPr>
            <w:tcW w:w="634" w:type="pct"/>
            <w:tcBorders>
              <w:top w:val="nil"/>
              <w:left w:val="nil"/>
              <w:right w:val="nil"/>
            </w:tcBorders>
            <w:shd w:val="clear" w:color="000000" w:fill="FFFFFF"/>
          </w:tcPr>
          <w:p w14:paraId="629FA2B7" w14:textId="22FD7305"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278**</w:t>
            </w:r>
            <w:r w:rsidRPr="001564E0">
              <w:rPr>
                <w:rFonts w:cs="Times New Roman"/>
                <w:sz w:val="16"/>
                <w:szCs w:val="16"/>
              </w:rPr>
              <w:br/>
              <w:t>(0</w:t>
            </w:r>
            <w:r>
              <w:rPr>
                <w:rFonts w:cs="Times New Roman"/>
                <w:sz w:val="16"/>
                <w:szCs w:val="16"/>
              </w:rPr>
              <w:t>,</w:t>
            </w:r>
            <w:r w:rsidRPr="001564E0">
              <w:rPr>
                <w:rFonts w:cs="Times New Roman"/>
                <w:sz w:val="16"/>
                <w:szCs w:val="16"/>
              </w:rPr>
              <w:t>132)</w:t>
            </w:r>
          </w:p>
        </w:tc>
        <w:tc>
          <w:tcPr>
            <w:tcW w:w="633" w:type="pct"/>
            <w:tcBorders>
              <w:top w:val="nil"/>
              <w:left w:val="nil"/>
              <w:right w:val="nil"/>
            </w:tcBorders>
            <w:shd w:val="clear" w:color="000000" w:fill="FFFFFF"/>
          </w:tcPr>
          <w:p w14:paraId="21323899" w14:textId="05D45151"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168</w:t>
            </w:r>
            <w:r w:rsidRPr="001564E0">
              <w:rPr>
                <w:rFonts w:cs="Times New Roman"/>
                <w:sz w:val="16"/>
                <w:szCs w:val="16"/>
              </w:rPr>
              <w:br/>
              <w:t>(0</w:t>
            </w:r>
            <w:r>
              <w:rPr>
                <w:rFonts w:cs="Times New Roman"/>
                <w:sz w:val="16"/>
                <w:szCs w:val="16"/>
              </w:rPr>
              <w:t>,</w:t>
            </w:r>
            <w:r w:rsidRPr="001564E0">
              <w:rPr>
                <w:rFonts w:cs="Times New Roman"/>
                <w:sz w:val="16"/>
                <w:szCs w:val="16"/>
              </w:rPr>
              <w:t>155)</w:t>
            </w:r>
          </w:p>
        </w:tc>
        <w:tc>
          <w:tcPr>
            <w:tcW w:w="633" w:type="pct"/>
            <w:tcBorders>
              <w:top w:val="nil"/>
              <w:left w:val="nil"/>
              <w:right w:val="nil"/>
            </w:tcBorders>
            <w:shd w:val="clear" w:color="000000" w:fill="FFFFFF"/>
          </w:tcPr>
          <w:p w14:paraId="1EB21190" w14:textId="4D572ACC"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047</w:t>
            </w:r>
            <w:r w:rsidRPr="001564E0">
              <w:rPr>
                <w:rFonts w:cs="Times New Roman"/>
                <w:sz w:val="16"/>
                <w:szCs w:val="16"/>
              </w:rPr>
              <w:br/>
              <w:t>(0</w:t>
            </w:r>
            <w:r>
              <w:rPr>
                <w:rFonts w:cs="Times New Roman"/>
                <w:sz w:val="16"/>
                <w:szCs w:val="16"/>
              </w:rPr>
              <w:t>,</w:t>
            </w:r>
            <w:r w:rsidRPr="001564E0">
              <w:rPr>
                <w:rFonts w:cs="Times New Roman"/>
                <w:sz w:val="16"/>
                <w:szCs w:val="16"/>
              </w:rPr>
              <w:t>131)</w:t>
            </w:r>
          </w:p>
        </w:tc>
        <w:tc>
          <w:tcPr>
            <w:tcW w:w="633" w:type="pct"/>
            <w:tcBorders>
              <w:top w:val="nil"/>
              <w:left w:val="nil"/>
              <w:right w:val="nil"/>
            </w:tcBorders>
            <w:shd w:val="clear" w:color="000000" w:fill="FFFFFF"/>
          </w:tcPr>
          <w:p w14:paraId="30587BD5" w14:textId="06156161"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0F8A6013" w14:textId="77777777" w:rsidTr="001564E0">
        <w:trPr>
          <w:trHeight w:val="20"/>
          <w:jc w:val="center"/>
        </w:trPr>
        <w:tc>
          <w:tcPr>
            <w:tcW w:w="1201" w:type="pct"/>
            <w:tcBorders>
              <w:top w:val="nil"/>
              <w:left w:val="nil"/>
              <w:right w:val="nil"/>
            </w:tcBorders>
            <w:shd w:val="clear" w:color="000000" w:fill="FFFFFF"/>
          </w:tcPr>
          <w:p w14:paraId="2C124333" w14:textId="77777777" w:rsidR="00340844" w:rsidRPr="00FC4EB7"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Verringert (Referenzgruppe)</w:t>
            </w:r>
          </w:p>
        </w:tc>
        <w:tc>
          <w:tcPr>
            <w:tcW w:w="633" w:type="pct"/>
            <w:tcBorders>
              <w:top w:val="nil"/>
              <w:left w:val="nil"/>
              <w:right w:val="nil"/>
            </w:tcBorders>
            <w:shd w:val="clear" w:color="000000" w:fill="FFFFFF"/>
            <w:noWrap/>
          </w:tcPr>
          <w:p w14:paraId="53A8C69B" w14:textId="151B973D"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0CD8024D" w14:textId="5E85B901" w:rsidR="00340844" w:rsidRPr="001564E0" w:rsidRDefault="00340844" w:rsidP="00340844">
            <w:pPr>
              <w:snapToGrid w:val="0"/>
              <w:spacing w:before="40" w:after="40" w:line="240" w:lineRule="auto"/>
              <w:jc w:val="left"/>
              <w:rPr>
                <w:rFonts w:cs="Times New Roman"/>
                <w:color w:val="000000"/>
                <w:sz w:val="16"/>
                <w:szCs w:val="16"/>
              </w:rPr>
            </w:pPr>
          </w:p>
        </w:tc>
        <w:tc>
          <w:tcPr>
            <w:tcW w:w="634" w:type="pct"/>
            <w:tcBorders>
              <w:top w:val="nil"/>
              <w:left w:val="nil"/>
              <w:right w:val="nil"/>
            </w:tcBorders>
            <w:shd w:val="clear" w:color="000000" w:fill="FFFFFF"/>
          </w:tcPr>
          <w:p w14:paraId="55DCFD38" w14:textId="4B173DE5"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19EB1E7E" w14:textId="55AE4E8F"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6BFD96BF" w14:textId="1B08B205"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7A8D0875" w14:textId="77777777"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47A1C410" w14:textId="77777777" w:rsidTr="001564E0">
        <w:trPr>
          <w:trHeight w:val="20"/>
          <w:jc w:val="center"/>
        </w:trPr>
        <w:tc>
          <w:tcPr>
            <w:tcW w:w="1201" w:type="pct"/>
            <w:tcBorders>
              <w:top w:val="nil"/>
              <w:left w:val="nil"/>
              <w:right w:val="nil"/>
            </w:tcBorders>
            <w:shd w:val="clear" w:color="000000" w:fill="FFFFFF"/>
          </w:tcPr>
          <w:p w14:paraId="4A947E36" w14:textId="77777777" w:rsidR="00340844" w:rsidRPr="00F906E9" w:rsidRDefault="00340844" w:rsidP="00340844">
            <w:pPr>
              <w:snapToGrid w:val="0"/>
              <w:spacing w:before="40" w:after="40" w:line="240" w:lineRule="auto"/>
              <w:jc w:val="left"/>
              <w:rPr>
                <w:b/>
                <w:bCs/>
                <w:color w:val="000000"/>
                <w:sz w:val="16"/>
                <w:szCs w:val="16"/>
              </w:rPr>
            </w:pPr>
            <w:r w:rsidRPr="00F906E9">
              <w:rPr>
                <w:b/>
                <w:bCs/>
                <w:color w:val="000000"/>
                <w:sz w:val="16"/>
                <w:szCs w:val="16"/>
              </w:rPr>
              <w:t>Gewinn</w:t>
            </w:r>
          </w:p>
        </w:tc>
        <w:tc>
          <w:tcPr>
            <w:tcW w:w="633" w:type="pct"/>
            <w:tcBorders>
              <w:top w:val="nil"/>
              <w:left w:val="nil"/>
              <w:right w:val="nil"/>
            </w:tcBorders>
            <w:shd w:val="clear" w:color="000000" w:fill="FFFFFF"/>
            <w:noWrap/>
          </w:tcPr>
          <w:p w14:paraId="3DBAB822"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3F36B403"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4" w:type="pct"/>
            <w:tcBorders>
              <w:top w:val="nil"/>
              <w:left w:val="nil"/>
              <w:right w:val="nil"/>
            </w:tcBorders>
            <w:shd w:val="clear" w:color="000000" w:fill="FFFFFF"/>
          </w:tcPr>
          <w:p w14:paraId="30A4B1C1"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39440AB6"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025BBA8B"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1410127B" w14:textId="77777777"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14CD3AFC" w14:textId="77777777" w:rsidTr="001564E0">
        <w:trPr>
          <w:trHeight w:val="20"/>
          <w:jc w:val="center"/>
        </w:trPr>
        <w:tc>
          <w:tcPr>
            <w:tcW w:w="1201" w:type="pct"/>
            <w:tcBorders>
              <w:top w:val="nil"/>
              <w:left w:val="nil"/>
              <w:right w:val="nil"/>
            </w:tcBorders>
            <w:shd w:val="clear" w:color="000000" w:fill="FFFFFF"/>
          </w:tcPr>
          <w:p w14:paraId="23EB8051" w14:textId="77777777" w:rsidR="00340844"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Gestiegen</w:t>
            </w:r>
          </w:p>
        </w:tc>
        <w:tc>
          <w:tcPr>
            <w:tcW w:w="633" w:type="pct"/>
            <w:tcBorders>
              <w:top w:val="nil"/>
              <w:left w:val="nil"/>
              <w:right w:val="nil"/>
            </w:tcBorders>
            <w:shd w:val="clear" w:color="000000" w:fill="FFFFFF"/>
            <w:noWrap/>
          </w:tcPr>
          <w:p w14:paraId="1CA6697C" w14:textId="3AD28463"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051</w:t>
            </w:r>
            <w:r w:rsidRPr="001564E0">
              <w:rPr>
                <w:rFonts w:cs="Times New Roman"/>
                <w:sz w:val="16"/>
                <w:szCs w:val="16"/>
              </w:rPr>
              <w:br/>
              <w:t>(0</w:t>
            </w:r>
            <w:r>
              <w:rPr>
                <w:rFonts w:cs="Times New Roman"/>
                <w:sz w:val="16"/>
                <w:szCs w:val="16"/>
              </w:rPr>
              <w:t>,</w:t>
            </w:r>
            <w:r w:rsidRPr="001564E0">
              <w:rPr>
                <w:rFonts w:cs="Times New Roman"/>
                <w:sz w:val="16"/>
                <w:szCs w:val="16"/>
              </w:rPr>
              <w:t>100)</w:t>
            </w:r>
          </w:p>
        </w:tc>
        <w:tc>
          <w:tcPr>
            <w:tcW w:w="633" w:type="pct"/>
            <w:tcBorders>
              <w:top w:val="nil"/>
              <w:left w:val="nil"/>
              <w:right w:val="nil"/>
            </w:tcBorders>
            <w:shd w:val="clear" w:color="000000" w:fill="FFFFFF"/>
          </w:tcPr>
          <w:p w14:paraId="37298D85" w14:textId="21885CC1"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149</w:t>
            </w:r>
            <w:r w:rsidRPr="001564E0">
              <w:rPr>
                <w:rFonts w:cs="Times New Roman"/>
                <w:sz w:val="16"/>
                <w:szCs w:val="16"/>
              </w:rPr>
              <w:br/>
              <w:t>(0</w:t>
            </w:r>
            <w:r>
              <w:rPr>
                <w:rFonts w:cs="Times New Roman"/>
                <w:sz w:val="16"/>
                <w:szCs w:val="16"/>
              </w:rPr>
              <w:t>,</w:t>
            </w:r>
            <w:r w:rsidRPr="001564E0">
              <w:rPr>
                <w:rFonts w:cs="Times New Roman"/>
                <w:sz w:val="16"/>
                <w:szCs w:val="16"/>
              </w:rPr>
              <w:t>100)</w:t>
            </w:r>
          </w:p>
        </w:tc>
        <w:tc>
          <w:tcPr>
            <w:tcW w:w="634" w:type="pct"/>
            <w:tcBorders>
              <w:top w:val="nil"/>
              <w:left w:val="nil"/>
              <w:right w:val="nil"/>
            </w:tcBorders>
            <w:shd w:val="clear" w:color="000000" w:fill="FFFFFF"/>
          </w:tcPr>
          <w:p w14:paraId="5026E821" w14:textId="6B024CEC"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055</w:t>
            </w:r>
            <w:r w:rsidRPr="001564E0">
              <w:rPr>
                <w:rFonts w:cs="Times New Roman"/>
                <w:sz w:val="16"/>
                <w:szCs w:val="16"/>
              </w:rPr>
              <w:br/>
              <w:t>(0</w:t>
            </w:r>
            <w:r>
              <w:rPr>
                <w:rFonts w:cs="Times New Roman"/>
                <w:sz w:val="16"/>
                <w:szCs w:val="16"/>
              </w:rPr>
              <w:t>,</w:t>
            </w:r>
            <w:r w:rsidRPr="001564E0">
              <w:rPr>
                <w:rFonts w:cs="Times New Roman"/>
                <w:sz w:val="16"/>
                <w:szCs w:val="16"/>
              </w:rPr>
              <w:t>102)</w:t>
            </w:r>
          </w:p>
        </w:tc>
        <w:tc>
          <w:tcPr>
            <w:tcW w:w="633" w:type="pct"/>
            <w:tcBorders>
              <w:top w:val="nil"/>
              <w:left w:val="nil"/>
              <w:right w:val="nil"/>
            </w:tcBorders>
            <w:shd w:val="clear" w:color="000000" w:fill="FFFFFF"/>
          </w:tcPr>
          <w:p w14:paraId="7FA41865" w14:textId="294B447B"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015</w:t>
            </w:r>
            <w:r w:rsidRPr="001564E0">
              <w:rPr>
                <w:rFonts w:cs="Times New Roman"/>
                <w:sz w:val="16"/>
                <w:szCs w:val="16"/>
              </w:rPr>
              <w:br/>
              <w:t>(0</w:t>
            </w:r>
            <w:r>
              <w:rPr>
                <w:rFonts w:cs="Times New Roman"/>
                <w:sz w:val="16"/>
                <w:szCs w:val="16"/>
              </w:rPr>
              <w:t>,</w:t>
            </w:r>
            <w:r w:rsidRPr="001564E0">
              <w:rPr>
                <w:rFonts w:cs="Times New Roman"/>
                <w:sz w:val="16"/>
                <w:szCs w:val="16"/>
              </w:rPr>
              <w:t>110)</w:t>
            </w:r>
          </w:p>
        </w:tc>
        <w:tc>
          <w:tcPr>
            <w:tcW w:w="633" w:type="pct"/>
            <w:tcBorders>
              <w:top w:val="nil"/>
              <w:left w:val="nil"/>
              <w:right w:val="nil"/>
            </w:tcBorders>
            <w:shd w:val="clear" w:color="000000" w:fill="FFFFFF"/>
          </w:tcPr>
          <w:p w14:paraId="5548D5CC" w14:textId="344A5073"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138</w:t>
            </w:r>
            <w:r w:rsidRPr="001564E0">
              <w:rPr>
                <w:rFonts w:cs="Times New Roman"/>
                <w:sz w:val="16"/>
                <w:szCs w:val="16"/>
              </w:rPr>
              <w:br/>
              <w:t>(0</w:t>
            </w:r>
            <w:r>
              <w:rPr>
                <w:rFonts w:cs="Times New Roman"/>
                <w:sz w:val="16"/>
                <w:szCs w:val="16"/>
              </w:rPr>
              <w:t>,</w:t>
            </w:r>
            <w:r w:rsidRPr="001564E0">
              <w:rPr>
                <w:rFonts w:cs="Times New Roman"/>
                <w:sz w:val="16"/>
                <w:szCs w:val="16"/>
              </w:rPr>
              <w:t>093)</w:t>
            </w:r>
          </w:p>
        </w:tc>
        <w:tc>
          <w:tcPr>
            <w:tcW w:w="633" w:type="pct"/>
            <w:tcBorders>
              <w:top w:val="nil"/>
              <w:left w:val="nil"/>
              <w:right w:val="nil"/>
            </w:tcBorders>
            <w:shd w:val="clear" w:color="000000" w:fill="FFFFFF"/>
          </w:tcPr>
          <w:p w14:paraId="663EDDBB" w14:textId="7D458A0C"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52C5E395" w14:textId="77777777" w:rsidTr="001564E0">
        <w:trPr>
          <w:trHeight w:val="20"/>
          <w:jc w:val="center"/>
        </w:trPr>
        <w:tc>
          <w:tcPr>
            <w:tcW w:w="1201" w:type="pct"/>
            <w:tcBorders>
              <w:top w:val="nil"/>
              <w:left w:val="nil"/>
              <w:right w:val="nil"/>
            </w:tcBorders>
            <w:shd w:val="clear" w:color="000000" w:fill="FFFFFF"/>
          </w:tcPr>
          <w:p w14:paraId="205C862D" w14:textId="77777777" w:rsidR="00340844" w:rsidRPr="00FC4EB7"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Unverändert</w:t>
            </w:r>
          </w:p>
        </w:tc>
        <w:tc>
          <w:tcPr>
            <w:tcW w:w="633" w:type="pct"/>
            <w:tcBorders>
              <w:top w:val="nil"/>
              <w:left w:val="nil"/>
              <w:right w:val="nil"/>
            </w:tcBorders>
            <w:shd w:val="clear" w:color="000000" w:fill="FFFFFF"/>
            <w:noWrap/>
          </w:tcPr>
          <w:p w14:paraId="189441C5" w14:textId="27A13F9F"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179**</w:t>
            </w:r>
            <w:r w:rsidRPr="001564E0">
              <w:rPr>
                <w:rFonts w:cs="Times New Roman"/>
                <w:sz w:val="16"/>
                <w:szCs w:val="16"/>
              </w:rPr>
              <w:br/>
              <w:t>(0</w:t>
            </w:r>
            <w:r>
              <w:rPr>
                <w:rFonts w:cs="Times New Roman"/>
                <w:sz w:val="16"/>
                <w:szCs w:val="16"/>
              </w:rPr>
              <w:t>,</w:t>
            </w:r>
            <w:r w:rsidRPr="001564E0">
              <w:rPr>
                <w:rFonts w:cs="Times New Roman"/>
                <w:sz w:val="16"/>
                <w:szCs w:val="16"/>
              </w:rPr>
              <w:t>090)</w:t>
            </w:r>
          </w:p>
        </w:tc>
        <w:tc>
          <w:tcPr>
            <w:tcW w:w="633" w:type="pct"/>
            <w:tcBorders>
              <w:top w:val="nil"/>
              <w:left w:val="nil"/>
              <w:right w:val="nil"/>
            </w:tcBorders>
            <w:shd w:val="clear" w:color="000000" w:fill="FFFFFF"/>
          </w:tcPr>
          <w:p w14:paraId="0AABD8BE" w14:textId="4B00AFB7"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182**</w:t>
            </w:r>
            <w:r w:rsidRPr="001564E0">
              <w:rPr>
                <w:rFonts w:cs="Times New Roman"/>
                <w:sz w:val="16"/>
                <w:szCs w:val="16"/>
              </w:rPr>
              <w:br/>
              <w:t>(0</w:t>
            </w:r>
            <w:r>
              <w:rPr>
                <w:rFonts w:cs="Times New Roman"/>
                <w:sz w:val="16"/>
                <w:szCs w:val="16"/>
              </w:rPr>
              <w:t>,</w:t>
            </w:r>
            <w:r w:rsidRPr="001564E0">
              <w:rPr>
                <w:rFonts w:cs="Times New Roman"/>
                <w:sz w:val="16"/>
                <w:szCs w:val="16"/>
              </w:rPr>
              <w:t>086)</w:t>
            </w:r>
          </w:p>
        </w:tc>
        <w:tc>
          <w:tcPr>
            <w:tcW w:w="634" w:type="pct"/>
            <w:tcBorders>
              <w:top w:val="nil"/>
              <w:left w:val="nil"/>
              <w:right w:val="nil"/>
            </w:tcBorders>
            <w:shd w:val="clear" w:color="000000" w:fill="FFFFFF"/>
          </w:tcPr>
          <w:p w14:paraId="7DA6B102" w14:textId="19D748F3"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108</w:t>
            </w:r>
            <w:r w:rsidRPr="001564E0">
              <w:rPr>
                <w:rFonts w:cs="Times New Roman"/>
                <w:sz w:val="16"/>
                <w:szCs w:val="16"/>
              </w:rPr>
              <w:br/>
              <w:t>(0</w:t>
            </w:r>
            <w:r>
              <w:rPr>
                <w:rFonts w:cs="Times New Roman"/>
                <w:sz w:val="16"/>
                <w:szCs w:val="16"/>
              </w:rPr>
              <w:t>,</w:t>
            </w:r>
            <w:r w:rsidRPr="001564E0">
              <w:rPr>
                <w:rFonts w:cs="Times New Roman"/>
                <w:sz w:val="16"/>
                <w:szCs w:val="16"/>
              </w:rPr>
              <w:t>092)</w:t>
            </w:r>
          </w:p>
        </w:tc>
        <w:tc>
          <w:tcPr>
            <w:tcW w:w="633" w:type="pct"/>
            <w:tcBorders>
              <w:top w:val="nil"/>
              <w:left w:val="nil"/>
              <w:right w:val="nil"/>
            </w:tcBorders>
            <w:shd w:val="clear" w:color="000000" w:fill="FFFFFF"/>
          </w:tcPr>
          <w:p w14:paraId="7EE19E92" w14:textId="5FDB0DC0"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241**</w:t>
            </w:r>
            <w:r w:rsidRPr="001564E0">
              <w:rPr>
                <w:rFonts w:cs="Times New Roman"/>
                <w:sz w:val="16"/>
                <w:szCs w:val="16"/>
              </w:rPr>
              <w:br/>
              <w:t>(0</w:t>
            </w:r>
            <w:r>
              <w:rPr>
                <w:rFonts w:cs="Times New Roman"/>
                <w:sz w:val="16"/>
                <w:szCs w:val="16"/>
              </w:rPr>
              <w:t>,</w:t>
            </w:r>
            <w:r w:rsidRPr="001564E0">
              <w:rPr>
                <w:rFonts w:cs="Times New Roman"/>
                <w:sz w:val="16"/>
                <w:szCs w:val="16"/>
              </w:rPr>
              <w:t>100)</w:t>
            </w:r>
          </w:p>
        </w:tc>
        <w:tc>
          <w:tcPr>
            <w:tcW w:w="633" w:type="pct"/>
            <w:tcBorders>
              <w:top w:val="nil"/>
              <w:left w:val="nil"/>
              <w:right w:val="nil"/>
            </w:tcBorders>
            <w:shd w:val="clear" w:color="000000" w:fill="FFFFFF"/>
          </w:tcPr>
          <w:p w14:paraId="308D4931" w14:textId="4DD50A2A"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060</w:t>
            </w:r>
            <w:r w:rsidRPr="001564E0">
              <w:rPr>
                <w:rFonts w:cs="Times New Roman"/>
                <w:sz w:val="16"/>
                <w:szCs w:val="16"/>
              </w:rPr>
              <w:br/>
              <w:t>(0</w:t>
            </w:r>
            <w:r>
              <w:rPr>
                <w:rFonts w:cs="Times New Roman"/>
                <w:sz w:val="16"/>
                <w:szCs w:val="16"/>
              </w:rPr>
              <w:t>,</w:t>
            </w:r>
            <w:r w:rsidRPr="001564E0">
              <w:rPr>
                <w:rFonts w:cs="Times New Roman"/>
                <w:sz w:val="16"/>
                <w:szCs w:val="16"/>
              </w:rPr>
              <w:t>084)</w:t>
            </w:r>
          </w:p>
        </w:tc>
        <w:tc>
          <w:tcPr>
            <w:tcW w:w="633" w:type="pct"/>
            <w:tcBorders>
              <w:top w:val="nil"/>
              <w:left w:val="nil"/>
              <w:right w:val="nil"/>
            </w:tcBorders>
            <w:shd w:val="clear" w:color="000000" w:fill="FFFFFF"/>
          </w:tcPr>
          <w:p w14:paraId="373DA3E9" w14:textId="6FCDD6F5"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1F1833E7" w14:textId="77777777" w:rsidTr="001564E0">
        <w:trPr>
          <w:trHeight w:val="20"/>
          <w:jc w:val="center"/>
        </w:trPr>
        <w:tc>
          <w:tcPr>
            <w:tcW w:w="1201" w:type="pct"/>
            <w:tcBorders>
              <w:top w:val="nil"/>
              <w:left w:val="nil"/>
              <w:right w:val="nil"/>
            </w:tcBorders>
            <w:shd w:val="clear" w:color="000000" w:fill="FFFFFF"/>
          </w:tcPr>
          <w:p w14:paraId="0CB89EFA" w14:textId="77777777" w:rsidR="00340844" w:rsidRPr="00FC4EB7"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Verringert (Referenzgruppe)</w:t>
            </w:r>
          </w:p>
        </w:tc>
        <w:tc>
          <w:tcPr>
            <w:tcW w:w="633" w:type="pct"/>
            <w:tcBorders>
              <w:top w:val="nil"/>
              <w:left w:val="nil"/>
              <w:right w:val="nil"/>
            </w:tcBorders>
            <w:shd w:val="clear" w:color="000000" w:fill="FFFFFF"/>
            <w:noWrap/>
          </w:tcPr>
          <w:p w14:paraId="21B79A1D" w14:textId="66D14713"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1BA01458" w14:textId="05A08191" w:rsidR="00340844" w:rsidRPr="001564E0" w:rsidRDefault="00340844" w:rsidP="00340844">
            <w:pPr>
              <w:snapToGrid w:val="0"/>
              <w:spacing w:before="40" w:after="40" w:line="240" w:lineRule="auto"/>
              <w:jc w:val="left"/>
              <w:rPr>
                <w:rFonts w:cs="Times New Roman"/>
                <w:sz w:val="16"/>
                <w:szCs w:val="16"/>
              </w:rPr>
            </w:pPr>
          </w:p>
        </w:tc>
        <w:tc>
          <w:tcPr>
            <w:tcW w:w="634" w:type="pct"/>
            <w:tcBorders>
              <w:top w:val="nil"/>
              <w:left w:val="nil"/>
              <w:right w:val="nil"/>
            </w:tcBorders>
            <w:shd w:val="clear" w:color="000000" w:fill="FFFFFF"/>
          </w:tcPr>
          <w:p w14:paraId="67392438" w14:textId="79974D19" w:rsidR="00340844" w:rsidRPr="001564E0" w:rsidRDefault="00340844" w:rsidP="00340844">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162F77A6" w14:textId="3C75A57A" w:rsidR="00340844" w:rsidRPr="001564E0" w:rsidRDefault="00340844" w:rsidP="00340844">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360DE616" w14:textId="085A1AA8" w:rsidR="00340844" w:rsidRPr="001564E0" w:rsidRDefault="00340844" w:rsidP="00340844">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4E40981B" w14:textId="77777777" w:rsidR="00340844" w:rsidRPr="00694C51" w:rsidRDefault="00340844" w:rsidP="00340844">
            <w:pPr>
              <w:snapToGrid w:val="0"/>
              <w:spacing w:before="40" w:after="40" w:line="240" w:lineRule="auto"/>
              <w:jc w:val="left"/>
              <w:rPr>
                <w:rFonts w:cs="Times New Roman"/>
                <w:sz w:val="16"/>
                <w:szCs w:val="16"/>
              </w:rPr>
            </w:pPr>
          </w:p>
        </w:tc>
      </w:tr>
      <w:tr w:rsidR="00340844" w:rsidRPr="00FC4EB7" w14:paraId="00C9037C" w14:textId="77777777" w:rsidTr="001564E0">
        <w:trPr>
          <w:trHeight w:val="20"/>
          <w:jc w:val="center"/>
        </w:trPr>
        <w:tc>
          <w:tcPr>
            <w:tcW w:w="1201" w:type="pct"/>
            <w:tcBorders>
              <w:top w:val="nil"/>
              <w:left w:val="nil"/>
              <w:right w:val="nil"/>
            </w:tcBorders>
            <w:shd w:val="clear" w:color="000000" w:fill="FFFFFF"/>
          </w:tcPr>
          <w:p w14:paraId="7E8BF490" w14:textId="77777777" w:rsidR="00340844" w:rsidRPr="00F906E9" w:rsidRDefault="00340844" w:rsidP="00340844">
            <w:pPr>
              <w:snapToGrid w:val="0"/>
              <w:spacing w:before="40" w:after="40" w:line="240" w:lineRule="auto"/>
              <w:jc w:val="left"/>
              <w:rPr>
                <w:b/>
                <w:bCs/>
                <w:color w:val="000000"/>
                <w:sz w:val="16"/>
                <w:szCs w:val="16"/>
              </w:rPr>
            </w:pPr>
            <w:r w:rsidRPr="00F906E9">
              <w:rPr>
                <w:b/>
                <w:bCs/>
                <w:color w:val="000000"/>
                <w:sz w:val="16"/>
                <w:szCs w:val="16"/>
              </w:rPr>
              <w:t>Erwarteter Umsatz</w:t>
            </w:r>
          </w:p>
        </w:tc>
        <w:tc>
          <w:tcPr>
            <w:tcW w:w="633" w:type="pct"/>
            <w:tcBorders>
              <w:top w:val="nil"/>
              <w:left w:val="nil"/>
              <w:right w:val="nil"/>
            </w:tcBorders>
            <w:shd w:val="clear" w:color="000000" w:fill="FFFFFF"/>
            <w:noWrap/>
          </w:tcPr>
          <w:p w14:paraId="5A323BBC"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542A8C37"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4" w:type="pct"/>
            <w:tcBorders>
              <w:top w:val="nil"/>
              <w:left w:val="nil"/>
              <w:right w:val="nil"/>
            </w:tcBorders>
            <w:shd w:val="clear" w:color="000000" w:fill="FFFFFF"/>
          </w:tcPr>
          <w:p w14:paraId="7F51E98D"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0479C2AF"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4E2E5BCF"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638502CB" w14:textId="77777777"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413CBBEF" w14:textId="77777777" w:rsidTr="001564E0">
        <w:trPr>
          <w:trHeight w:val="20"/>
          <w:jc w:val="center"/>
        </w:trPr>
        <w:tc>
          <w:tcPr>
            <w:tcW w:w="1201" w:type="pct"/>
            <w:tcBorders>
              <w:top w:val="nil"/>
              <w:left w:val="nil"/>
              <w:right w:val="nil"/>
            </w:tcBorders>
            <w:shd w:val="clear" w:color="000000" w:fill="FFFFFF"/>
          </w:tcPr>
          <w:p w14:paraId="3A976871" w14:textId="77777777" w:rsidR="00340844"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&gt;20% Steigerung</w:t>
            </w:r>
          </w:p>
        </w:tc>
        <w:tc>
          <w:tcPr>
            <w:tcW w:w="633" w:type="pct"/>
            <w:tcBorders>
              <w:top w:val="nil"/>
              <w:left w:val="nil"/>
              <w:right w:val="nil"/>
            </w:tcBorders>
            <w:shd w:val="clear" w:color="000000" w:fill="FFFFFF"/>
            <w:noWrap/>
          </w:tcPr>
          <w:p w14:paraId="5D8E79F6" w14:textId="10037AFF"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504***</w:t>
            </w:r>
            <w:r w:rsidRPr="001564E0">
              <w:rPr>
                <w:rFonts w:cs="Times New Roman"/>
                <w:sz w:val="16"/>
                <w:szCs w:val="16"/>
              </w:rPr>
              <w:br/>
              <w:t>(0</w:t>
            </w:r>
            <w:r>
              <w:rPr>
                <w:rFonts w:cs="Times New Roman"/>
                <w:sz w:val="16"/>
                <w:szCs w:val="16"/>
              </w:rPr>
              <w:t>,</w:t>
            </w:r>
            <w:r w:rsidRPr="001564E0">
              <w:rPr>
                <w:rFonts w:cs="Times New Roman"/>
                <w:sz w:val="16"/>
                <w:szCs w:val="16"/>
              </w:rPr>
              <w:t>187)</w:t>
            </w:r>
          </w:p>
        </w:tc>
        <w:tc>
          <w:tcPr>
            <w:tcW w:w="633" w:type="pct"/>
            <w:tcBorders>
              <w:top w:val="nil"/>
              <w:left w:val="nil"/>
              <w:right w:val="nil"/>
            </w:tcBorders>
            <w:shd w:val="clear" w:color="000000" w:fill="FFFFFF"/>
          </w:tcPr>
          <w:p w14:paraId="3DE9BF8A" w14:textId="6BA3D063"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175</w:t>
            </w:r>
            <w:r w:rsidRPr="001564E0">
              <w:rPr>
                <w:rFonts w:cs="Times New Roman"/>
                <w:sz w:val="16"/>
                <w:szCs w:val="16"/>
              </w:rPr>
              <w:br/>
              <w:t>(0</w:t>
            </w:r>
            <w:r>
              <w:rPr>
                <w:rFonts w:cs="Times New Roman"/>
                <w:sz w:val="16"/>
                <w:szCs w:val="16"/>
              </w:rPr>
              <w:t>,</w:t>
            </w:r>
            <w:r w:rsidRPr="001564E0">
              <w:rPr>
                <w:rFonts w:cs="Times New Roman"/>
                <w:sz w:val="16"/>
                <w:szCs w:val="16"/>
              </w:rPr>
              <w:t>170)</w:t>
            </w:r>
          </w:p>
        </w:tc>
        <w:tc>
          <w:tcPr>
            <w:tcW w:w="634" w:type="pct"/>
            <w:tcBorders>
              <w:top w:val="nil"/>
              <w:left w:val="nil"/>
              <w:right w:val="nil"/>
            </w:tcBorders>
            <w:shd w:val="clear" w:color="000000" w:fill="FFFFFF"/>
          </w:tcPr>
          <w:p w14:paraId="4B65DD8F" w14:textId="3726BF44"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367**</w:t>
            </w:r>
            <w:r w:rsidRPr="001564E0">
              <w:rPr>
                <w:rFonts w:cs="Times New Roman"/>
                <w:sz w:val="16"/>
                <w:szCs w:val="16"/>
              </w:rPr>
              <w:br/>
              <w:t>(0</w:t>
            </w:r>
            <w:r>
              <w:rPr>
                <w:rFonts w:cs="Times New Roman"/>
                <w:sz w:val="16"/>
                <w:szCs w:val="16"/>
              </w:rPr>
              <w:t>,</w:t>
            </w:r>
            <w:r w:rsidRPr="001564E0">
              <w:rPr>
                <w:rFonts w:cs="Times New Roman"/>
                <w:sz w:val="16"/>
                <w:szCs w:val="16"/>
              </w:rPr>
              <w:t>179)</w:t>
            </w:r>
          </w:p>
        </w:tc>
        <w:tc>
          <w:tcPr>
            <w:tcW w:w="633" w:type="pct"/>
            <w:tcBorders>
              <w:top w:val="nil"/>
              <w:left w:val="nil"/>
              <w:right w:val="nil"/>
            </w:tcBorders>
            <w:shd w:val="clear" w:color="000000" w:fill="FFFFFF"/>
          </w:tcPr>
          <w:p w14:paraId="1DF19B48" w14:textId="154127E8"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687***</w:t>
            </w:r>
            <w:r w:rsidRPr="001564E0">
              <w:rPr>
                <w:rFonts w:cs="Times New Roman"/>
                <w:sz w:val="16"/>
                <w:szCs w:val="16"/>
              </w:rPr>
              <w:br/>
              <w:t>(0</w:t>
            </w:r>
            <w:r>
              <w:rPr>
                <w:rFonts w:cs="Times New Roman"/>
                <w:sz w:val="16"/>
                <w:szCs w:val="16"/>
              </w:rPr>
              <w:t>,</w:t>
            </w:r>
            <w:r w:rsidRPr="001564E0">
              <w:rPr>
                <w:rFonts w:cs="Times New Roman"/>
                <w:sz w:val="16"/>
                <w:szCs w:val="16"/>
              </w:rPr>
              <w:t>201)</w:t>
            </w:r>
          </w:p>
        </w:tc>
        <w:tc>
          <w:tcPr>
            <w:tcW w:w="633" w:type="pct"/>
            <w:tcBorders>
              <w:top w:val="nil"/>
              <w:left w:val="nil"/>
              <w:right w:val="nil"/>
            </w:tcBorders>
            <w:shd w:val="clear" w:color="000000" w:fill="FFFFFF"/>
          </w:tcPr>
          <w:p w14:paraId="58DED4F3" w14:textId="36797878"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265</w:t>
            </w:r>
            <w:r w:rsidRPr="001564E0">
              <w:rPr>
                <w:rFonts w:cs="Times New Roman"/>
                <w:sz w:val="16"/>
                <w:szCs w:val="16"/>
              </w:rPr>
              <w:br/>
              <w:t>(0</w:t>
            </w:r>
            <w:r>
              <w:rPr>
                <w:rFonts w:cs="Times New Roman"/>
                <w:sz w:val="16"/>
                <w:szCs w:val="16"/>
              </w:rPr>
              <w:t>,</w:t>
            </w:r>
            <w:r w:rsidRPr="001564E0">
              <w:rPr>
                <w:rFonts w:cs="Times New Roman"/>
                <w:sz w:val="16"/>
                <w:szCs w:val="16"/>
              </w:rPr>
              <w:t>165)</w:t>
            </w:r>
          </w:p>
        </w:tc>
        <w:tc>
          <w:tcPr>
            <w:tcW w:w="633" w:type="pct"/>
            <w:tcBorders>
              <w:top w:val="nil"/>
              <w:left w:val="nil"/>
              <w:right w:val="nil"/>
            </w:tcBorders>
            <w:shd w:val="clear" w:color="000000" w:fill="FFFFFF"/>
          </w:tcPr>
          <w:p w14:paraId="779C462A" w14:textId="46BC64B9"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19B696F7" w14:textId="77777777" w:rsidTr="001564E0">
        <w:trPr>
          <w:trHeight w:val="20"/>
          <w:jc w:val="center"/>
        </w:trPr>
        <w:tc>
          <w:tcPr>
            <w:tcW w:w="1201" w:type="pct"/>
            <w:tcBorders>
              <w:top w:val="nil"/>
              <w:left w:val="nil"/>
              <w:right w:val="nil"/>
            </w:tcBorders>
            <w:shd w:val="clear" w:color="000000" w:fill="FFFFFF"/>
          </w:tcPr>
          <w:p w14:paraId="52029145" w14:textId="77777777" w:rsidR="00340844" w:rsidRPr="00FC4EB7"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&lt;20% Steigerung</w:t>
            </w:r>
          </w:p>
        </w:tc>
        <w:tc>
          <w:tcPr>
            <w:tcW w:w="633" w:type="pct"/>
            <w:tcBorders>
              <w:top w:val="nil"/>
              <w:left w:val="nil"/>
              <w:right w:val="nil"/>
            </w:tcBorders>
            <w:shd w:val="clear" w:color="000000" w:fill="FFFFFF"/>
            <w:noWrap/>
          </w:tcPr>
          <w:p w14:paraId="478BEEEA" w14:textId="354CB3E1"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507***</w:t>
            </w:r>
            <w:r w:rsidRPr="001564E0">
              <w:rPr>
                <w:rFonts w:cs="Times New Roman"/>
                <w:sz w:val="16"/>
                <w:szCs w:val="16"/>
              </w:rPr>
              <w:br/>
              <w:t>(0</w:t>
            </w:r>
            <w:r>
              <w:rPr>
                <w:rFonts w:cs="Times New Roman"/>
                <w:sz w:val="16"/>
                <w:szCs w:val="16"/>
              </w:rPr>
              <w:t>,</w:t>
            </w:r>
            <w:r w:rsidRPr="001564E0">
              <w:rPr>
                <w:rFonts w:cs="Times New Roman"/>
                <w:sz w:val="16"/>
                <w:szCs w:val="16"/>
              </w:rPr>
              <w:t>144)</w:t>
            </w:r>
          </w:p>
        </w:tc>
        <w:tc>
          <w:tcPr>
            <w:tcW w:w="633" w:type="pct"/>
            <w:tcBorders>
              <w:top w:val="nil"/>
              <w:left w:val="nil"/>
              <w:right w:val="nil"/>
            </w:tcBorders>
            <w:shd w:val="clear" w:color="000000" w:fill="FFFFFF"/>
          </w:tcPr>
          <w:p w14:paraId="5E596198" w14:textId="3667FC4E"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194</w:t>
            </w:r>
            <w:r w:rsidRPr="001564E0">
              <w:rPr>
                <w:rFonts w:cs="Times New Roman"/>
                <w:sz w:val="16"/>
                <w:szCs w:val="16"/>
              </w:rPr>
              <w:br/>
              <w:t>(0</w:t>
            </w:r>
            <w:r>
              <w:rPr>
                <w:rFonts w:cs="Times New Roman"/>
                <w:sz w:val="16"/>
                <w:szCs w:val="16"/>
              </w:rPr>
              <w:t>,</w:t>
            </w:r>
            <w:r w:rsidRPr="001564E0">
              <w:rPr>
                <w:rFonts w:cs="Times New Roman"/>
                <w:sz w:val="16"/>
                <w:szCs w:val="16"/>
              </w:rPr>
              <w:t>123)</w:t>
            </w:r>
          </w:p>
        </w:tc>
        <w:tc>
          <w:tcPr>
            <w:tcW w:w="634" w:type="pct"/>
            <w:tcBorders>
              <w:top w:val="nil"/>
              <w:left w:val="nil"/>
              <w:right w:val="nil"/>
            </w:tcBorders>
            <w:shd w:val="clear" w:color="000000" w:fill="FFFFFF"/>
          </w:tcPr>
          <w:p w14:paraId="2601F536" w14:textId="47DADDD2"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301**</w:t>
            </w:r>
            <w:r w:rsidRPr="001564E0">
              <w:rPr>
                <w:rFonts w:cs="Times New Roman"/>
                <w:sz w:val="16"/>
                <w:szCs w:val="16"/>
              </w:rPr>
              <w:br/>
              <w:t>(0</w:t>
            </w:r>
            <w:r>
              <w:rPr>
                <w:rFonts w:cs="Times New Roman"/>
                <w:sz w:val="16"/>
                <w:szCs w:val="16"/>
              </w:rPr>
              <w:t>,</w:t>
            </w:r>
            <w:r w:rsidRPr="001564E0">
              <w:rPr>
                <w:rFonts w:cs="Times New Roman"/>
                <w:sz w:val="16"/>
                <w:szCs w:val="16"/>
              </w:rPr>
              <w:t>136)</w:t>
            </w:r>
          </w:p>
        </w:tc>
        <w:tc>
          <w:tcPr>
            <w:tcW w:w="633" w:type="pct"/>
            <w:tcBorders>
              <w:top w:val="nil"/>
              <w:left w:val="nil"/>
              <w:right w:val="nil"/>
            </w:tcBorders>
            <w:shd w:val="clear" w:color="000000" w:fill="FFFFFF"/>
          </w:tcPr>
          <w:p w14:paraId="3428EF29" w14:textId="14010B53"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502***</w:t>
            </w:r>
            <w:r w:rsidRPr="001564E0">
              <w:rPr>
                <w:rFonts w:cs="Times New Roman"/>
                <w:sz w:val="16"/>
                <w:szCs w:val="16"/>
              </w:rPr>
              <w:br/>
              <w:t>(0</w:t>
            </w:r>
            <w:r>
              <w:rPr>
                <w:rFonts w:cs="Times New Roman"/>
                <w:sz w:val="16"/>
                <w:szCs w:val="16"/>
              </w:rPr>
              <w:t>,</w:t>
            </w:r>
            <w:r w:rsidRPr="001564E0">
              <w:rPr>
                <w:rFonts w:cs="Times New Roman"/>
                <w:sz w:val="16"/>
                <w:szCs w:val="16"/>
              </w:rPr>
              <w:t>161)</w:t>
            </w:r>
          </w:p>
        </w:tc>
        <w:tc>
          <w:tcPr>
            <w:tcW w:w="633" w:type="pct"/>
            <w:tcBorders>
              <w:top w:val="nil"/>
              <w:left w:val="nil"/>
              <w:right w:val="nil"/>
            </w:tcBorders>
            <w:shd w:val="clear" w:color="000000" w:fill="FFFFFF"/>
          </w:tcPr>
          <w:p w14:paraId="216BC9DE" w14:textId="5228ED7B"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264**</w:t>
            </w:r>
            <w:r w:rsidRPr="001564E0">
              <w:rPr>
                <w:rFonts w:cs="Times New Roman"/>
                <w:sz w:val="16"/>
                <w:szCs w:val="16"/>
              </w:rPr>
              <w:br/>
              <w:t>(0</w:t>
            </w:r>
            <w:r>
              <w:rPr>
                <w:rFonts w:cs="Times New Roman"/>
                <w:sz w:val="16"/>
                <w:szCs w:val="16"/>
              </w:rPr>
              <w:t>,</w:t>
            </w:r>
            <w:r w:rsidRPr="001564E0">
              <w:rPr>
                <w:rFonts w:cs="Times New Roman"/>
                <w:sz w:val="16"/>
                <w:szCs w:val="16"/>
              </w:rPr>
              <w:t>122)</w:t>
            </w:r>
          </w:p>
        </w:tc>
        <w:tc>
          <w:tcPr>
            <w:tcW w:w="633" w:type="pct"/>
            <w:tcBorders>
              <w:top w:val="nil"/>
              <w:left w:val="nil"/>
              <w:right w:val="nil"/>
            </w:tcBorders>
            <w:shd w:val="clear" w:color="000000" w:fill="FFFFFF"/>
          </w:tcPr>
          <w:p w14:paraId="3F2C188C" w14:textId="4470E074" w:rsidR="00340844" w:rsidRPr="00694C51" w:rsidRDefault="00340844" w:rsidP="00340844">
            <w:pPr>
              <w:snapToGrid w:val="0"/>
              <w:spacing w:before="40" w:after="40" w:line="240" w:lineRule="auto"/>
              <w:jc w:val="left"/>
              <w:rPr>
                <w:rFonts w:cs="Times New Roman"/>
                <w:color w:val="000000"/>
                <w:sz w:val="16"/>
                <w:szCs w:val="16"/>
              </w:rPr>
            </w:pPr>
          </w:p>
        </w:tc>
      </w:tr>
      <w:tr w:rsidR="00340844" w:rsidRPr="00FC4EB7" w14:paraId="4182434D" w14:textId="77777777" w:rsidTr="00743E38">
        <w:trPr>
          <w:trHeight w:val="20"/>
          <w:jc w:val="center"/>
        </w:trPr>
        <w:tc>
          <w:tcPr>
            <w:tcW w:w="1201" w:type="pct"/>
            <w:tcBorders>
              <w:top w:val="nil"/>
              <w:left w:val="nil"/>
              <w:right w:val="nil"/>
            </w:tcBorders>
            <w:shd w:val="clear" w:color="000000" w:fill="FFFFFF"/>
          </w:tcPr>
          <w:p w14:paraId="0CCA4EFC" w14:textId="77777777" w:rsidR="00340844" w:rsidRPr="00FC4EB7"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Gleich</w:t>
            </w:r>
          </w:p>
        </w:tc>
        <w:tc>
          <w:tcPr>
            <w:tcW w:w="633" w:type="pct"/>
            <w:tcBorders>
              <w:top w:val="nil"/>
              <w:left w:val="nil"/>
              <w:right w:val="nil"/>
            </w:tcBorders>
            <w:shd w:val="clear" w:color="000000" w:fill="FFFFFF"/>
            <w:noWrap/>
          </w:tcPr>
          <w:p w14:paraId="4844D770" w14:textId="6B43B3D0"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343**</w:t>
            </w:r>
            <w:r w:rsidRPr="001564E0">
              <w:rPr>
                <w:rFonts w:cs="Times New Roman"/>
                <w:sz w:val="16"/>
                <w:szCs w:val="16"/>
              </w:rPr>
              <w:br/>
              <w:t>(0</w:t>
            </w:r>
            <w:r>
              <w:rPr>
                <w:rFonts w:cs="Times New Roman"/>
                <w:sz w:val="16"/>
                <w:szCs w:val="16"/>
              </w:rPr>
              <w:t>,</w:t>
            </w:r>
            <w:r w:rsidRPr="001564E0">
              <w:rPr>
                <w:rFonts w:cs="Times New Roman"/>
                <w:sz w:val="16"/>
                <w:szCs w:val="16"/>
              </w:rPr>
              <w:t>149)</w:t>
            </w:r>
          </w:p>
        </w:tc>
        <w:tc>
          <w:tcPr>
            <w:tcW w:w="633" w:type="pct"/>
            <w:tcBorders>
              <w:top w:val="nil"/>
              <w:left w:val="nil"/>
              <w:right w:val="nil"/>
            </w:tcBorders>
            <w:shd w:val="clear" w:color="000000" w:fill="FFFFFF"/>
          </w:tcPr>
          <w:p w14:paraId="1409BEE1" w14:textId="17363904"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028</w:t>
            </w:r>
            <w:r w:rsidRPr="001564E0">
              <w:rPr>
                <w:rFonts w:cs="Times New Roman"/>
                <w:sz w:val="16"/>
                <w:szCs w:val="16"/>
              </w:rPr>
              <w:br/>
              <w:t>(0</w:t>
            </w:r>
            <w:r>
              <w:rPr>
                <w:rFonts w:cs="Times New Roman"/>
                <w:sz w:val="16"/>
                <w:szCs w:val="16"/>
              </w:rPr>
              <w:t>,</w:t>
            </w:r>
            <w:r w:rsidRPr="001564E0">
              <w:rPr>
                <w:rFonts w:cs="Times New Roman"/>
                <w:sz w:val="16"/>
                <w:szCs w:val="16"/>
              </w:rPr>
              <w:t>128)</w:t>
            </w:r>
          </w:p>
        </w:tc>
        <w:tc>
          <w:tcPr>
            <w:tcW w:w="634" w:type="pct"/>
            <w:tcBorders>
              <w:top w:val="nil"/>
              <w:left w:val="nil"/>
              <w:right w:val="nil"/>
            </w:tcBorders>
            <w:shd w:val="clear" w:color="000000" w:fill="FFFFFF"/>
          </w:tcPr>
          <w:p w14:paraId="54EC7363" w14:textId="66B83C4B"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120</w:t>
            </w:r>
            <w:r w:rsidRPr="001564E0">
              <w:rPr>
                <w:rFonts w:cs="Times New Roman"/>
                <w:sz w:val="16"/>
                <w:szCs w:val="16"/>
              </w:rPr>
              <w:br/>
              <w:t>(0</w:t>
            </w:r>
            <w:r>
              <w:rPr>
                <w:rFonts w:cs="Times New Roman"/>
                <w:sz w:val="16"/>
                <w:szCs w:val="16"/>
              </w:rPr>
              <w:t>,</w:t>
            </w:r>
            <w:r w:rsidRPr="001564E0">
              <w:rPr>
                <w:rFonts w:cs="Times New Roman"/>
                <w:sz w:val="16"/>
                <w:szCs w:val="16"/>
              </w:rPr>
              <w:t>142)</w:t>
            </w:r>
          </w:p>
        </w:tc>
        <w:tc>
          <w:tcPr>
            <w:tcW w:w="633" w:type="pct"/>
            <w:tcBorders>
              <w:top w:val="nil"/>
              <w:left w:val="nil"/>
              <w:right w:val="nil"/>
            </w:tcBorders>
            <w:shd w:val="clear" w:color="000000" w:fill="FFFFFF"/>
          </w:tcPr>
          <w:p w14:paraId="0E1378E8" w14:textId="492F53C0"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190</w:t>
            </w:r>
            <w:r w:rsidRPr="001564E0">
              <w:rPr>
                <w:rFonts w:cs="Times New Roman"/>
                <w:sz w:val="16"/>
                <w:szCs w:val="16"/>
              </w:rPr>
              <w:br/>
              <w:t>(0</w:t>
            </w:r>
            <w:r>
              <w:rPr>
                <w:rFonts w:cs="Times New Roman"/>
                <w:sz w:val="16"/>
                <w:szCs w:val="16"/>
              </w:rPr>
              <w:t>,</w:t>
            </w:r>
            <w:r w:rsidRPr="001564E0">
              <w:rPr>
                <w:rFonts w:cs="Times New Roman"/>
                <w:sz w:val="16"/>
                <w:szCs w:val="16"/>
              </w:rPr>
              <w:t>169)</w:t>
            </w:r>
          </w:p>
        </w:tc>
        <w:tc>
          <w:tcPr>
            <w:tcW w:w="633" w:type="pct"/>
            <w:tcBorders>
              <w:top w:val="nil"/>
              <w:left w:val="nil"/>
              <w:right w:val="nil"/>
            </w:tcBorders>
            <w:shd w:val="clear" w:color="000000" w:fill="FFFFFF"/>
          </w:tcPr>
          <w:p w14:paraId="1C120AE4" w14:textId="1A75F42F"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192</w:t>
            </w:r>
            <w:r w:rsidRPr="001564E0">
              <w:rPr>
                <w:rFonts w:cs="Times New Roman"/>
                <w:sz w:val="16"/>
                <w:szCs w:val="16"/>
              </w:rPr>
              <w:br/>
              <w:t>(0</w:t>
            </w:r>
            <w:r>
              <w:rPr>
                <w:rFonts w:cs="Times New Roman"/>
                <w:sz w:val="16"/>
                <w:szCs w:val="16"/>
              </w:rPr>
              <w:t>,</w:t>
            </w:r>
            <w:r w:rsidRPr="001564E0">
              <w:rPr>
                <w:rFonts w:cs="Times New Roman"/>
                <w:sz w:val="16"/>
                <w:szCs w:val="16"/>
              </w:rPr>
              <w:t>126)</w:t>
            </w:r>
          </w:p>
        </w:tc>
        <w:tc>
          <w:tcPr>
            <w:tcW w:w="633" w:type="pct"/>
            <w:tcBorders>
              <w:top w:val="nil"/>
              <w:left w:val="nil"/>
              <w:right w:val="nil"/>
            </w:tcBorders>
            <w:shd w:val="clear" w:color="000000" w:fill="FFFFFF"/>
          </w:tcPr>
          <w:p w14:paraId="7B387F8D" w14:textId="395F946A" w:rsidR="00340844" w:rsidRPr="00694C51" w:rsidRDefault="00340844" w:rsidP="00340844">
            <w:pPr>
              <w:snapToGrid w:val="0"/>
              <w:spacing w:before="40" w:after="40" w:line="240" w:lineRule="auto"/>
              <w:jc w:val="left"/>
              <w:rPr>
                <w:rFonts w:cs="Times New Roman"/>
                <w:color w:val="000000"/>
                <w:sz w:val="16"/>
                <w:szCs w:val="16"/>
              </w:rPr>
            </w:pPr>
          </w:p>
        </w:tc>
      </w:tr>
      <w:tr w:rsidR="00B22F24" w:rsidRPr="00FC4EB7" w14:paraId="1A274E03" w14:textId="77777777" w:rsidTr="00743E38">
        <w:trPr>
          <w:trHeight w:val="20"/>
          <w:jc w:val="center"/>
        </w:trPr>
        <w:tc>
          <w:tcPr>
            <w:tcW w:w="1201" w:type="pct"/>
            <w:tcBorders>
              <w:top w:val="nil"/>
              <w:left w:val="nil"/>
              <w:bottom w:val="single" w:sz="8" w:space="0" w:color="auto"/>
              <w:right w:val="nil"/>
            </w:tcBorders>
            <w:shd w:val="clear" w:color="000000" w:fill="FFFFFF"/>
          </w:tcPr>
          <w:p w14:paraId="3D5CBD36" w14:textId="77777777" w:rsidR="00B22F24" w:rsidRPr="00FC4EB7" w:rsidRDefault="00B22F2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Verringerung (Referenzgruppe)</w:t>
            </w:r>
          </w:p>
        </w:tc>
        <w:tc>
          <w:tcPr>
            <w:tcW w:w="633" w:type="pct"/>
            <w:tcBorders>
              <w:top w:val="nil"/>
              <w:left w:val="nil"/>
              <w:bottom w:val="single" w:sz="8" w:space="0" w:color="auto"/>
              <w:right w:val="nil"/>
            </w:tcBorders>
            <w:shd w:val="clear" w:color="000000" w:fill="FFFFFF"/>
            <w:noWrap/>
          </w:tcPr>
          <w:p w14:paraId="29D38B19" w14:textId="77777777" w:rsidR="00B22F24" w:rsidRPr="00694C51" w:rsidRDefault="00B22F24" w:rsidP="003B1C0E">
            <w:pPr>
              <w:snapToGrid w:val="0"/>
              <w:spacing w:before="40" w:after="40" w:line="240" w:lineRule="auto"/>
              <w:jc w:val="left"/>
              <w:rPr>
                <w:rFonts w:cs="Times New Roman"/>
                <w:color w:val="000000"/>
                <w:sz w:val="16"/>
                <w:szCs w:val="16"/>
              </w:rPr>
            </w:pPr>
          </w:p>
        </w:tc>
        <w:tc>
          <w:tcPr>
            <w:tcW w:w="633" w:type="pct"/>
            <w:tcBorders>
              <w:top w:val="nil"/>
              <w:left w:val="nil"/>
              <w:bottom w:val="single" w:sz="8" w:space="0" w:color="auto"/>
              <w:right w:val="nil"/>
            </w:tcBorders>
            <w:shd w:val="clear" w:color="000000" w:fill="FFFFFF"/>
          </w:tcPr>
          <w:p w14:paraId="338C06B0" w14:textId="77777777" w:rsidR="00B22F24" w:rsidRPr="00694C51" w:rsidRDefault="00B22F24" w:rsidP="003B1C0E">
            <w:pPr>
              <w:snapToGrid w:val="0"/>
              <w:spacing w:before="40" w:after="40" w:line="240" w:lineRule="auto"/>
              <w:jc w:val="left"/>
              <w:rPr>
                <w:rFonts w:cs="Times New Roman"/>
                <w:color w:val="000000"/>
                <w:sz w:val="16"/>
                <w:szCs w:val="16"/>
              </w:rPr>
            </w:pPr>
          </w:p>
        </w:tc>
        <w:tc>
          <w:tcPr>
            <w:tcW w:w="634" w:type="pct"/>
            <w:tcBorders>
              <w:top w:val="nil"/>
              <w:left w:val="nil"/>
              <w:bottom w:val="single" w:sz="8" w:space="0" w:color="auto"/>
              <w:right w:val="nil"/>
            </w:tcBorders>
            <w:shd w:val="clear" w:color="000000" w:fill="FFFFFF"/>
          </w:tcPr>
          <w:p w14:paraId="1DE96827" w14:textId="77777777" w:rsidR="00B22F24" w:rsidRPr="00694C51" w:rsidRDefault="00B22F24" w:rsidP="003B1C0E">
            <w:pPr>
              <w:snapToGrid w:val="0"/>
              <w:spacing w:before="40" w:after="40" w:line="240" w:lineRule="auto"/>
              <w:jc w:val="left"/>
              <w:rPr>
                <w:rFonts w:cs="Times New Roman"/>
                <w:color w:val="000000"/>
                <w:sz w:val="16"/>
                <w:szCs w:val="16"/>
              </w:rPr>
            </w:pPr>
          </w:p>
        </w:tc>
        <w:tc>
          <w:tcPr>
            <w:tcW w:w="633" w:type="pct"/>
            <w:tcBorders>
              <w:top w:val="nil"/>
              <w:left w:val="nil"/>
              <w:bottom w:val="single" w:sz="8" w:space="0" w:color="auto"/>
              <w:right w:val="nil"/>
            </w:tcBorders>
            <w:shd w:val="clear" w:color="000000" w:fill="FFFFFF"/>
          </w:tcPr>
          <w:p w14:paraId="1E4D6E52" w14:textId="77777777" w:rsidR="00B22F24" w:rsidRPr="00694C51" w:rsidRDefault="00B22F24" w:rsidP="003B1C0E">
            <w:pPr>
              <w:snapToGrid w:val="0"/>
              <w:spacing w:before="40" w:after="40" w:line="240" w:lineRule="auto"/>
              <w:jc w:val="left"/>
              <w:rPr>
                <w:rFonts w:cs="Times New Roman"/>
                <w:color w:val="000000"/>
                <w:sz w:val="16"/>
                <w:szCs w:val="16"/>
              </w:rPr>
            </w:pPr>
          </w:p>
        </w:tc>
        <w:tc>
          <w:tcPr>
            <w:tcW w:w="633" w:type="pct"/>
            <w:tcBorders>
              <w:top w:val="nil"/>
              <w:left w:val="nil"/>
              <w:bottom w:val="single" w:sz="8" w:space="0" w:color="auto"/>
              <w:right w:val="nil"/>
            </w:tcBorders>
            <w:shd w:val="clear" w:color="000000" w:fill="FFFFFF"/>
          </w:tcPr>
          <w:p w14:paraId="1B8E0493" w14:textId="77777777" w:rsidR="00B22F24" w:rsidRPr="00694C51" w:rsidRDefault="00B22F24" w:rsidP="003B1C0E">
            <w:pPr>
              <w:snapToGrid w:val="0"/>
              <w:spacing w:before="40" w:after="40" w:line="240" w:lineRule="auto"/>
              <w:jc w:val="left"/>
              <w:rPr>
                <w:rFonts w:cs="Times New Roman"/>
                <w:color w:val="000000"/>
                <w:sz w:val="16"/>
                <w:szCs w:val="16"/>
              </w:rPr>
            </w:pPr>
          </w:p>
        </w:tc>
        <w:tc>
          <w:tcPr>
            <w:tcW w:w="633" w:type="pct"/>
            <w:tcBorders>
              <w:top w:val="nil"/>
              <w:left w:val="nil"/>
              <w:bottom w:val="single" w:sz="8" w:space="0" w:color="auto"/>
              <w:right w:val="nil"/>
            </w:tcBorders>
            <w:shd w:val="clear" w:color="000000" w:fill="FFFFFF"/>
          </w:tcPr>
          <w:p w14:paraId="32524B80" w14:textId="77777777" w:rsidR="00B22F24" w:rsidRPr="00694C51" w:rsidRDefault="00B22F24" w:rsidP="003B1C0E">
            <w:pPr>
              <w:snapToGrid w:val="0"/>
              <w:spacing w:before="40" w:after="40" w:line="240" w:lineRule="auto"/>
              <w:jc w:val="left"/>
              <w:rPr>
                <w:rFonts w:cs="Times New Roman"/>
                <w:color w:val="000000"/>
                <w:sz w:val="16"/>
                <w:szCs w:val="16"/>
              </w:rPr>
            </w:pPr>
          </w:p>
        </w:tc>
      </w:tr>
    </w:tbl>
    <w:p w14:paraId="3DE56666" w14:textId="77777777" w:rsidR="00B22F24" w:rsidRDefault="00B22F24" w:rsidP="00B22F24">
      <w:pPr>
        <w:spacing w:after="120"/>
        <w:rPr>
          <w:b/>
          <w:bCs/>
        </w:rPr>
      </w:pPr>
    </w:p>
    <w:p w14:paraId="70E87AC4" w14:textId="131113B8" w:rsidR="00B22F24" w:rsidRPr="00996DC5" w:rsidRDefault="00B22F24" w:rsidP="00B22F24">
      <w:pPr>
        <w:spacing w:after="120"/>
        <w:rPr>
          <w:b/>
          <w:bCs/>
        </w:rPr>
      </w:pPr>
      <w:r>
        <w:rPr>
          <w:b/>
          <w:bCs/>
        </w:rPr>
        <w:lastRenderedPageBreak/>
        <w:t>T</w:t>
      </w:r>
      <w:r w:rsidRPr="00EB0B5A">
        <w:rPr>
          <w:b/>
          <w:bCs/>
        </w:rPr>
        <w:t xml:space="preserve">abelle </w:t>
      </w:r>
      <w:r w:rsidR="00006603">
        <w:rPr>
          <w:b/>
          <w:bCs/>
        </w:rPr>
        <w:t>11</w:t>
      </w:r>
      <w:r w:rsidRPr="00EB0B5A">
        <w:rPr>
          <w:b/>
          <w:bCs/>
        </w:rPr>
        <w:t xml:space="preserve"> (</w:t>
      </w:r>
      <w:r w:rsidRPr="00996DC5">
        <w:rPr>
          <w:b/>
          <w:bCs/>
        </w:rPr>
        <w:t>fortgesetzt</w:t>
      </w:r>
      <w:r w:rsidRPr="00EB0B5A">
        <w:rPr>
          <w:b/>
          <w:bCs/>
        </w:rPr>
        <w:t>):</w:t>
      </w:r>
    </w:p>
    <w:tbl>
      <w:tblPr>
        <w:tblW w:w="5000" w:type="pct"/>
        <w:jc w:val="center"/>
        <w:tblLayout w:type="fixed"/>
        <w:tblLook w:val="04A0" w:firstRow="1" w:lastRow="0" w:firstColumn="1" w:lastColumn="0" w:noHBand="0" w:noVBand="1"/>
      </w:tblPr>
      <w:tblGrid>
        <w:gridCol w:w="2094"/>
        <w:gridCol w:w="1104"/>
        <w:gridCol w:w="1104"/>
        <w:gridCol w:w="1106"/>
        <w:gridCol w:w="1104"/>
        <w:gridCol w:w="1104"/>
        <w:gridCol w:w="1104"/>
      </w:tblGrid>
      <w:tr w:rsidR="00485743" w:rsidRPr="002D11BF" w14:paraId="44C9A16A" w14:textId="77777777" w:rsidTr="003B1C0E">
        <w:trPr>
          <w:trHeight w:val="20"/>
          <w:jc w:val="center"/>
        </w:trPr>
        <w:tc>
          <w:tcPr>
            <w:tcW w:w="1201" w:type="pct"/>
            <w:tcBorders>
              <w:top w:val="single" w:sz="8" w:space="0" w:color="auto"/>
              <w:left w:val="nil"/>
              <w:bottom w:val="single" w:sz="6" w:space="0" w:color="auto"/>
              <w:right w:val="nil"/>
            </w:tcBorders>
            <w:shd w:val="clear" w:color="000000" w:fill="FFFFFF"/>
            <w:noWrap/>
            <w:vAlign w:val="bottom"/>
            <w:hideMark/>
          </w:tcPr>
          <w:p w14:paraId="21BA9B74" w14:textId="77777777" w:rsidR="00485743" w:rsidRPr="002D11BF" w:rsidRDefault="00485743" w:rsidP="00485743">
            <w:pPr>
              <w:snapToGrid w:val="0"/>
              <w:spacing w:after="0" w:line="240" w:lineRule="auto"/>
              <w:jc w:val="left"/>
              <w:rPr>
                <w:b/>
                <w:bCs/>
                <w:color w:val="000000"/>
                <w:sz w:val="16"/>
                <w:szCs w:val="16"/>
              </w:rPr>
            </w:pPr>
            <w:r w:rsidRPr="002D11BF">
              <w:rPr>
                <w:b/>
                <w:bCs/>
                <w:color w:val="000000"/>
                <w:sz w:val="16"/>
                <w:szCs w:val="16"/>
              </w:rPr>
              <w:t>Variable</w:t>
            </w:r>
          </w:p>
        </w:tc>
        <w:tc>
          <w:tcPr>
            <w:tcW w:w="633" w:type="pct"/>
            <w:tcBorders>
              <w:top w:val="single" w:sz="8" w:space="0" w:color="auto"/>
              <w:left w:val="nil"/>
              <w:bottom w:val="single" w:sz="6" w:space="0" w:color="auto"/>
              <w:right w:val="nil"/>
            </w:tcBorders>
            <w:shd w:val="clear" w:color="000000" w:fill="FFFFFF"/>
            <w:noWrap/>
            <w:vAlign w:val="bottom"/>
            <w:hideMark/>
          </w:tcPr>
          <w:p w14:paraId="0EEA7A80" w14:textId="77777777" w:rsidR="00485743" w:rsidRDefault="00485743" w:rsidP="00485743">
            <w:pPr>
              <w:snapToGrid w:val="0"/>
              <w:spacing w:after="0" w:line="240" w:lineRule="auto"/>
              <w:jc w:val="left"/>
              <w:rPr>
                <w:b/>
                <w:bCs/>
                <w:color w:val="000000"/>
                <w:sz w:val="16"/>
                <w:szCs w:val="16"/>
              </w:rPr>
            </w:pPr>
            <w:r>
              <w:rPr>
                <w:b/>
                <w:bCs/>
                <w:color w:val="000000"/>
                <w:sz w:val="16"/>
                <w:szCs w:val="16"/>
              </w:rPr>
              <w:t>Darlehen</w:t>
            </w:r>
          </w:p>
          <w:p w14:paraId="546A2D4E"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H1</w:t>
            </w:r>
          </w:p>
        </w:tc>
        <w:tc>
          <w:tcPr>
            <w:tcW w:w="633" w:type="pct"/>
            <w:tcBorders>
              <w:top w:val="single" w:sz="8" w:space="0" w:color="auto"/>
              <w:left w:val="nil"/>
              <w:bottom w:val="single" w:sz="6" w:space="0" w:color="auto"/>
              <w:right w:val="nil"/>
            </w:tcBorders>
            <w:shd w:val="clear" w:color="000000" w:fill="FFFFFF"/>
            <w:vAlign w:val="bottom"/>
          </w:tcPr>
          <w:p w14:paraId="0858FB02" w14:textId="77777777" w:rsidR="00485743" w:rsidRDefault="00485743" w:rsidP="00485743">
            <w:pPr>
              <w:snapToGrid w:val="0"/>
              <w:spacing w:after="0" w:line="240" w:lineRule="auto"/>
              <w:jc w:val="left"/>
              <w:rPr>
                <w:b/>
                <w:bCs/>
                <w:color w:val="000000"/>
                <w:sz w:val="16"/>
                <w:szCs w:val="16"/>
              </w:rPr>
            </w:pPr>
            <w:r>
              <w:rPr>
                <w:b/>
                <w:bCs/>
                <w:color w:val="000000"/>
                <w:sz w:val="16"/>
                <w:szCs w:val="16"/>
              </w:rPr>
              <w:t>Flexible Schulden</w:t>
            </w:r>
          </w:p>
          <w:p w14:paraId="58A21DE5"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H2</w:t>
            </w:r>
          </w:p>
        </w:tc>
        <w:tc>
          <w:tcPr>
            <w:tcW w:w="634" w:type="pct"/>
            <w:tcBorders>
              <w:top w:val="single" w:sz="8" w:space="0" w:color="auto"/>
              <w:left w:val="nil"/>
              <w:bottom w:val="single" w:sz="6" w:space="0" w:color="auto"/>
              <w:right w:val="nil"/>
            </w:tcBorders>
            <w:shd w:val="clear" w:color="000000" w:fill="FFFFFF"/>
            <w:vAlign w:val="bottom"/>
          </w:tcPr>
          <w:p w14:paraId="5AF7A066" w14:textId="77777777" w:rsidR="00485743" w:rsidRDefault="00485743" w:rsidP="00485743">
            <w:pPr>
              <w:snapToGrid w:val="0"/>
              <w:spacing w:after="0" w:line="240" w:lineRule="auto"/>
              <w:jc w:val="left"/>
              <w:rPr>
                <w:b/>
                <w:bCs/>
                <w:color w:val="000000"/>
                <w:sz w:val="16"/>
                <w:szCs w:val="16"/>
              </w:rPr>
            </w:pPr>
            <w:r>
              <w:rPr>
                <w:b/>
                <w:bCs/>
                <w:color w:val="000000"/>
                <w:sz w:val="16"/>
                <w:szCs w:val="16"/>
              </w:rPr>
              <w:t>Lieferanten-kredite</w:t>
            </w:r>
          </w:p>
          <w:p w14:paraId="644773F5" w14:textId="68D146F0" w:rsidR="00485743" w:rsidRPr="002D11BF" w:rsidRDefault="00485743" w:rsidP="00485743">
            <w:pPr>
              <w:snapToGrid w:val="0"/>
              <w:spacing w:after="0" w:line="240" w:lineRule="auto"/>
              <w:jc w:val="left"/>
              <w:rPr>
                <w:b/>
                <w:bCs/>
                <w:color w:val="000000"/>
                <w:sz w:val="16"/>
                <w:szCs w:val="16"/>
              </w:rPr>
            </w:pPr>
            <w:r>
              <w:rPr>
                <w:b/>
                <w:bCs/>
                <w:color w:val="000000"/>
                <w:sz w:val="16"/>
                <w:szCs w:val="16"/>
              </w:rPr>
              <w:t>H3</w:t>
            </w:r>
          </w:p>
        </w:tc>
        <w:tc>
          <w:tcPr>
            <w:tcW w:w="633" w:type="pct"/>
            <w:tcBorders>
              <w:top w:val="single" w:sz="8" w:space="0" w:color="auto"/>
              <w:left w:val="nil"/>
              <w:bottom w:val="single" w:sz="6" w:space="0" w:color="auto"/>
              <w:right w:val="nil"/>
            </w:tcBorders>
            <w:shd w:val="clear" w:color="000000" w:fill="FFFFFF"/>
            <w:vAlign w:val="bottom"/>
          </w:tcPr>
          <w:p w14:paraId="453A79C5" w14:textId="77777777" w:rsidR="00485743" w:rsidRDefault="00485743" w:rsidP="00485743">
            <w:pPr>
              <w:snapToGrid w:val="0"/>
              <w:spacing w:after="0" w:line="240" w:lineRule="auto"/>
              <w:jc w:val="left"/>
              <w:rPr>
                <w:b/>
                <w:bCs/>
                <w:color w:val="000000"/>
                <w:sz w:val="16"/>
                <w:szCs w:val="16"/>
              </w:rPr>
            </w:pPr>
            <w:r>
              <w:rPr>
                <w:b/>
                <w:bCs/>
                <w:color w:val="000000"/>
                <w:sz w:val="16"/>
                <w:szCs w:val="16"/>
              </w:rPr>
              <w:t>Zuschüsse</w:t>
            </w:r>
          </w:p>
          <w:p w14:paraId="23186DEA" w14:textId="6F5E5D05" w:rsidR="00485743" w:rsidRPr="002D11BF" w:rsidRDefault="00485743" w:rsidP="00485743">
            <w:pPr>
              <w:snapToGrid w:val="0"/>
              <w:spacing w:after="0" w:line="240" w:lineRule="auto"/>
              <w:jc w:val="left"/>
              <w:rPr>
                <w:b/>
                <w:bCs/>
                <w:color w:val="000000"/>
                <w:sz w:val="16"/>
                <w:szCs w:val="16"/>
              </w:rPr>
            </w:pPr>
            <w:r>
              <w:rPr>
                <w:b/>
                <w:bCs/>
                <w:color w:val="000000"/>
                <w:sz w:val="16"/>
                <w:szCs w:val="16"/>
              </w:rPr>
              <w:t>H4</w:t>
            </w:r>
          </w:p>
        </w:tc>
        <w:tc>
          <w:tcPr>
            <w:tcW w:w="633" w:type="pct"/>
            <w:tcBorders>
              <w:top w:val="single" w:sz="8" w:space="0" w:color="auto"/>
              <w:left w:val="nil"/>
              <w:bottom w:val="single" w:sz="6" w:space="0" w:color="auto"/>
              <w:right w:val="nil"/>
            </w:tcBorders>
            <w:shd w:val="clear" w:color="000000" w:fill="FFFFFF"/>
            <w:vAlign w:val="bottom"/>
          </w:tcPr>
          <w:p w14:paraId="7B3D78C1" w14:textId="77777777" w:rsidR="00485743" w:rsidRDefault="00485743" w:rsidP="00485743">
            <w:pPr>
              <w:snapToGrid w:val="0"/>
              <w:spacing w:after="0" w:line="240" w:lineRule="auto"/>
              <w:jc w:val="left"/>
              <w:rPr>
                <w:b/>
                <w:bCs/>
                <w:color w:val="000000"/>
                <w:sz w:val="16"/>
                <w:szCs w:val="16"/>
              </w:rPr>
            </w:pPr>
            <w:r>
              <w:rPr>
                <w:b/>
                <w:bCs/>
                <w:color w:val="000000"/>
                <w:sz w:val="16"/>
                <w:szCs w:val="16"/>
              </w:rPr>
              <w:t>Asset-   basiert</w:t>
            </w:r>
          </w:p>
          <w:p w14:paraId="004E80A6"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H5</w:t>
            </w:r>
          </w:p>
        </w:tc>
        <w:tc>
          <w:tcPr>
            <w:tcW w:w="633" w:type="pct"/>
            <w:tcBorders>
              <w:top w:val="single" w:sz="8" w:space="0" w:color="auto"/>
              <w:left w:val="nil"/>
              <w:bottom w:val="single" w:sz="6" w:space="0" w:color="auto"/>
              <w:right w:val="nil"/>
            </w:tcBorders>
            <w:shd w:val="clear" w:color="000000" w:fill="FFFFFF"/>
            <w:vAlign w:val="bottom"/>
          </w:tcPr>
          <w:p w14:paraId="5EAA0F95" w14:textId="77777777" w:rsidR="00485743" w:rsidRDefault="00485743" w:rsidP="00485743">
            <w:pPr>
              <w:snapToGrid w:val="0"/>
              <w:spacing w:after="0" w:line="240" w:lineRule="auto"/>
              <w:jc w:val="left"/>
              <w:rPr>
                <w:b/>
                <w:bCs/>
                <w:color w:val="000000"/>
                <w:sz w:val="16"/>
                <w:szCs w:val="16"/>
              </w:rPr>
            </w:pPr>
            <w:r>
              <w:rPr>
                <w:b/>
                <w:bCs/>
                <w:color w:val="000000"/>
                <w:sz w:val="16"/>
                <w:szCs w:val="16"/>
              </w:rPr>
              <w:t>Innen-finanzierung</w:t>
            </w:r>
          </w:p>
          <w:p w14:paraId="3D24B893" w14:textId="77777777" w:rsidR="00485743" w:rsidRPr="002D11BF" w:rsidRDefault="00485743" w:rsidP="00485743">
            <w:pPr>
              <w:snapToGrid w:val="0"/>
              <w:spacing w:after="0" w:line="240" w:lineRule="auto"/>
              <w:jc w:val="left"/>
              <w:rPr>
                <w:b/>
                <w:bCs/>
                <w:color w:val="000000"/>
                <w:sz w:val="16"/>
                <w:szCs w:val="16"/>
              </w:rPr>
            </w:pPr>
            <w:r>
              <w:rPr>
                <w:b/>
                <w:bCs/>
                <w:color w:val="000000"/>
                <w:sz w:val="16"/>
                <w:szCs w:val="16"/>
              </w:rPr>
              <w:t>H6</w:t>
            </w:r>
          </w:p>
        </w:tc>
      </w:tr>
      <w:tr w:rsidR="00B22F24" w:rsidRPr="00694C51" w14:paraId="0A5D20B6" w14:textId="77777777" w:rsidTr="003B1C0E">
        <w:trPr>
          <w:trHeight w:val="20"/>
          <w:jc w:val="center"/>
        </w:trPr>
        <w:tc>
          <w:tcPr>
            <w:tcW w:w="1201" w:type="pct"/>
            <w:tcBorders>
              <w:top w:val="nil"/>
              <w:left w:val="nil"/>
              <w:right w:val="nil"/>
            </w:tcBorders>
            <w:shd w:val="clear" w:color="000000" w:fill="FFFFFF"/>
          </w:tcPr>
          <w:p w14:paraId="06423A53" w14:textId="77777777" w:rsidR="00B22F24" w:rsidRPr="00F906E9" w:rsidRDefault="00B22F24" w:rsidP="003B1C0E">
            <w:pPr>
              <w:snapToGrid w:val="0"/>
              <w:spacing w:before="40" w:after="40" w:line="240" w:lineRule="auto"/>
              <w:jc w:val="left"/>
              <w:rPr>
                <w:b/>
                <w:bCs/>
                <w:color w:val="000000"/>
                <w:sz w:val="16"/>
                <w:szCs w:val="16"/>
              </w:rPr>
            </w:pPr>
            <w:r w:rsidRPr="00F906E9">
              <w:rPr>
                <w:b/>
                <w:bCs/>
                <w:color w:val="000000"/>
                <w:spacing w:val="-6"/>
                <w:sz w:val="16"/>
                <w:szCs w:val="16"/>
              </w:rPr>
              <w:t>Probleme beim Zugang</w:t>
            </w:r>
            <w:r w:rsidRPr="00F906E9">
              <w:rPr>
                <w:b/>
                <w:bCs/>
                <w:color w:val="000000"/>
                <w:sz w:val="16"/>
                <w:szCs w:val="16"/>
              </w:rPr>
              <w:t xml:space="preserve"> </w:t>
            </w:r>
            <w:r w:rsidRPr="00F906E9">
              <w:rPr>
                <w:b/>
                <w:bCs/>
                <w:color w:val="000000"/>
                <w:spacing w:val="-8"/>
                <w:sz w:val="16"/>
                <w:szCs w:val="16"/>
              </w:rPr>
              <w:t>zu Finanzierungsquellen</w:t>
            </w:r>
          </w:p>
        </w:tc>
        <w:tc>
          <w:tcPr>
            <w:tcW w:w="633" w:type="pct"/>
            <w:tcBorders>
              <w:top w:val="nil"/>
              <w:left w:val="nil"/>
              <w:right w:val="nil"/>
            </w:tcBorders>
            <w:shd w:val="clear" w:color="000000" w:fill="FFFFFF"/>
            <w:noWrap/>
          </w:tcPr>
          <w:p w14:paraId="35C43B53" w14:textId="77777777" w:rsidR="00B22F24" w:rsidRPr="00694C51" w:rsidRDefault="00B22F24" w:rsidP="003B1C0E">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4424A955" w14:textId="77777777" w:rsidR="00B22F24" w:rsidRPr="00694C51" w:rsidRDefault="00B22F24" w:rsidP="003B1C0E">
            <w:pPr>
              <w:snapToGrid w:val="0"/>
              <w:spacing w:before="40" w:after="40" w:line="240" w:lineRule="auto"/>
              <w:jc w:val="left"/>
              <w:rPr>
                <w:rFonts w:cs="Times New Roman"/>
                <w:spacing w:val="-2"/>
                <w:sz w:val="16"/>
                <w:szCs w:val="16"/>
              </w:rPr>
            </w:pPr>
          </w:p>
        </w:tc>
        <w:tc>
          <w:tcPr>
            <w:tcW w:w="634" w:type="pct"/>
            <w:tcBorders>
              <w:top w:val="nil"/>
              <w:left w:val="nil"/>
              <w:right w:val="nil"/>
            </w:tcBorders>
            <w:shd w:val="clear" w:color="000000" w:fill="FFFFFF"/>
          </w:tcPr>
          <w:p w14:paraId="4D80F4F9" w14:textId="77777777" w:rsidR="00B22F24" w:rsidRPr="00694C51" w:rsidRDefault="00B22F24" w:rsidP="003B1C0E">
            <w:pPr>
              <w:snapToGrid w:val="0"/>
              <w:spacing w:before="40" w:after="40" w:line="240" w:lineRule="auto"/>
              <w:jc w:val="left"/>
              <w:rPr>
                <w:rFonts w:cs="Times New Roman"/>
                <w:spacing w:val="-2"/>
                <w:sz w:val="16"/>
                <w:szCs w:val="16"/>
              </w:rPr>
            </w:pPr>
          </w:p>
        </w:tc>
        <w:tc>
          <w:tcPr>
            <w:tcW w:w="633" w:type="pct"/>
            <w:tcBorders>
              <w:top w:val="nil"/>
              <w:left w:val="nil"/>
              <w:right w:val="nil"/>
            </w:tcBorders>
            <w:shd w:val="clear" w:color="000000" w:fill="FFFFFF"/>
          </w:tcPr>
          <w:p w14:paraId="6742DF27" w14:textId="77777777" w:rsidR="00B22F24" w:rsidRPr="00694C51" w:rsidRDefault="00B22F24" w:rsidP="003B1C0E">
            <w:pPr>
              <w:snapToGrid w:val="0"/>
              <w:spacing w:before="40" w:after="40" w:line="240" w:lineRule="auto"/>
              <w:jc w:val="left"/>
              <w:rPr>
                <w:rFonts w:cs="Times New Roman"/>
                <w:spacing w:val="-2"/>
                <w:sz w:val="16"/>
                <w:szCs w:val="16"/>
              </w:rPr>
            </w:pPr>
          </w:p>
        </w:tc>
        <w:tc>
          <w:tcPr>
            <w:tcW w:w="633" w:type="pct"/>
            <w:tcBorders>
              <w:top w:val="nil"/>
              <w:left w:val="nil"/>
              <w:right w:val="nil"/>
            </w:tcBorders>
            <w:shd w:val="clear" w:color="000000" w:fill="FFFFFF"/>
          </w:tcPr>
          <w:p w14:paraId="0B77CE30" w14:textId="77777777" w:rsidR="00B22F24" w:rsidRPr="00694C51" w:rsidRDefault="00B22F24" w:rsidP="003B1C0E">
            <w:pPr>
              <w:snapToGrid w:val="0"/>
              <w:spacing w:before="40" w:after="40" w:line="240" w:lineRule="auto"/>
              <w:jc w:val="left"/>
              <w:rPr>
                <w:rFonts w:cs="Times New Roman"/>
                <w:spacing w:val="-2"/>
                <w:sz w:val="16"/>
                <w:szCs w:val="16"/>
              </w:rPr>
            </w:pPr>
          </w:p>
        </w:tc>
        <w:tc>
          <w:tcPr>
            <w:tcW w:w="633" w:type="pct"/>
            <w:tcBorders>
              <w:top w:val="nil"/>
              <w:left w:val="nil"/>
              <w:right w:val="nil"/>
            </w:tcBorders>
            <w:shd w:val="clear" w:color="000000" w:fill="FFFFFF"/>
          </w:tcPr>
          <w:p w14:paraId="0E2DB3F3" w14:textId="77777777" w:rsidR="00B22F24" w:rsidRPr="00694C51" w:rsidRDefault="00B22F24" w:rsidP="003B1C0E">
            <w:pPr>
              <w:snapToGrid w:val="0"/>
              <w:spacing w:before="40" w:after="40" w:line="240" w:lineRule="auto"/>
              <w:jc w:val="left"/>
              <w:rPr>
                <w:rFonts w:cs="Times New Roman"/>
                <w:spacing w:val="-2"/>
                <w:sz w:val="16"/>
                <w:szCs w:val="16"/>
              </w:rPr>
            </w:pPr>
          </w:p>
        </w:tc>
      </w:tr>
      <w:tr w:rsidR="00340844" w:rsidRPr="00FC4EB7" w14:paraId="0F6E90ED" w14:textId="77777777" w:rsidTr="001564E0">
        <w:trPr>
          <w:trHeight w:val="20"/>
          <w:jc w:val="center"/>
        </w:trPr>
        <w:tc>
          <w:tcPr>
            <w:tcW w:w="1201" w:type="pct"/>
            <w:tcBorders>
              <w:top w:val="nil"/>
              <w:left w:val="nil"/>
              <w:right w:val="nil"/>
            </w:tcBorders>
            <w:shd w:val="clear" w:color="000000" w:fill="FFFFFF"/>
          </w:tcPr>
          <w:p w14:paraId="31BC98C5" w14:textId="77777777" w:rsidR="00340844" w:rsidRPr="000257B3"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Geringe Bedeutung (1–3)</w:t>
            </w:r>
          </w:p>
        </w:tc>
        <w:tc>
          <w:tcPr>
            <w:tcW w:w="633" w:type="pct"/>
            <w:tcBorders>
              <w:top w:val="nil"/>
              <w:left w:val="nil"/>
              <w:right w:val="nil"/>
            </w:tcBorders>
            <w:shd w:val="clear" w:color="000000" w:fill="FFFFFF"/>
            <w:noWrap/>
          </w:tcPr>
          <w:p w14:paraId="2B3D8F51" w14:textId="073CEA13"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-1</w:t>
            </w:r>
            <w:r>
              <w:rPr>
                <w:rFonts w:cs="Times New Roman"/>
                <w:sz w:val="16"/>
                <w:szCs w:val="16"/>
              </w:rPr>
              <w:t>,</w:t>
            </w:r>
            <w:r w:rsidRPr="001564E0">
              <w:rPr>
                <w:rFonts w:cs="Times New Roman"/>
                <w:sz w:val="16"/>
                <w:szCs w:val="16"/>
              </w:rPr>
              <w:t>664***</w:t>
            </w:r>
            <w:r w:rsidRPr="001564E0">
              <w:rPr>
                <w:rFonts w:cs="Times New Roman"/>
                <w:sz w:val="16"/>
                <w:szCs w:val="16"/>
              </w:rPr>
              <w:br/>
              <w:t>(0</w:t>
            </w:r>
            <w:r>
              <w:rPr>
                <w:rFonts w:cs="Times New Roman"/>
                <w:sz w:val="16"/>
                <w:szCs w:val="16"/>
              </w:rPr>
              <w:t>,</w:t>
            </w:r>
            <w:r w:rsidRPr="001564E0">
              <w:rPr>
                <w:rFonts w:cs="Times New Roman"/>
                <w:sz w:val="16"/>
                <w:szCs w:val="16"/>
              </w:rPr>
              <w:t>090)</w:t>
            </w:r>
          </w:p>
        </w:tc>
        <w:tc>
          <w:tcPr>
            <w:tcW w:w="633" w:type="pct"/>
            <w:tcBorders>
              <w:top w:val="nil"/>
              <w:left w:val="nil"/>
              <w:right w:val="nil"/>
            </w:tcBorders>
            <w:shd w:val="clear" w:color="000000" w:fill="FFFFFF"/>
          </w:tcPr>
          <w:p w14:paraId="73AFD06B" w14:textId="4ED1E868" w:rsidR="00340844" w:rsidRPr="001564E0" w:rsidRDefault="00340844" w:rsidP="00340844">
            <w:pPr>
              <w:snapToGrid w:val="0"/>
              <w:spacing w:before="40" w:after="40" w:line="240" w:lineRule="auto"/>
              <w:jc w:val="left"/>
              <w:rPr>
                <w:rFonts w:cs="Times New Roman"/>
                <w:spacing w:val="-2"/>
                <w:sz w:val="16"/>
                <w:szCs w:val="16"/>
              </w:rPr>
            </w:pPr>
            <w:r w:rsidRPr="001564E0">
              <w:rPr>
                <w:rFonts w:cs="Times New Roman"/>
                <w:sz w:val="16"/>
                <w:szCs w:val="16"/>
              </w:rPr>
              <w:t>-1</w:t>
            </w:r>
            <w:r>
              <w:rPr>
                <w:rFonts w:cs="Times New Roman"/>
                <w:sz w:val="16"/>
                <w:szCs w:val="16"/>
              </w:rPr>
              <w:t>,</w:t>
            </w:r>
            <w:r w:rsidRPr="001564E0">
              <w:rPr>
                <w:rFonts w:cs="Times New Roman"/>
                <w:sz w:val="16"/>
                <w:szCs w:val="16"/>
              </w:rPr>
              <w:t>203***</w:t>
            </w:r>
            <w:r w:rsidRPr="001564E0">
              <w:rPr>
                <w:rFonts w:cs="Times New Roman"/>
                <w:sz w:val="16"/>
                <w:szCs w:val="16"/>
              </w:rPr>
              <w:br/>
              <w:t>(0</w:t>
            </w:r>
            <w:r>
              <w:rPr>
                <w:rFonts w:cs="Times New Roman"/>
                <w:sz w:val="16"/>
                <w:szCs w:val="16"/>
              </w:rPr>
              <w:t>,</w:t>
            </w:r>
            <w:r w:rsidRPr="001564E0">
              <w:rPr>
                <w:rFonts w:cs="Times New Roman"/>
                <w:sz w:val="16"/>
                <w:szCs w:val="16"/>
              </w:rPr>
              <w:t>086)</w:t>
            </w:r>
          </w:p>
        </w:tc>
        <w:tc>
          <w:tcPr>
            <w:tcW w:w="634" w:type="pct"/>
            <w:tcBorders>
              <w:top w:val="nil"/>
              <w:left w:val="nil"/>
              <w:right w:val="nil"/>
            </w:tcBorders>
            <w:shd w:val="clear" w:color="000000" w:fill="FFFFFF"/>
          </w:tcPr>
          <w:p w14:paraId="3ADB8957" w14:textId="2034D74D" w:rsidR="00340844" w:rsidRPr="001564E0" w:rsidRDefault="00340844" w:rsidP="00340844">
            <w:pPr>
              <w:snapToGrid w:val="0"/>
              <w:spacing w:before="40" w:after="40" w:line="240" w:lineRule="auto"/>
              <w:jc w:val="left"/>
              <w:rPr>
                <w:rFonts w:cs="Times New Roman"/>
                <w:spacing w:val="-2"/>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758***</w:t>
            </w:r>
            <w:r w:rsidRPr="001564E0">
              <w:rPr>
                <w:rFonts w:cs="Times New Roman"/>
                <w:sz w:val="16"/>
                <w:szCs w:val="16"/>
              </w:rPr>
              <w:br/>
              <w:t>(0</w:t>
            </w:r>
            <w:r>
              <w:rPr>
                <w:rFonts w:cs="Times New Roman"/>
                <w:sz w:val="16"/>
                <w:szCs w:val="16"/>
              </w:rPr>
              <w:t>,</w:t>
            </w:r>
            <w:r w:rsidRPr="001564E0">
              <w:rPr>
                <w:rFonts w:cs="Times New Roman"/>
                <w:sz w:val="16"/>
                <w:szCs w:val="16"/>
              </w:rPr>
              <w:t>092)</w:t>
            </w:r>
          </w:p>
        </w:tc>
        <w:tc>
          <w:tcPr>
            <w:tcW w:w="633" w:type="pct"/>
            <w:tcBorders>
              <w:top w:val="nil"/>
              <w:left w:val="nil"/>
              <w:right w:val="nil"/>
            </w:tcBorders>
            <w:shd w:val="clear" w:color="000000" w:fill="FFFFFF"/>
          </w:tcPr>
          <w:p w14:paraId="13309AD0" w14:textId="1DCBD1FF" w:rsidR="00340844" w:rsidRPr="001564E0" w:rsidRDefault="00340844" w:rsidP="00340844">
            <w:pPr>
              <w:snapToGrid w:val="0"/>
              <w:spacing w:before="40" w:after="40" w:line="240" w:lineRule="auto"/>
              <w:jc w:val="left"/>
              <w:rPr>
                <w:rFonts w:cs="Times New Roman"/>
                <w:spacing w:val="-2"/>
                <w:sz w:val="16"/>
                <w:szCs w:val="16"/>
              </w:rPr>
            </w:pPr>
            <w:r w:rsidRPr="001564E0">
              <w:rPr>
                <w:rFonts w:cs="Times New Roman"/>
                <w:sz w:val="16"/>
                <w:szCs w:val="16"/>
              </w:rPr>
              <w:t>-1</w:t>
            </w:r>
            <w:r>
              <w:rPr>
                <w:rFonts w:cs="Times New Roman"/>
                <w:sz w:val="16"/>
                <w:szCs w:val="16"/>
              </w:rPr>
              <w:t>,</w:t>
            </w:r>
            <w:r w:rsidRPr="001564E0">
              <w:rPr>
                <w:rFonts w:cs="Times New Roman"/>
                <w:sz w:val="16"/>
                <w:szCs w:val="16"/>
              </w:rPr>
              <w:t>573***</w:t>
            </w:r>
            <w:r w:rsidRPr="001564E0">
              <w:rPr>
                <w:rFonts w:cs="Times New Roman"/>
                <w:sz w:val="16"/>
                <w:szCs w:val="16"/>
              </w:rPr>
              <w:br/>
              <w:t>(0</w:t>
            </w:r>
            <w:r>
              <w:rPr>
                <w:rFonts w:cs="Times New Roman"/>
                <w:sz w:val="16"/>
                <w:szCs w:val="16"/>
              </w:rPr>
              <w:t>,</w:t>
            </w:r>
            <w:r w:rsidRPr="001564E0">
              <w:rPr>
                <w:rFonts w:cs="Times New Roman"/>
                <w:sz w:val="16"/>
                <w:szCs w:val="16"/>
              </w:rPr>
              <w:t>099)</w:t>
            </w:r>
          </w:p>
        </w:tc>
        <w:tc>
          <w:tcPr>
            <w:tcW w:w="633" w:type="pct"/>
            <w:tcBorders>
              <w:top w:val="nil"/>
              <w:left w:val="nil"/>
              <w:right w:val="nil"/>
            </w:tcBorders>
            <w:shd w:val="clear" w:color="000000" w:fill="FFFFFF"/>
          </w:tcPr>
          <w:p w14:paraId="4AAFC69F" w14:textId="79BC8F20" w:rsidR="00340844" w:rsidRPr="001564E0" w:rsidRDefault="00340844" w:rsidP="00340844">
            <w:pPr>
              <w:snapToGrid w:val="0"/>
              <w:spacing w:before="40" w:after="40" w:line="240" w:lineRule="auto"/>
              <w:jc w:val="left"/>
              <w:rPr>
                <w:rFonts w:cs="Times New Roman"/>
                <w:spacing w:val="-2"/>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712***</w:t>
            </w:r>
            <w:r w:rsidRPr="001564E0">
              <w:rPr>
                <w:rFonts w:cs="Times New Roman"/>
                <w:sz w:val="16"/>
                <w:szCs w:val="16"/>
              </w:rPr>
              <w:br/>
              <w:t>(0</w:t>
            </w:r>
            <w:r>
              <w:rPr>
                <w:rFonts w:cs="Times New Roman"/>
                <w:sz w:val="16"/>
                <w:szCs w:val="16"/>
              </w:rPr>
              <w:t>,</w:t>
            </w:r>
            <w:r w:rsidRPr="001564E0">
              <w:rPr>
                <w:rFonts w:cs="Times New Roman"/>
                <w:sz w:val="16"/>
                <w:szCs w:val="16"/>
              </w:rPr>
              <w:t>084)</w:t>
            </w:r>
          </w:p>
        </w:tc>
        <w:tc>
          <w:tcPr>
            <w:tcW w:w="633" w:type="pct"/>
            <w:tcBorders>
              <w:top w:val="nil"/>
              <w:left w:val="nil"/>
              <w:right w:val="nil"/>
            </w:tcBorders>
            <w:shd w:val="clear" w:color="000000" w:fill="FFFFFF"/>
          </w:tcPr>
          <w:p w14:paraId="5463B048" w14:textId="22CD6AEB" w:rsidR="00340844" w:rsidRPr="00694C51" w:rsidRDefault="00340844" w:rsidP="00340844">
            <w:pPr>
              <w:snapToGrid w:val="0"/>
              <w:spacing w:before="40" w:after="40" w:line="240" w:lineRule="auto"/>
              <w:jc w:val="left"/>
              <w:rPr>
                <w:rFonts w:cs="Times New Roman"/>
                <w:spacing w:val="-2"/>
                <w:sz w:val="16"/>
                <w:szCs w:val="16"/>
              </w:rPr>
            </w:pPr>
          </w:p>
        </w:tc>
      </w:tr>
      <w:tr w:rsidR="00340844" w:rsidRPr="00FC4EB7" w14:paraId="63D3D27D" w14:textId="77777777" w:rsidTr="001564E0">
        <w:trPr>
          <w:trHeight w:val="20"/>
          <w:jc w:val="center"/>
        </w:trPr>
        <w:tc>
          <w:tcPr>
            <w:tcW w:w="1201" w:type="pct"/>
            <w:tcBorders>
              <w:top w:val="nil"/>
              <w:left w:val="nil"/>
              <w:right w:val="nil"/>
            </w:tcBorders>
            <w:shd w:val="clear" w:color="000000" w:fill="FFFFFF"/>
          </w:tcPr>
          <w:p w14:paraId="1FBA949D" w14:textId="77777777" w:rsidR="00340844" w:rsidRPr="000257B3"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Mittlere Bedeutung (4–6)</w:t>
            </w:r>
          </w:p>
        </w:tc>
        <w:tc>
          <w:tcPr>
            <w:tcW w:w="633" w:type="pct"/>
            <w:tcBorders>
              <w:top w:val="nil"/>
              <w:left w:val="nil"/>
              <w:right w:val="nil"/>
            </w:tcBorders>
            <w:shd w:val="clear" w:color="000000" w:fill="FFFFFF"/>
            <w:noWrap/>
          </w:tcPr>
          <w:p w14:paraId="53E40D92" w14:textId="7F1E6E60"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429***</w:t>
            </w:r>
            <w:r w:rsidRPr="001564E0">
              <w:rPr>
                <w:rFonts w:cs="Times New Roman"/>
                <w:sz w:val="16"/>
                <w:szCs w:val="16"/>
              </w:rPr>
              <w:br/>
              <w:t>(0</w:t>
            </w:r>
            <w:r>
              <w:rPr>
                <w:rFonts w:cs="Times New Roman"/>
                <w:sz w:val="16"/>
                <w:szCs w:val="16"/>
              </w:rPr>
              <w:t>,</w:t>
            </w:r>
            <w:r w:rsidRPr="001564E0">
              <w:rPr>
                <w:rFonts w:cs="Times New Roman"/>
                <w:sz w:val="16"/>
                <w:szCs w:val="16"/>
              </w:rPr>
              <w:t>090)</w:t>
            </w:r>
          </w:p>
        </w:tc>
        <w:tc>
          <w:tcPr>
            <w:tcW w:w="633" w:type="pct"/>
            <w:tcBorders>
              <w:top w:val="nil"/>
              <w:left w:val="nil"/>
              <w:right w:val="nil"/>
            </w:tcBorders>
            <w:shd w:val="clear" w:color="000000" w:fill="FFFFFF"/>
          </w:tcPr>
          <w:p w14:paraId="6EE97F44" w14:textId="20074091" w:rsidR="00340844" w:rsidRPr="001564E0" w:rsidRDefault="00340844" w:rsidP="00340844">
            <w:pPr>
              <w:snapToGrid w:val="0"/>
              <w:spacing w:before="40" w:after="40" w:line="240" w:lineRule="auto"/>
              <w:jc w:val="left"/>
              <w:rPr>
                <w:rFonts w:cs="Times New Roman"/>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255***</w:t>
            </w:r>
            <w:r w:rsidRPr="001564E0">
              <w:rPr>
                <w:rFonts w:cs="Times New Roman"/>
                <w:sz w:val="16"/>
                <w:szCs w:val="16"/>
              </w:rPr>
              <w:br/>
              <w:t>(0</w:t>
            </w:r>
            <w:r>
              <w:rPr>
                <w:rFonts w:cs="Times New Roman"/>
                <w:sz w:val="16"/>
                <w:szCs w:val="16"/>
              </w:rPr>
              <w:t>,</w:t>
            </w:r>
            <w:r w:rsidRPr="001564E0">
              <w:rPr>
                <w:rFonts w:cs="Times New Roman"/>
                <w:sz w:val="16"/>
                <w:szCs w:val="16"/>
              </w:rPr>
              <w:t>092)</w:t>
            </w:r>
          </w:p>
        </w:tc>
        <w:tc>
          <w:tcPr>
            <w:tcW w:w="634" w:type="pct"/>
            <w:tcBorders>
              <w:top w:val="nil"/>
              <w:left w:val="nil"/>
              <w:right w:val="nil"/>
            </w:tcBorders>
            <w:shd w:val="clear" w:color="000000" w:fill="FFFFFF"/>
          </w:tcPr>
          <w:p w14:paraId="0EC43CC2" w14:textId="72633225" w:rsidR="00340844" w:rsidRPr="001564E0" w:rsidRDefault="00340844" w:rsidP="00340844">
            <w:pPr>
              <w:snapToGrid w:val="0"/>
              <w:spacing w:before="40" w:after="40" w:line="240" w:lineRule="auto"/>
              <w:jc w:val="left"/>
              <w:rPr>
                <w:rFonts w:cs="Times New Roman"/>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149</w:t>
            </w:r>
            <w:r w:rsidRPr="001564E0">
              <w:rPr>
                <w:rFonts w:cs="Times New Roman"/>
                <w:sz w:val="16"/>
                <w:szCs w:val="16"/>
              </w:rPr>
              <w:br/>
              <w:t>(0</w:t>
            </w:r>
            <w:r>
              <w:rPr>
                <w:rFonts w:cs="Times New Roman"/>
                <w:sz w:val="16"/>
                <w:szCs w:val="16"/>
              </w:rPr>
              <w:t>,</w:t>
            </w:r>
            <w:r w:rsidRPr="001564E0">
              <w:rPr>
                <w:rFonts w:cs="Times New Roman"/>
                <w:sz w:val="16"/>
                <w:szCs w:val="16"/>
              </w:rPr>
              <w:t>101)</w:t>
            </w:r>
          </w:p>
        </w:tc>
        <w:tc>
          <w:tcPr>
            <w:tcW w:w="633" w:type="pct"/>
            <w:tcBorders>
              <w:top w:val="nil"/>
              <w:left w:val="nil"/>
              <w:right w:val="nil"/>
            </w:tcBorders>
            <w:shd w:val="clear" w:color="000000" w:fill="FFFFFF"/>
          </w:tcPr>
          <w:p w14:paraId="195B8511" w14:textId="6EFAE763" w:rsidR="00340844" w:rsidRPr="001564E0" w:rsidRDefault="00340844" w:rsidP="00340844">
            <w:pPr>
              <w:snapToGrid w:val="0"/>
              <w:spacing w:before="40" w:after="40" w:line="240" w:lineRule="auto"/>
              <w:jc w:val="left"/>
              <w:rPr>
                <w:rFonts w:cs="Times New Roman"/>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431***</w:t>
            </w:r>
            <w:r w:rsidRPr="001564E0">
              <w:rPr>
                <w:rFonts w:cs="Times New Roman"/>
                <w:sz w:val="16"/>
                <w:szCs w:val="16"/>
              </w:rPr>
              <w:br/>
              <w:t>(0</w:t>
            </w:r>
            <w:r>
              <w:rPr>
                <w:rFonts w:cs="Times New Roman"/>
                <w:sz w:val="16"/>
                <w:szCs w:val="16"/>
              </w:rPr>
              <w:t>,</w:t>
            </w:r>
            <w:r w:rsidRPr="001564E0">
              <w:rPr>
                <w:rFonts w:cs="Times New Roman"/>
                <w:sz w:val="16"/>
                <w:szCs w:val="16"/>
              </w:rPr>
              <w:t>099)</w:t>
            </w:r>
          </w:p>
        </w:tc>
        <w:tc>
          <w:tcPr>
            <w:tcW w:w="633" w:type="pct"/>
            <w:tcBorders>
              <w:top w:val="nil"/>
              <w:left w:val="nil"/>
              <w:right w:val="nil"/>
            </w:tcBorders>
            <w:shd w:val="clear" w:color="000000" w:fill="FFFFFF"/>
          </w:tcPr>
          <w:p w14:paraId="670CA58E" w14:textId="5C655418" w:rsidR="00340844" w:rsidRPr="001564E0" w:rsidRDefault="00340844" w:rsidP="00340844">
            <w:pPr>
              <w:snapToGrid w:val="0"/>
              <w:spacing w:before="40" w:after="40" w:line="240" w:lineRule="auto"/>
              <w:jc w:val="left"/>
              <w:rPr>
                <w:rFonts w:cs="Times New Roman"/>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079</w:t>
            </w:r>
            <w:r w:rsidRPr="001564E0">
              <w:rPr>
                <w:rFonts w:cs="Times New Roman"/>
                <w:sz w:val="16"/>
                <w:szCs w:val="16"/>
              </w:rPr>
              <w:br/>
              <w:t>(0</w:t>
            </w:r>
            <w:r>
              <w:rPr>
                <w:rFonts w:cs="Times New Roman"/>
                <w:sz w:val="16"/>
                <w:szCs w:val="16"/>
              </w:rPr>
              <w:t>,</w:t>
            </w:r>
            <w:r w:rsidRPr="001564E0">
              <w:rPr>
                <w:rFonts w:cs="Times New Roman"/>
                <w:sz w:val="16"/>
                <w:szCs w:val="16"/>
              </w:rPr>
              <w:t>094)</w:t>
            </w:r>
          </w:p>
        </w:tc>
        <w:tc>
          <w:tcPr>
            <w:tcW w:w="633" w:type="pct"/>
            <w:tcBorders>
              <w:top w:val="nil"/>
              <w:left w:val="nil"/>
              <w:right w:val="nil"/>
            </w:tcBorders>
            <w:shd w:val="clear" w:color="000000" w:fill="FFFFFF"/>
          </w:tcPr>
          <w:p w14:paraId="6B382441" w14:textId="3D8B8CFE" w:rsidR="00340844" w:rsidRPr="00694C51" w:rsidRDefault="00340844" w:rsidP="00340844">
            <w:pPr>
              <w:snapToGrid w:val="0"/>
              <w:spacing w:before="40" w:after="40" w:line="240" w:lineRule="auto"/>
              <w:jc w:val="left"/>
              <w:rPr>
                <w:rFonts w:cs="Times New Roman"/>
                <w:sz w:val="16"/>
                <w:szCs w:val="16"/>
              </w:rPr>
            </w:pPr>
          </w:p>
        </w:tc>
      </w:tr>
      <w:tr w:rsidR="00340844" w:rsidRPr="00FC4EB7" w14:paraId="0B37250D" w14:textId="77777777" w:rsidTr="001564E0">
        <w:trPr>
          <w:trHeight w:val="20"/>
          <w:jc w:val="center"/>
        </w:trPr>
        <w:tc>
          <w:tcPr>
            <w:tcW w:w="1201" w:type="pct"/>
            <w:tcBorders>
              <w:top w:val="nil"/>
              <w:left w:val="nil"/>
              <w:right w:val="nil"/>
            </w:tcBorders>
            <w:shd w:val="clear" w:color="000000" w:fill="FFFFFF"/>
          </w:tcPr>
          <w:p w14:paraId="503EEF6F" w14:textId="77777777" w:rsidR="00340844" w:rsidRPr="000257B3" w:rsidRDefault="00340844" w:rsidP="001A4E15">
            <w:pPr>
              <w:pStyle w:val="Listenabsatz"/>
              <w:numPr>
                <w:ilvl w:val="0"/>
                <w:numId w:val="10"/>
              </w:numPr>
              <w:snapToGrid w:val="0"/>
              <w:spacing w:before="40" w:after="40" w:line="240" w:lineRule="auto"/>
              <w:ind w:left="142" w:hanging="142"/>
              <w:jc w:val="left"/>
              <w:rPr>
                <w:color w:val="000000"/>
                <w:sz w:val="16"/>
                <w:szCs w:val="16"/>
              </w:rPr>
            </w:pPr>
            <w:r>
              <w:rPr>
                <w:color w:val="000000"/>
                <w:sz w:val="16"/>
                <w:szCs w:val="16"/>
              </w:rPr>
              <w:t>Hohe Bedeutung (7–10) (Referenzgruppe)</w:t>
            </w:r>
          </w:p>
        </w:tc>
        <w:tc>
          <w:tcPr>
            <w:tcW w:w="633" w:type="pct"/>
            <w:tcBorders>
              <w:top w:val="nil"/>
              <w:left w:val="nil"/>
              <w:right w:val="nil"/>
            </w:tcBorders>
            <w:shd w:val="clear" w:color="000000" w:fill="FFFFFF"/>
            <w:noWrap/>
          </w:tcPr>
          <w:p w14:paraId="19744FFD" w14:textId="77777777" w:rsidR="00340844" w:rsidRPr="001564E0" w:rsidRDefault="00340844" w:rsidP="00340844">
            <w:pPr>
              <w:snapToGrid w:val="0"/>
              <w:spacing w:before="40" w:after="40" w:line="240" w:lineRule="auto"/>
              <w:jc w:val="left"/>
              <w:rPr>
                <w:rFonts w:cs="Times New Roman"/>
                <w:color w:val="000000"/>
                <w:sz w:val="16"/>
                <w:szCs w:val="16"/>
              </w:rPr>
            </w:pPr>
          </w:p>
        </w:tc>
        <w:tc>
          <w:tcPr>
            <w:tcW w:w="633" w:type="pct"/>
            <w:tcBorders>
              <w:top w:val="nil"/>
              <w:left w:val="nil"/>
              <w:right w:val="nil"/>
            </w:tcBorders>
            <w:shd w:val="clear" w:color="000000" w:fill="FFFFFF"/>
          </w:tcPr>
          <w:p w14:paraId="1E2D6E82" w14:textId="77777777" w:rsidR="00340844" w:rsidRPr="001564E0" w:rsidRDefault="00340844" w:rsidP="00340844">
            <w:pPr>
              <w:snapToGrid w:val="0"/>
              <w:spacing w:before="40" w:after="40" w:line="240" w:lineRule="auto"/>
              <w:jc w:val="left"/>
              <w:rPr>
                <w:rFonts w:cs="Times New Roman"/>
                <w:sz w:val="16"/>
                <w:szCs w:val="16"/>
              </w:rPr>
            </w:pPr>
          </w:p>
        </w:tc>
        <w:tc>
          <w:tcPr>
            <w:tcW w:w="634" w:type="pct"/>
            <w:tcBorders>
              <w:top w:val="nil"/>
              <w:left w:val="nil"/>
              <w:right w:val="nil"/>
            </w:tcBorders>
            <w:shd w:val="clear" w:color="000000" w:fill="FFFFFF"/>
          </w:tcPr>
          <w:p w14:paraId="4FF543A6" w14:textId="77777777" w:rsidR="00340844" w:rsidRPr="001564E0" w:rsidRDefault="00340844" w:rsidP="00340844">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0F3109A7" w14:textId="77777777" w:rsidR="00340844" w:rsidRPr="001564E0" w:rsidRDefault="00340844" w:rsidP="00340844">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674C170B" w14:textId="77777777" w:rsidR="00340844" w:rsidRPr="001564E0" w:rsidRDefault="00340844" w:rsidP="00340844">
            <w:pPr>
              <w:snapToGrid w:val="0"/>
              <w:spacing w:before="40" w:after="40" w:line="240" w:lineRule="auto"/>
              <w:jc w:val="left"/>
              <w:rPr>
                <w:rFonts w:cs="Times New Roman"/>
                <w:sz w:val="16"/>
                <w:szCs w:val="16"/>
              </w:rPr>
            </w:pPr>
          </w:p>
        </w:tc>
        <w:tc>
          <w:tcPr>
            <w:tcW w:w="633" w:type="pct"/>
            <w:tcBorders>
              <w:top w:val="nil"/>
              <w:left w:val="nil"/>
              <w:right w:val="nil"/>
            </w:tcBorders>
            <w:shd w:val="clear" w:color="000000" w:fill="FFFFFF"/>
          </w:tcPr>
          <w:p w14:paraId="6D1CF6DB" w14:textId="77777777" w:rsidR="00340844" w:rsidRPr="00694C51" w:rsidRDefault="00340844" w:rsidP="00340844">
            <w:pPr>
              <w:snapToGrid w:val="0"/>
              <w:spacing w:before="40" w:after="40" w:line="240" w:lineRule="auto"/>
              <w:jc w:val="left"/>
              <w:rPr>
                <w:rFonts w:cs="Times New Roman"/>
                <w:sz w:val="16"/>
                <w:szCs w:val="16"/>
              </w:rPr>
            </w:pPr>
          </w:p>
        </w:tc>
      </w:tr>
      <w:tr w:rsidR="00340844" w:rsidRPr="00FC4EB7" w14:paraId="27F2F8F9" w14:textId="77777777" w:rsidTr="001564E0">
        <w:trPr>
          <w:trHeight w:val="20"/>
          <w:jc w:val="center"/>
        </w:trPr>
        <w:tc>
          <w:tcPr>
            <w:tcW w:w="1201" w:type="pct"/>
            <w:tcBorders>
              <w:top w:val="nil"/>
              <w:left w:val="nil"/>
              <w:right w:val="nil"/>
            </w:tcBorders>
            <w:shd w:val="clear" w:color="000000" w:fill="FFFFFF"/>
          </w:tcPr>
          <w:p w14:paraId="5D951001" w14:textId="77777777" w:rsidR="00340844" w:rsidRPr="00F906E9" w:rsidRDefault="00340844" w:rsidP="00340844">
            <w:pPr>
              <w:snapToGrid w:val="0"/>
              <w:spacing w:before="40" w:after="40" w:line="240" w:lineRule="auto"/>
              <w:jc w:val="left"/>
              <w:rPr>
                <w:b/>
                <w:bCs/>
                <w:color w:val="000000"/>
                <w:sz w:val="16"/>
                <w:szCs w:val="16"/>
              </w:rPr>
            </w:pPr>
            <w:r w:rsidRPr="00F906E9">
              <w:rPr>
                <w:b/>
                <w:bCs/>
                <w:color w:val="000000"/>
                <w:sz w:val="16"/>
                <w:szCs w:val="16"/>
              </w:rPr>
              <w:t>Innovationstätigkeit</w:t>
            </w:r>
          </w:p>
        </w:tc>
        <w:tc>
          <w:tcPr>
            <w:tcW w:w="633" w:type="pct"/>
            <w:tcBorders>
              <w:top w:val="nil"/>
              <w:left w:val="nil"/>
              <w:right w:val="nil"/>
            </w:tcBorders>
            <w:shd w:val="clear" w:color="000000" w:fill="FFFFFF"/>
            <w:noWrap/>
          </w:tcPr>
          <w:p w14:paraId="3A93DD9D" w14:textId="5E9271A2"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186**</w:t>
            </w:r>
            <w:r w:rsidRPr="001564E0">
              <w:rPr>
                <w:rFonts w:cs="Times New Roman"/>
                <w:sz w:val="16"/>
                <w:szCs w:val="16"/>
              </w:rPr>
              <w:br/>
              <w:t>(0</w:t>
            </w:r>
            <w:r>
              <w:rPr>
                <w:rFonts w:cs="Times New Roman"/>
                <w:sz w:val="16"/>
                <w:szCs w:val="16"/>
              </w:rPr>
              <w:t>,</w:t>
            </w:r>
            <w:r w:rsidRPr="001564E0">
              <w:rPr>
                <w:rFonts w:cs="Times New Roman"/>
                <w:sz w:val="16"/>
                <w:szCs w:val="16"/>
              </w:rPr>
              <w:t>080)</w:t>
            </w:r>
          </w:p>
        </w:tc>
        <w:tc>
          <w:tcPr>
            <w:tcW w:w="633" w:type="pct"/>
            <w:tcBorders>
              <w:top w:val="nil"/>
              <w:left w:val="nil"/>
              <w:right w:val="nil"/>
            </w:tcBorders>
            <w:shd w:val="clear" w:color="000000" w:fill="FFFFFF"/>
          </w:tcPr>
          <w:p w14:paraId="55A9B56A" w14:textId="5366B981"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024</w:t>
            </w:r>
            <w:r w:rsidRPr="001564E0">
              <w:rPr>
                <w:rFonts w:cs="Times New Roman"/>
                <w:sz w:val="16"/>
                <w:szCs w:val="16"/>
              </w:rPr>
              <w:br/>
              <w:t>(0</w:t>
            </w:r>
            <w:r>
              <w:rPr>
                <w:rFonts w:cs="Times New Roman"/>
                <w:sz w:val="16"/>
                <w:szCs w:val="16"/>
              </w:rPr>
              <w:t>,</w:t>
            </w:r>
            <w:r w:rsidRPr="001564E0">
              <w:rPr>
                <w:rFonts w:cs="Times New Roman"/>
                <w:sz w:val="16"/>
                <w:szCs w:val="16"/>
              </w:rPr>
              <w:t>080)</w:t>
            </w:r>
          </w:p>
        </w:tc>
        <w:tc>
          <w:tcPr>
            <w:tcW w:w="634" w:type="pct"/>
            <w:tcBorders>
              <w:top w:val="nil"/>
              <w:left w:val="nil"/>
              <w:right w:val="nil"/>
            </w:tcBorders>
            <w:shd w:val="clear" w:color="000000" w:fill="FFFFFF"/>
          </w:tcPr>
          <w:p w14:paraId="6AA17421" w14:textId="37CE3A5C"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162**</w:t>
            </w:r>
            <w:r w:rsidRPr="001564E0">
              <w:rPr>
                <w:rFonts w:cs="Times New Roman"/>
                <w:sz w:val="16"/>
                <w:szCs w:val="16"/>
              </w:rPr>
              <w:br/>
              <w:t>(0</w:t>
            </w:r>
            <w:r>
              <w:rPr>
                <w:rFonts w:cs="Times New Roman"/>
                <w:sz w:val="16"/>
                <w:szCs w:val="16"/>
              </w:rPr>
              <w:t>,</w:t>
            </w:r>
            <w:r w:rsidRPr="001564E0">
              <w:rPr>
                <w:rFonts w:cs="Times New Roman"/>
                <w:sz w:val="16"/>
                <w:szCs w:val="16"/>
              </w:rPr>
              <w:t>081)</w:t>
            </w:r>
          </w:p>
        </w:tc>
        <w:tc>
          <w:tcPr>
            <w:tcW w:w="633" w:type="pct"/>
            <w:tcBorders>
              <w:top w:val="nil"/>
              <w:left w:val="nil"/>
              <w:right w:val="nil"/>
            </w:tcBorders>
            <w:shd w:val="clear" w:color="000000" w:fill="FFFFFF"/>
          </w:tcPr>
          <w:p w14:paraId="4EF100E9" w14:textId="738852CF"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568***</w:t>
            </w:r>
            <w:r w:rsidRPr="001564E0">
              <w:rPr>
                <w:rFonts w:cs="Times New Roman"/>
                <w:sz w:val="16"/>
                <w:szCs w:val="16"/>
              </w:rPr>
              <w:br/>
              <w:t>(0</w:t>
            </w:r>
            <w:r>
              <w:rPr>
                <w:rFonts w:cs="Times New Roman"/>
                <w:sz w:val="16"/>
                <w:szCs w:val="16"/>
              </w:rPr>
              <w:t>,</w:t>
            </w:r>
            <w:r w:rsidRPr="001564E0">
              <w:rPr>
                <w:rFonts w:cs="Times New Roman"/>
                <w:sz w:val="16"/>
                <w:szCs w:val="16"/>
              </w:rPr>
              <w:t>084)</w:t>
            </w:r>
          </w:p>
        </w:tc>
        <w:tc>
          <w:tcPr>
            <w:tcW w:w="633" w:type="pct"/>
            <w:tcBorders>
              <w:top w:val="nil"/>
              <w:left w:val="nil"/>
              <w:right w:val="nil"/>
            </w:tcBorders>
            <w:shd w:val="clear" w:color="000000" w:fill="FFFFFF"/>
          </w:tcPr>
          <w:p w14:paraId="0EBCCC34" w14:textId="232B8EEE" w:rsidR="00340844" w:rsidRPr="001564E0" w:rsidRDefault="00340844" w:rsidP="00340844">
            <w:pPr>
              <w:snapToGrid w:val="0"/>
              <w:spacing w:before="40" w:after="40" w:line="240" w:lineRule="auto"/>
              <w:jc w:val="left"/>
              <w:rPr>
                <w:rFonts w:cs="Times New Roman"/>
                <w:color w:val="000000"/>
                <w:sz w:val="16"/>
                <w:szCs w:val="16"/>
              </w:rPr>
            </w:pPr>
            <w:r w:rsidRPr="001564E0">
              <w:rPr>
                <w:rFonts w:cs="Times New Roman"/>
                <w:sz w:val="16"/>
                <w:szCs w:val="16"/>
              </w:rPr>
              <w:t>0</w:t>
            </w:r>
            <w:r>
              <w:rPr>
                <w:rFonts w:cs="Times New Roman"/>
                <w:sz w:val="16"/>
                <w:szCs w:val="16"/>
              </w:rPr>
              <w:t>,</w:t>
            </w:r>
            <w:r w:rsidRPr="001564E0">
              <w:rPr>
                <w:rFonts w:cs="Times New Roman"/>
                <w:sz w:val="16"/>
                <w:szCs w:val="16"/>
              </w:rPr>
              <w:t>260***</w:t>
            </w:r>
            <w:r w:rsidRPr="001564E0">
              <w:rPr>
                <w:rFonts w:cs="Times New Roman"/>
                <w:sz w:val="16"/>
                <w:szCs w:val="16"/>
              </w:rPr>
              <w:br/>
              <w:t>(0</w:t>
            </w:r>
            <w:r>
              <w:rPr>
                <w:rFonts w:cs="Times New Roman"/>
                <w:sz w:val="16"/>
                <w:szCs w:val="16"/>
              </w:rPr>
              <w:t>,</w:t>
            </w:r>
            <w:r w:rsidRPr="001564E0">
              <w:rPr>
                <w:rFonts w:cs="Times New Roman"/>
                <w:sz w:val="16"/>
                <w:szCs w:val="16"/>
              </w:rPr>
              <w:t>074)</w:t>
            </w:r>
          </w:p>
        </w:tc>
        <w:tc>
          <w:tcPr>
            <w:tcW w:w="633" w:type="pct"/>
            <w:tcBorders>
              <w:top w:val="nil"/>
              <w:left w:val="nil"/>
              <w:right w:val="nil"/>
            </w:tcBorders>
            <w:shd w:val="clear" w:color="000000" w:fill="FFFFFF"/>
          </w:tcPr>
          <w:p w14:paraId="7BF2AD65" w14:textId="2DACBB06" w:rsidR="00340844" w:rsidRPr="00F374E9" w:rsidRDefault="00340844" w:rsidP="00340844">
            <w:pPr>
              <w:snapToGrid w:val="0"/>
              <w:spacing w:before="40" w:after="40" w:line="240" w:lineRule="auto"/>
              <w:jc w:val="left"/>
              <w:rPr>
                <w:rFonts w:cs="Times New Roman"/>
                <w:color w:val="000000"/>
                <w:sz w:val="16"/>
                <w:szCs w:val="16"/>
              </w:rPr>
            </w:pPr>
          </w:p>
        </w:tc>
      </w:tr>
      <w:tr w:rsidR="00B22F24" w:rsidRPr="00FC4EB7" w14:paraId="4BD5D72A" w14:textId="77777777" w:rsidTr="003B1C0E">
        <w:trPr>
          <w:trHeight w:val="20"/>
          <w:jc w:val="center"/>
        </w:trPr>
        <w:tc>
          <w:tcPr>
            <w:tcW w:w="1201" w:type="pct"/>
            <w:tcBorders>
              <w:top w:val="nil"/>
              <w:left w:val="nil"/>
              <w:right w:val="nil"/>
            </w:tcBorders>
            <w:shd w:val="clear" w:color="000000" w:fill="FFFFFF"/>
          </w:tcPr>
          <w:p w14:paraId="2F4636E9" w14:textId="77777777" w:rsidR="00B22F24" w:rsidRPr="00F906E9" w:rsidRDefault="00B22F24" w:rsidP="003B1C0E">
            <w:pPr>
              <w:snapToGrid w:val="0"/>
              <w:spacing w:before="40" w:after="40" w:line="240" w:lineRule="auto"/>
              <w:jc w:val="left"/>
              <w:rPr>
                <w:b/>
                <w:bCs/>
                <w:color w:val="000000"/>
                <w:sz w:val="16"/>
                <w:szCs w:val="16"/>
              </w:rPr>
            </w:pPr>
            <w:r w:rsidRPr="00F906E9">
              <w:rPr>
                <w:b/>
                <w:bCs/>
                <w:color w:val="000000"/>
                <w:sz w:val="16"/>
                <w:szCs w:val="16"/>
              </w:rPr>
              <w:t>Branche</w:t>
            </w:r>
          </w:p>
        </w:tc>
        <w:tc>
          <w:tcPr>
            <w:tcW w:w="3799" w:type="pct"/>
            <w:gridSpan w:val="6"/>
            <w:tcBorders>
              <w:top w:val="nil"/>
              <w:left w:val="nil"/>
              <w:right w:val="nil"/>
            </w:tcBorders>
            <w:shd w:val="clear" w:color="000000" w:fill="FFFFFF"/>
            <w:noWrap/>
          </w:tcPr>
          <w:p w14:paraId="33B542F1" w14:textId="77777777" w:rsidR="00B22F24" w:rsidRPr="00F374E9" w:rsidRDefault="00B22F24" w:rsidP="003B1C0E">
            <w:pPr>
              <w:snapToGrid w:val="0"/>
              <w:spacing w:before="40" w:after="40" w:line="240" w:lineRule="auto"/>
              <w:jc w:val="center"/>
              <w:rPr>
                <w:i/>
                <w:iCs/>
                <w:color w:val="000000"/>
                <w:spacing w:val="-4"/>
                <w:sz w:val="16"/>
                <w:szCs w:val="16"/>
              </w:rPr>
            </w:pPr>
            <w:r w:rsidRPr="00F374E9">
              <w:rPr>
                <w:i/>
                <w:iCs/>
                <w:color w:val="000000"/>
                <w:spacing w:val="-4"/>
                <w:sz w:val="16"/>
                <w:szCs w:val="16"/>
              </w:rPr>
              <w:t xml:space="preserve">Variablen </w:t>
            </w:r>
            <w:r>
              <w:rPr>
                <w:i/>
                <w:iCs/>
                <w:color w:val="000000"/>
                <w:spacing w:val="-4"/>
                <w:sz w:val="16"/>
                <w:szCs w:val="16"/>
              </w:rPr>
              <w:t>berücksichtigt</w:t>
            </w:r>
          </w:p>
        </w:tc>
      </w:tr>
      <w:tr w:rsidR="00B22F24" w:rsidRPr="00FC4EB7" w14:paraId="19076B96" w14:textId="77777777" w:rsidTr="003B1C0E">
        <w:trPr>
          <w:trHeight w:val="20"/>
          <w:jc w:val="center"/>
        </w:trPr>
        <w:tc>
          <w:tcPr>
            <w:tcW w:w="1201" w:type="pct"/>
            <w:tcBorders>
              <w:left w:val="nil"/>
              <w:bottom w:val="single" w:sz="6" w:space="0" w:color="auto"/>
              <w:right w:val="nil"/>
            </w:tcBorders>
            <w:shd w:val="clear" w:color="000000" w:fill="FFFFFF"/>
          </w:tcPr>
          <w:p w14:paraId="65AC4843" w14:textId="77777777" w:rsidR="00B22F24" w:rsidRPr="00F906E9" w:rsidRDefault="00B22F24" w:rsidP="003B1C0E">
            <w:pPr>
              <w:snapToGrid w:val="0"/>
              <w:spacing w:before="40" w:after="40" w:line="240" w:lineRule="auto"/>
              <w:jc w:val="left"/>
              <w:rPr>
                <w:b/>
                <w:bCs/>
                <w:color w:val="000000"/>
                <w:sz w:val="16"/>
                <w:szCs w:val="16"/>
              </w:rPr>
            </w:pPr>
            <w:r w:rsidRPr="00F906E9">
              <w:rPr>
                <w:b/>
                <w:bCs/>
                <w:color w:val="000000"/>
                <w:sz w:val="16"/>
                <w:szCs w:val="16"/>
              </w:rPr>
              <w:t>Land</w:t>
            </w:r>
          </w:p>
        </w:tc>
        <w:tc>
          <w:tcPr>
            <w:tcW w:w="3799" w:type="pct"/>
            <w:gridSpan w:val="6"/>
            <w:tcBorders>
              <w:left w:val="nil"/>
              <w:bottom w:val="single" w:sz="6" w:space="0" w:color="auto"/>
              <w:right w:val="nil"/>
            </w:tcBorders>
            <w:shd w:val="clear" w:color="000000" w:fill="FFFFFF"/>
            <w:noWrap/>
            <w:vAlign w:val="center"/>
          </w:tcPr>
          <w:p w14:paraId="1D5D22A9" w14:textId="77777777" w:rsidR="00B22F24" w:rsidRPr="00FC4EB7" w:rsidRDefault="00B22F24" w:rsidP="003B1C0E">
            <w:pPr>
              <w:snapToGrid w:val="0"/>
              <w:spacing w:before="40" w:after="40" w:line="240" w:lineRule="auto"/>
              <w:jc w:val="center"/>
              <w:rPr>
                <w:color w:val="000000"/>
                <w:sz w:val="16"/>
                <w:szCs w:val="16"/>
              </w:rPr>
            </w:pPr>
            <w:r w:rsidRPr="00F374E9">
              <w:rPr>
                <w:i/>
                <w:iCs/>
                <w:color w:val="000000"/>
                <w:spacing w:val="-4"/>
                <w:sz w:val="16"/>
                <w:szCs w:val="16"/>
              </w:rPr>
              <w:t xml:space="preserve">Variablen </w:t>
            </w:r>
            <w:r>
              <w:rPr>
                <w:i/>
                <w:iCs/>
                <w:color w:val="000000"/>
                <w:spacing w:val="-4"/>
                <w:sz w:val="16"/>
                <w:szCs w:val="16"/>
              </w:rPr>
              <w:t>berücksichtigt</w:t>
            </w:r>
          </w:p>
        </w:tc>
      </w:tr>
      <w:tr w:rsidR="00B22F24" w:rsidRPr="00FC4EB7" w14:paraId="2FD635C3" w14:textId="77777777" w:rsidTr="003B1C0E">
        <w:trPr>
          <w:trHeight w:val="20"/>
          <w:jc w:val="center"/>
        </w:trPr>
        <w:tc>
          <w:tcPr>
            <w:tcW w:w="1201" w:type="pct"/>
            <w:tcBorders>
              <w:top w:val="single" w:sz="6" w:space="0" w:color="auto"/>
              <w:left w:val="nil"/>
              <w:right w:val="nil"/>
            </w:tcBorders>
            <w:shd w:val="clear" w:color="000000" w:fill="FFFFFF"/>
          </w:tcPr>
          <w:p w14:paraId="4CB72A31" w14:textId="77777777" w:rsidR="00B22F24" w:rsidRPr="00F906E9" w:rsidRDefault="00B22F24" w:rsidP="003B1C0E">
            <w:pPr>
              <w:snapToGrid w:val="0"/>
              <w:spacing w:before="40" w:after="40" w:line="240" w:lineRule="auto"/>
              <w:jc w:val="left"/>
              <w:rPr>
                <w:b/>
                <w:bCs/>
                <w:color w:val="000000"/>
                <w:sz w:val="16"/>
                <w:szCs w:val="16"/>
              </w:rPr>
            </w:pPr>
            <w:r>
              <w:rPr>
                <w:b/>
                <w:bCs/>
                <w:color w:val="000000"/>
                <w:sz w:val="16"/>
                <w:szCs w:val="16"/>
              </w:rPr>
              <w:t>N</w:t>
            </w:r>
          </w:p>
        </w:tc>
        <w:tc>
          <w:tcPr>
            <w:tcW w:w="633" w:type="pct"/>
            <w:tcBorders>
              <w:top w:val="single" w:sz="6" w:space="0" w:color="auto"/>
              <w:left w:val="nil"/>
              <w:right w:val="nil"/>
            </w:tcBorders>
            <w:shd w:val="clear" w:color="000000" w:fill="FFFFFF"/>
            <w:noWrap/>
          </w:tcPr>
          <w:p w14:paraId="29DA6555" w14:textId="77777777" w:rsidR="00B22F24" w:rsidRPr="00FC4EB7" w:rsidRDefault="00B22F24" w:rsidP="003B1C0E">
            <w:pPr>
              <w:snapToGrid w:val="0"/>
              <w:spacing w:before="40" w:after="40" w:line="240" w:lineRule="auto"/>
              <w:jc w:val="left"/>
              <w:rPr>
                <w:color w:val="000000"/>
                <w:sz w:val="16"/>
                <w:szCs w:val="16"/>
              </w:rPr>
            </w:pPr>
            <w:r w:rsidRPr="00B31E5A">
              <w:rPr>
                <w:color w:val="000000"/>
                <w:sz w:val="16"/>
                <w:szCs w:val="16"/>
              </w:rPr>
              <w:t>12</w:t>
            </w:r>
            <w:r>
              <w:rPr>
                <w:color w:val="000000"/>
                <w:sz w:val="16"/>
                <w:szCs w:val="16"/>
              </w:rPr>
              <w:t>.</w:t>
            </w:r>
            <w:r w:rsidRPr="00B31E5A">
              <w:rPr>
                <w:color w:val="000000"/>
                <w:sz w:val="16"/>
                <w:szCs w:val="16"/>
              </w:rPr>
              <w:t>578</w:t>
            </w:r>
          </w:p>
        </w:tc>
        <w:tc>
          <w:tcPr>
            <w:tcW w:w="633" w:type="pct"/>
            <w:tcBorders>
              <w:top w:val="single" w:sz="6" w:space="0" w:color="auto"/>
              <w:left w:val="nil"/>
              <w:right w:val="nil"/>
            </w:tcBorders>
            <w:shd w:val="clear" w:color="000000" w:fill="FFFFFF"/>
          </w:tcPr>
          <w:p w14:paraId="3A6E24F4" w14:textId="77777777" w:rsidR="00B22F24" w:rsidRPr="00FC4EB7" w:rsidRDefault="00B22F24" w:rsidP="003B1C0E">
            <w:pPr>
              <w:snapToGrid w:val="0"/>
              <w:spacing w:before="40" w:after="40" w:line="240" w:lineRule="auto"/>
              <w:jc w:val="left"/>
              <w:rPr>
                <w:color w:val="000000"/>
                <w:sz w:val="16"/>
                <w:szCs w:val="16"/>
              </w:rPr>
            </w:pPr>
          </w:p>
        </w:tc>
        <w:tc>
          <w:tcPr>
            <w:tcW w:w="634" w:type="pct"/>
            <w:tcBorders>
              <w:top w:val="single" w:sz="6" w:space="0" w:color="auto"/>
              <w:left w:val="nil"/>
              <w:right w:val="nil"/>
            </w:tcBorders>
            <w:shd w:val="clear" w:color="000000" w:fill="FFFFFF"/>
          </w:tcPr>
          <w:p w14:paraId="2E8C6B86"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single" w:sz="6" w:space="0" w:color="auto"/>
              <w:left w:val="nil"/>
              <w:right w:val="nil"/>
            </w:tcBorders>
            <w:shd w:val="clear" w:color="000000" w:fill="FFFFFF"/>
          </w:tcPr>
          <w:p w14:paraId="5C05C713"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single" w:sz="6" w:space="0" w:color="auto"/>
              <w:left w:val="nil"/>
              <w:right w:val="nil"/>
            </w:tcBorders>
            <w:shd w:val="clear" w:color="000000" w:fill="FFFFFF"/>
          </w:tcPr>
          <w:p w14:paraId="64B3041C"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top w:val="single" w:sz="6" w:space="0" w:color="auto"/>
              <w:left w:val="nil"/>
              <w:right w:val="nil"/>
            </w:tcBorders>
            <w:shd w:val="clear" w:color="000000" w:fill="FFFFFF"/>
          </w:tcPr>
          <w:p w14:paraId="42B188B4" w14:textId="77777777" w:rsidR="00B22F24" w:rsidRPr="00FC4EB7" w:rsidRDefault="00B22F24" w:rsidP="003B1C0E">
            <w:pPr>
              <w:snapToGrid w:val="0"/>
              <w:spacing w:before="40" w:after="40" w:line="240" w:lineRule="auto"/>
              <w:jc w:val="left"/>
              <w:rPr>
                <w:color w:val="000000"/>
                <w:sz w:val="16"/>
                <w:szCs w:val="16"/>
              </w:rPr>
            </w:pPr>
          </w:p>
        </w:tc>
      </w:tr>
      <w:tr w:rsidR="00B22F24" w:rsidRPr="00FC4EB7" w14:paraId="16661CA9" w14:textId="77777777" w:rsidTr="003B1C0E">
        <w:trPr>
          <w:trHeight w:val="20"/>
          <w:jc w:val="center"/>
        </w:trPr>
        <w:tc>
          <w:tcPr>
            <w:tcW w:w="1201" w:type="pct"/>
            <w:tcBorders>
              <w:left w:val="nil"/>
              <w:right w:val="nil"/>
            </w:tcBorders>
            <w:shd w:val="clear" w:color="000000" w:fill="FFFFFF"/>
          </w:tcPr>
          <w:p w14:paraId="47D9418C" w14:textId="77777777" w:rsidR="00B22F24" w:rsidRPr="00F906E9" w:rsidRDefault="00B22F24" w:rsidP="003B1C0E">
            <w:pPr>
              <w:snapToGrid w:val="0"/>
              <w:spacing w:before="40" w:after="40" w:line="240" w:lineRule="auto"/>
              <w:jc w:val="left"/>
              <w:rPr>
                <w:b/>
                <w:bCs/>
                <w:color w:val="000000"/>
                <w:sz w:val="16"/>
                <w:szCs w:val="16"/>
              </w:rPr>
            </w:pPr>
            <w:r>
              <w:rPr>
                <w:b/>
                <w:bCs/>
                <w:color w:val="000000"/>
                <w:sz w:val="16"/>
                <w:szCs w:val="16"/>
              </w:rPr>
              <w:t>Log-Likelihood</w:t>
            </w:r>
          </w:p>
        </w:tc>
        <w:tc>
          <w:tcPr>
            <w:tcW w:w="633" w:type="pct"/>
            <w:tcBorders>
              <w:left w:val="nil"/>
              <w:right w:val="nil"/>
            </w:tcBorders>
            <w:shd w:val="clear" w:color="000000" w:fill="FFFFFF"/>
            <w:noWrap/>
          </w:tcPr>
          <w:p w14:paraId="74B46B2D" w14:textId="6233F74E" w:rsidR="00B22F24" w:rsidRPr="00FC4EB7" w:rsidRDefault="00B22F24" w:rsidP="003B1C0E">
            <w:pPr>
              <w:snapToGrid w:val="0"/>
              <w:spacing w:before="40" w:after="40" w:line="240" w:lineRule="auto"/>
              <w:jc w:val="left"/>
              <w:rPr>
                <w:color w:val="000000"/>
                <w:sz w:val="16"/>
                <w:szCs w:val="16"/>
              </w:rPr>
            </w:pPr>
            <w:r>
              <w:rPr>
                <w:color w:val="000000"/>
                <w:sz w:val="16"/>
                <w:szCs w:val="16"/>
              </w:rPr>
              <w:t>-</w:t>
            </w:r>
            <w:r w:rsidR="001564E0" w:rsidRPr="001564E0">
              <w:rPr>
                <w:color w:val="000000"/>
                <w:sz w:val="16"/>
                <w:szCs w:val="16"/>
              </w:rPr>
              <w:t>2177</w:t>
            </w:r>
            <w:r w:rsidR="001564E0">
              <w:rPr>
                <w:color w:val="000000"/>
                <w:sz w:val="16"/>
                <w:szCs w:val="16"/>
              </w:rPr>
              <w:t>2,</w:t>
            </w:r>
            <w:r w:rsidR="001564E0" w:rsidRPr="001564E0">
              <w:rPr>
                <w:color w:val="000000"/>
                <w:sz w:val="16"/>
                <w:szCs w:val="16"/>
              </w:rPr>
              <w:t>8</w:t>
            </w:r>
          </w:p>
        </w:tc>
        <w:tc>
          <w:tcPr>
            <w:tcW w:w="633" w:type="pct"/>
            <w:tcBorders>
              <w:left w:val="nil"/>
              <w:right w:val="nil"/>
            </w:tcBorders>
            <w:shd w:val="clear" w:color="000000" w:fill="FFFFFF"/>
          </w:tcPr>
          <w:p w14:paraId="48809CF3" w14:textId="77777777" w:rsidR="00B22F24" w:rsidRPr="00FC4EB7" w:rsidRDefault="00B22F24" w:rsidP="003B1C0E">
            <w:pPr>
              <w:snapToGrid w:val="0"/>
              <w:spacing w:before="40" w:after="40" w:line="240" w:lineRule="auto"/>
              <w:jc w:val="left"/>
              <w:rPr>
                <w:color w:val="000000"/>
                <w:sz w:val="16"/>
                <w:szCs w:val="16"/>
              </w:rPr>
            </w:pPr>
          </w:p>
        </w:tc>
        <w:tc>
          <w:tcPr>
            <w:tcW w:w="634" w:type="pct"/>
            <w:tcBorders>
              <w:left w:val="nil"/>
              <w:right w:val="nil"/>
            </w:tcBorders>
            <w:shd w:val="clear" w:color="000000" w:fill="FFFFFF"/>
          </w:tcPr>
          <w:p w14:paraId="0911FD02"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left w:val="nil"/>
              <w:right w:val="nil"/>
            </w:tcBorders>
            <w:shd w:val="clear" w:color="000000" w:fill="FFFFFF"/>
          </w:tcPr>
          <w:p w14:paraId="1223EA54"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left w:val="nil"/>
              <w:right w:val="nil"/>
            </w:tcBorders>
            <w:shd w:val="clear" w:color="000000" w:fill="FFFFFF"/>
          </w:tcPr>
          <w:p w14:paraId="06E15FA0"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left w:val="nil"/>
              <w:right w:val="nil"/>
            </w:tcBorders>
            <w:shd w:val="clear" w:color="000000" w:fill="FFFFFF"/>
          </w:tcPr>
          <w:p w14:paraId="0F1E3F11" w14:textId="77777777" w:rsidR="00B22F24" w:rsidRPr="00FC4EB7" w:rsidRDefault="00B22F24" w:rsidP="003B1C0E">
            <w:pPr>
              <w:snapToGrid w:val="0"/>
              <w:spacing w:before="40" w:after="40" w:line="240" w:lineRule="auto"/>
              <w:jc w:val="left"/>
              <w:rPr>
                <w:color w:val="000000"/>
                <w:sz w:val="16"/>
                <w:szCs w:val="16"/>
              </w:rPr>
            </w:pPr>
          </w:p>
        </w:tc>
      </w:tr>
      <w:tr w:rsidR="00B22F24" w:rsidRPr="00FC4EB7" w14:paraId="5CDCB7A5" w14:textId="77777777" w:rsidTr="003B1C0E">
        <w:trPr>
          <w:trHeight w:val="20"/>
          <w:jc w:val="center"/>
        </w:trPr>
        <w:tc>
          <w:tcPr>
            <w:tcW w:w="1201" w:type="pct"/>
            <w:tcBorders>
              <w:left w:val="nil"/>
              <w:bottom w:val="single" w:sz="8" w:space="0" w:color="auto"/>
              <w:right w:val="nil"/>
            </w:tcBorders>
            <w:shd w:val="clear" w:color="000000" w:fill="FFFFFF"/>
          </w:tcPr>
          <w:p w14:paraId="66663CAF" w14:textId="24E18548" w:rsidR="00B22F24" w:rsidRPr="00BB7665" w:rsidRDefault="00BC625E" w:rsidP="003B1C0E">
            <w:pPr>
              <w:snapToGrid w:val="0"/>
              <w:spacing w:before="40" w:after="40" w:line="240" w:lineRule="auto"/>
              <w:jc w:val="left"/>
              <w:rPr>
                <w:b/>
                <w:bCs/>
                <w:color w:val="000000"/>
                <w:sz w:val="16"/>
                <w:szCs w:val="16"/>
              </w:rPr>
            </w:pPr>
            <w:r>
              <w:rPr>
                <w:b/>
                <w:bCs/>
                <w:color w:val="000000"/>
                <w:sz w:val="16"/>
                <w:szCs w:val="16"/>
              </w:rPr>
              <w:t>Pseudo</w:t>
            </w:r>
            <w:r w:rsidR="00B22F24">
              <w:rPr>
                <w:b/>
                <w:bCs/>
                <w:color w:val="000000"/>
                <w:sz w:val="16"/>
                <w:szCs w:val="16"/>
              </w:rPr>
              <w:t xml:space="preserve"> </w:t>
            </w:r>
            <w:r>
              <w:rPr>
                <w:rFonts w:cs="Times New Roman"/>
                <w:b/>
                <w:bCs/>
                <w:sz w:val="16"/>
                <w:szCs w:val="16"/>
              </w:rPr>
              <w:t>R</w:t>
            </w:r>
            <w:r w:rsidR="00B22F24" w:rsidRPr="00BB7665">
              <w:rPr>
                <w:rFonts w:cs="Times New Roman"/>
                <w:b/>
                <w:bCs/>
                <w:sz w:val="16"/>
                <w:szCs w:val="16"/>
                <w:vertAlign w:val="superscript"/>
              </w:rPr>
              <w:t>2</w:t>
            </w:r>
          </w:p>
        </w:tc>
        <w:tc>
          <w:tcPr>
            <w:tcW w:w="633" w:type="pct"/>
            <w:tcBorders>
              <w:left w:val="nil"/>
              <w:bottom w:val="single" w:sz="8" w:space="0" w:color="auto"/>
              <w:right w:val="nil"/>
            </w:tcBorders>
            <w:shd w:val="clear" w:color="000000" w:fill="FFFFFF"/>
            <w:noWrap/>
          </w:tcPr>
          <w:p w14:paraId="7B32F5BD" w14:textId="5AFF9EA9" w:rsidR="00B22F24" w:rsidRPr="00FC4EB7" w:rsidRDefault="00BC625E" w:rsidP="003B1C0E">
            <w:pPr>
              <w:snapToGrid w:val="0"/>
              <w:spacing w:before="40" w:after="40" w:line="240" w:lineRule="auto"/>
              <w:jc w:val="left"/>
              <w:rPr>
                <w:color w:val="000000"/>
                <w:sz w:val="16"/>
                <w:szCs w:val="16"/>
              </w:rPr>
            </w:pPr>
            <w:r>
              <w:rPr>
                <w:color w:val="000000"/>
                <w:sz w:val="16"/>
                <w:szCs w:val="16"/>
              </w:rPr>
              <w:t>0,0958</w:t>
            </w:r>
          </w:p>
        </w:tc>
        <w:tc>
          <w:tcPr>
            <w:tcW w:w="633" w:type="pct"/>
            <w:tcBorders>
              <w:left w:val="nil"/>
              <w:bottom w:val="single" w:sz="8" w:space="0" w:color="auto"/>
              <w:right w:val="nil"/>
            </w:tcBorders>
            <w:shd w:val="clear" w:color="000000" w:fill="FFFFFF"/>
          </w:tcPr>
          <w:p w14:paraId="6D0A50A3" w14:textId="77777777" w:rsidR="00B22F24" w:rsidRPr="00FC4EB7" w:rsidRDefault="00B22F24" w:rsidP="003B1C0E">
            <w:pPr>
              <w:snapToGrid w:val="0"/>
              <w:spacing w:before="40" w:after="40" w:line="240" w:lineRule="auto"/>
              <w:jc w:val="left"/>
              <w:rPr>
                <w:color w:val="000000"/>
                <w:sz w:val="16"/>
                <w:szCs w:val="16"/>
              </w:rPr>
            </w:pPr>
          </w:p>
        </w:tc>
        <w:tc>
          <w:tcPr>
            <w:tcW w:w="634" w:type="pct"/>
            <w:tcBorders>
              <w:left w:val="nil"/>
              <w:bottom w:val="single" w:sz="8" w:space="0" w:color="auto"/>
              <w:right w:val="nil"/>
            </w:tcBorders>
            <w:shd w:val="clear" w:color="000000" w:fill="FFFFFF"/>
          </w:tcPr>
          <w:p w14:paraId="3FC47C85"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left w:val="nil"/>
              <w:bottom w:val="single" w:sz="8" w:space="0" w:color="auto"/>
              <w:right w:val="nil"/>
            </w:tcBorders>
            <w:shd w:val="clear" w:color="000000" w:fill="FFFFFF"/>
          </w:tcPr>
          <w:p w14:paraId="6FE9C52B"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left w:val="nil"/>
              <w:bottom w:val="single" w:sz="8" w:space="0" w:color="auto"/>
              <w:right w:val="nil"/>
            </w:tcBorders>
            <w:shd w:val="clear" w:color="000000" w:fill="FFFFFF"/>
          </w:tcPr>
          <w:p w14:paraId="763DEE11" w14:textId="77777777" w:rsidR="00B22F24" w:rsidRPr="00FC4EB7" w:rsidRDefault="00B22F24" w:rsidP="003B1C0E">
            <w:pPr>
              <w:snapToGrid w:val="0"/>
              <w:spacing w:before="40" w:after="40" w:line="240" w:lineRule="auto"/>
              <w:jc w:val="left"/>
              <w:rPr>
                <w:color w:val="000000"/>
                <w:sz w:val="16"/>
                <w:szCs w:val="16"/>
              </w:rPr>
            </w:pPr>
          </w:p>
        </w:tc>
        <w:tc>
          <w:tcPr>
            <w:tcW w:w="633" w:type="pct"/>
            <w:tcBorders>
              <w:left w:val="nil"/>
              <w:bottom w:val="single" w:sz="8" w:space="0" w:color="auto"/>
              <w:right w:val="nil"/>
            </w:tcBorders>
            <w:shd w:val="clear" w:color="000000" w:fill="FFFFFF"/>
          </w:tcPr>
          <w:p w14:paraId="40E2EE4C" w14:textId="77777777" w:rsidR="00B22F24" w:rsidRPr="00FC4EB7" w:rsidRDefault="00B22F24" w:rsidP="003B1C0E">
            <w:pPr>
              <w:snapToGrid w:val="0"/>
              <w:spacing w:before="40" w:after="40" w:line="240" w:lineRule="auto"/>
              <w:jc w:val="left"/>
              <w:rPr>
                <w:color w:val="000000"/>
                <w:sz w:val="16"/>
                <w:szCs w:val="16"/>
              </w:rPr>
            </w:pPr>
          </w:p>
        </w:tc>
      </w:tr>
    </w:tbl>
    <w:p w14:paraId="7E360F36" w14:textId="6CF91928" w:rsidR="00935B5C" w:rsidRPr="0092115E" w:rsidRDefault="00935B5C" w:rsidP="00935B5C">
      <w:pPr>
        <w:spacing w:after="0"/>
        <w:rPr>
          <w:sz w:val="16"/>
          <w:szCs w:val="14"/>
        </w:rPr>
      </w:pPr>
      <w:r w:rsidRPr="0092115E">
        <w:rPr>
          <w:sz w:val="16"/>
          <w:szCs w:val="14"/>
        </w:rPr>
        <w:t>Multi</w:t>
      </w:r>
      <w:r>
        <w:rPr>
          <w:sz w:val="16"/>
          <w:szCs w:val="14"/>
        </w:rPr>
        <w:t>nomiale</w:t>
      </w:r>
      <w:r w:rsidR="00B44ECE">
        <w:rPr>
          <w:sz w:val="16"/>
          <w:szCs w:val="14"/>
        </w:rPr>
        <w:t xml:space="preserve"> logistische Regression</w:t>
      </w:r>
      <w:r w:rsidRPr="0092115E">
        <w:rPr>
          <w:sz w:val="16"/>
          <w:szCs w:val="14"/>
        </w:rPr>
        <w:t>; Standardfehler sind in Klammern</w:t>
      </w:r>
      <w:r>
        <w:rPr>
          <w:sz w:val="16"/>
          <w:szCs w:val="14"/>
        </w:rPr>
        <w:t xml:space="preserve"> angegeben</w:t>
      </w:r>
      <w:r w:rsidRPr="0092115E">
        <w:rPr>
          <w:sz w:val="16"/>
          <w:szCs w:val="14"/>
        </w:rPr>
        <w:t>; Wald-Test:   ***p &lt; 0,01   **p &lt; 0,05   *p &lt; 0,1</w:t>
      </w:r>
    </w:p>
    <w:p w14:paraId="4BBD0A8A" w14:textId="7E79D4BF" w:rsidR="00BD60D1" w:rsidRDefault="00BD60D1" w:rsidP="00536CD9">
      <w:pPr>
        <w:spacing w:line="276" w:lineRule="auto"/>
        <w:jc w:val="left"/>
      </w:pPr>
      <w:r>
        <w:br w:type="page"/>
      </w:r>
    </w:p>
    <w:p w14:paraId="0E8F54C3" w14:textId="72726250" w:rsidR="00F043F1" w:rsidRPr="001F571C" w:rsidRDefault="00607B89" w:rsidP="001A4E15">
      <w:pPr>
        <w:pStyle w:val="Anhang1"/>
        <w:numPr>
          <w:ilvl w:val="0"/>
          <w:numId w:val="12"/>
        </w:numPr>
        <w:spacing w:line="360" w:lineRule="auto"/>
        <w:rPr>
          <w:b/>
          <w:bCs/>
          <w:sz w:val="32"/>
          <w:szCs w:val="32"/>
        </w:rPr>
      </w:pPr>
      <w:bookmarkStart w:id="90" w:name="_Toc88425851"/>
      <w:bookmarkStart w:id="91" w:name="_Toc88425863"/>
      <w:r w:rsidRPr="001F571C">
        <w:rPr>
          <w:b/>
          <w:bCs/>
          <w:sz w:val="32"/>
          <w:szCs w:val="32"/>
        </w:rPr>
        <w:lastRenderedPageBreak/>
        <w:t>Eidesstattliche Erklärung</w:t>
      </w:r>
      <w:bookmarkEnd w:id="90"/>
      <w:bookmarkEnd w:id="91"/>
    </w:p>
    <w:p w14:paraId="66BAB945" w14:textId="5107B296" w:rsidR="00F043F1" w:rsidRPr="008F61A3" w:rsidRDefault="00F043F1" w:rsidP="00F043F1">
      <w:pPr>
        <w:rPr>
          <w:rFonts w:cs="Times New Roman"/>
          <w:szCs w:val="24"/>
        </w:rPr>
      </w:pPr>
      <w:r w:rsidRPr="008F61A3">
        <w:rPr>
          <w:rFonts w:cs="Times New Roman"/>
          <w:szCs w:val="24"/>
        </w:rPr>
        <w:t xml:space="preserve">Ich </w:t>
      </w:r>
      <w:r w:rsidR="00F14381" w:rsidRPr="008F61A3">
        <w:rPr>
          <w:rFonts w:cs="Times New Roman"/>
          <w:szCs w:val="24"/>
        </w:rPr>
        <w:t>erkläre</w:t>
      </w:r>
      <w:r w:rsidRPr="008F61A3">
        <w:rPr>
          <w:rFonts w:cs="Times New Roman"/>
          <w:szCs w:val="24"/>
        </w:rPr>
        <w:t xml:space="preserve"> hiermit an Eides Statt, dass ich die vorliegende Bachelorarbeit selbstständig und ohne unerlaubte Hilfe angefertigt, andere als die angegebenen Quellen und Hilfsmittel nicht benutzt und die benutzten Quellen wörtlich oder inhaltlich entnommene Stellen als solche kenntlich gemacht habe.</w:t>
      </w:r>
    </w:p>
    <w:p w14:paraId="22225D33" w14:textId="6617F8A9" w:rsidR="00F043F1" w:rsidRPr="008F61A3" w:rsidRDefault="00F043F1" w:rsidP="00F043F1">
      <w:pPr>
        <w:rPr>
          <w:rFonts w:cs="Times New Roman"/>
          <w:szCs w:val="24"/>
        </w:rPr>
      </w:pPr>
      <w:r w:rsidRPr="008F61A3">
        <w:rPr>
          <w:rFonts w:cs="Times New Roman"/>
          <w:szCs w:val="24"/>
        </w:rPr>
        <w:t xml:space="preserve">Berlin, den </w:t>
      </w:r>
      <w:r w:rsidR="008E3666">
        <w:rPr>
          <w:rFonts w:cs="Times New Roman"/>
          <w:szCs w:val="24"/>
        </w:rPr>
        <w:t>21</w:t>
      </w:r>
      <w:r w:rsidRPr="008F61A3">
        <w:rPr>
          <w:rFonts w:cs="Times New Roman"/>
          <w:szCs w:val="24"/>
        </w:rPr>
        <w:t xml:space="preserve">. </w:t>
      </w:r>
      <w:r w:rsidR="008E3666">
        <w:rPr>
          <w:rFonts w:cs="Times New Roman"/>
          <w:szCs w:val="24"/>
        </w:rPr>
        <w:t>November</w:t>
      </w:r>
      <w:r w:rsidRPr="008F61A3">
        <w:rPr>
          <w:rFonts w:cs="Times New Roman"/>
          <w:szCs w:val="24"/>
        </w:rPr>
        <w:t xml:space="preserve"> 2021</w:t>
      </w:r>
    </w:p>
    <w:p w14:paraId="6A28392A" w14:textId="0A85265D" w:rsidR="00F043F1" w:rsidRPr="008F61A3" w:rsidRDefault="00F043F1" w:rsidP="00B532EB">
      <w:pPr>
        <w:rPr>
          <w:rFonts w:cs="Times New Roman"/>
          <w:szCs w:val="24"/>
          <w:vertAlign w:val="superscript"/>
        </w:rPr>
      </w:pPr>
      <w:r w:rsidRPr="008F61A3">
        <w:rPr>
          <w:rFonts w:cs="Times New Roman"/>
          <w:szCs w:val="24"/>
        </w:rPr>
        <w:t>Antong Yin</w:t>
      </w:r>
    </w:p>
    <w:sectPr w:rsidR="00F043F1" w:rsidRPr="008F61A3" w:rsidSect="005D2806">
      <w:footerReference w:type="default" r:id="rId19"/>
      <w:pgSz w:w="11906" w:h="16838" w:code="9"/>
      <w:pgMar w:top="1418" w:right="567" w:bottom="1418" w:left="283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6592D" w14:textId="77777777" w:rsidR="004F311F" w:rsidRDefault="004F311F" w:rsidP="00B446A2">
      <w:pPr>
        <w:spacing w:after="0" w:line="240" w:lineRule="auto"/>
      </w:pPr>
      <w:r>
        <w:separator/>
      </w:r>
    </w:p>
  </w:endnote>
  <w:endnote w:type="continuationSeparator" w:id="0">
    <w:p w14:paraId="4B572666" w14:textId="77777777" w:rsidR="004F311F" w:rsidRDefault="004F311F" w:rsidP="00B4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dvOT46dcae81">
    <w:altName w:val="Cambria"/>
    <w:panose1 w:val="00000000000000000000"/>
    <w:charset w:val="00"/>
    <w:family w:val="roman"/>
    <w:notTrueType/>
    <w:pitch w:val="default"/>
  </w:font>
  <w:font w:name="AdvOT46dcae81+fb">
    <w:altName w:val="Cambria"/>
    <w:panose1 w:val="00000000000000000000"/>
    <w:charset w:val="00"/>
    <w:family w:val="roman"/>
    <w:notTrueType/>
    <w:pitch w:val="default"/>
  </w:font>
  <w:font w:name="AdvOT5fcf1b24+f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990611"/>
      <w:docPartObj>
        <w:docPartGallery w:val="Page Numbers (Bottom of Page)"/>
        <w:docPartUnique/>
      </w:docPartObj>
    </w:sdtPr>
    <w:sdtEndPr/>
    <w:sdtContent>
      <w:p w14:paraId="0BF8F818" w14:textId="0110F04B" w:rsidR="005312DD" w:rsidRDefault="005312DD">
        <w:pPr>
          <w:pStyle w:val="Fuzeile"/>
          <w:jc w:val="center"/>
        </w:pPr>
        <w:r>
          <w:fldChar w:fldCharType="begin"/>
        </w:r>
        <w:r>
          <w:instrText>PAGE   \* MERGEFORMAT</w:instrText>
        </w:r>
        <w:r>
          <w:fldChar w:fldCharType="separate"/>
        </w:r>
        <w:r>
          <w:t>2</w:t>
        </w:r>
        <w:r>
          <w:fldChar w:fldCharType="end"/>
        </w:r>
      </w:p>
    </w:sdtContent>
  </w:sdt>
  <w:p w14:paraId="1CB2F708" w14:textId="77777777" w:rsidR="005312DD" w:rsidRDefault="005312D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C3983" w14:textId="2B5EBB01" w:rsidR="00B12487" w:rsidRDefault="00B12487">
    <w:pPr>
      <w:pStyle w:val="Fuzeile"/>
      <w:jc w:val="center"/>
    </w:pPr>
    <w:r>
      <w:rPr>
        <w:noProof/>
      </w:rPr>
      <mc:AlternateContent>
        <mc:Choice Requires="wps">
          <w:drawing>
            <wp:anchor distT="0" distB="0" distL="114300" distR="114300" simplePos="0" relativeHeight="251666944" behindDoc="0" locked="0" layoutInCell="0" allowOverlap="1" wp14:anchorId="16A12E44" wp14:editId="4142282D">
              <wp:simplePos x="0" y="0"/>
              <wp:positionH relativeFrom="leftMargin">
                <wp:align>left</wp:align>
              </wp:positionH>
              <wp:positionV relativeFrom="margin">
                <wp:align>center</wp:align>
              </wp:positionV>
              <wp:extent cx="685800" cy="329565"/>
              <wp:effectExtent l="0" t="0" r="0" b="0"/>
              <wp:wrapNone/>
              <wp:docPr id="14" name="Rechteck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8B514" w14:textId="77777777" w:rsidR="00B12487" w:rsidRDefault="00B12487" w:rsidP="00B12487">
                          <w:pPr>
                            <w:pBdr>
                              <w:bottom w:val="single" w:sz="4" w:space="1" w:color="auto"/>
                            </w:pBdr>
                            <w:jc w:val="center"/>
                          </w:pPr>
                          <w:r>
                            <w:fldChar w:fldCharType="begin"/>
                          </w:r>
                          <w:r>
                            <w:instrText>PAGE   \* MERGEFORMAT</w:instrText>
                          </w:r>
                          <w:r>
                            <w:fldChar w:fldCharType="separate"/>
                          </w:r>
                          <w:r>
                            <w:t>2</w:t>
                          </w:r>
                          <w:r>
                            <w:fldChar w:fldCharType="end"/>
                          </w:r>
                        </w:p>
                      </w:txbxContent>
                    </wps:txbx>
                    <wps:bodyPr rot="0" vert="eaVert" wrap="square" lIns="0" tIns="0" rIns="0" bIns="0" anchor="t" anchorCtr="0" upright="1">
                      <a:noAutofit/>
                    </wps:bodyPr>
                  </wps:wsp>
                </a:graphicData>
              </a:graphic>
              <wp14:sizeRelH relativeFrom="leftMargin">
                <wp14:pctWidth>0</wp14:pctWidth>
              </wp14:sizeRelH>
              <wp14:sizeRelV relativeFrom="page">
                <wp14:pctHeight>0</wp14:pctHeight>
              </wp14:sizeRelV>
            </wp:anchor>
          </w:drawing>
        </mc:Choice>
        <mc:Fallback>
          <w:pict>
            <v:rect w14:anchorId="16A12E44" id="Rechteck 14" o:spid="_x0000_s1026" style="position:absolute;left:0;text-align:left;margin-left:0;margin-top:0;width:54pt;height:25.95pt;z-index:251666944;visibility:visible;mso-wrap-style:square;mso-width-percent:0;mso-height-percent:0;mso-wrap-distance-left:9pt;mso-wrap-distance-top:0;mso-wrap-distance-right:9pt;mso-wrap-distance-bottom:0;mso-position-horizontal:left;mso-position-horizontal-relative:left-margin-area;mso-position-vertical:center;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" o:allowincell="f" stroked="f">
              <v:textbox style="layout-flow:vertical-ideographic" inset="0,0,0,0">
                <w:txbxContent>
                  <w:p w14:paraId="4078B514" w14:textId="77777777" w:rsidR="00B12487" w:rsidRDefault="00B12487" w:rsidP="00B12487">
                    <w:pPr>
                      <w:pBdr>
                        <w:bottom w:val="single" w:sz="4" w:space="1" w:color="auto"/>
                      </w:pBdr>
                      <w:jc w:val="center"/>
                    </w:pPr>
                    <w:r>
                      <w:fldChar w:fldCharType="begin"/>
                    </w:r>
                    <w:r>
                      <w:instrText>PAGE   \* MERGEFORMAT</w:instrText>
                    </w:r>
                    <w:r>
                      <w:fldChar w:fldCharType="separate"/>
                    </w:r>
                    <w:r>
                      <w:t>2</w:t>
                    </w:r>
                    <w:r>
                      <w:fldChar w:fldCharType="end"/>
                    </w:r>
                  </w:p>
                </w:txbxContent>
              </v:textbox>
              <w10:wrap anchorx="margin" anchory="margin"/>
            </v:rect>
          </w:pict>
        </mc:Fallback>
      </mc:AlternateContent>
    </w:r>
  </w:p>
  <w:p w14:paraId="37A71CB9" w14:textId="77777777" w:rsidR="00B12487" w:rsidRDefault="00B1248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905171"/>
      <w:docPartObj>
        <w:docPartGallery w:val="Page Numbers (Bottom of Page)"/>
        <w:docPartUnique/>
      </w:docPartObj>
    </w:sdtPr>
    <w:sdtEndPr/>
    <w:sdtContent>
      <w:p w14:paraId="41BAFC9F" w14:textId="152BB8AE" w:rsidR="00B12487" w:rsidRDefault="00B12487">
        <w:pPr>
          <w:pStyle w:val="Fuzeile"/>
          <w:jc w:val="center"/>
        </w:pPr>
        <w:r>
          <w:fldChar w:fldCharType="begin"/>
        </w:r>
        <w:r>
          <w:instrText>PAGE   \* MERGEFORMAT</w:instrText>
        </w:r>
        <w:r>
          <w:fldChar w:fldCharType="separate"/>
        </w:r>
        <w:r>
          <w:t>2</w:t>
        </w:r>
        <w:r>
          <w:fldChar w:fldCharType="end"/>
        </w:r>
      </w:p>
    </w:sdtContent>
  </w:sdt>
  <w:p w14:paraId="2C5356DF" w14:textId="77777777" w:rsidR="00B12487" w:rsidRDefault="00B124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AAFD6" w14:textId="77777777" w:rsidR="004F311F" w:rsidRDefault="004F311F" w:rsidP="00B446A2">
      <w:pPr>
        <w:spacing w:after="0" w:line="240" w:lineRule="auto"/>
      </w:pPr>
      <w:r>
        <w:separator/>
      </w:r>
    </w:p>
  </w:footnote>
  <w:footnote w:type="continuationSeparator" w:id="0">
    <w:p w14:paraId="465F80F4" w14:textId="77777777" w:rsidR="004F311F" w:rsidRDefault="004F311F" w:rsidP="00B446A2">
      <w:pPr>
        <w:spacing w:after="0" w:line="240" w:lineRule="auto"/>
      </w:pPr>
      <w:r>
        <w:continuationSeparator/>
      </w:r>
    </w:p>
  </w:footnote>
  <w:footnote w:id="1">
    <w:p w14:paraId="72949C03" w14:textId="150755A4" w:rsidR="00002964" w:rsidRDefault="00002964">
      <w:pPr>
        <w:pStyle w:val="Funotentext"/>
      </w:pPr>
      <w:r>
        <w:rPr>
          <w:rStyle w:val="Funotenzeichen"/>
        </w:rPr>
        <w:footnoteRef/>
      </w:r>
      <w:r>
        <w:t xml:space="preserve"> </w:t>
      </w:r>
      <w:r w:rsidR="004D3C37">
        <w:t xml:space="preserve">Vgl. Europäische </w:t>
      </w:r>
      <w:r w:rsidR="004D3C37" w:rsidRPr="007F1C08">
        <w:t>Kommission (2019)</w:t>
      </w:r>
      <w:r w:rsidR="009A744A">
        <w:t>,</w:t>
      </w:r>
      <w:r w:rsidR="004D3C37" w:rsidRPr="007F1C08">
        <w:t xml:space="preserve"> S. 2.</w:t>
      </w:r>
      <w:r w:rsidR="004D3C37">
        <w:t xml:space="preserve">; vgl. </w:t>
      </w:r>
      <w:r>
        <w:t>Europäische Kommission (2020), S. 1</w:t>
      </w:r>
      <w:r w:rsidR="0005763D">
        <w:t>.</w:t>
      </w:r>
    </w:p>
  </w:footnote>
  <w:footnote w:id="2">
    <w:p w14:paraId="2E5CC9BD" w14:textId="1C130D80" w:rsidR="00487693" w:rsidRDefault="00487693">
      <w:pPr>
        <w:pStyle w:val="Funotentext"/>
      </w:pPr>
      <w:r>
        <w:rPr>
          <w:rStyle w:val="Funotenzeichen"/>
        </w:rPr>
        <w:footnoteRef/>
      </w:r>
      <w:r>
        <w:t xml:space="preserve"> Die Bezeichnung „größere KMUs“ wird im Verlauf dieser Arbeit metonymisch für </w:t>
      </w:r>
      <w:r w:rsidR="00DD2260">
        <w:t>kleine und mittlere Unternehmen ohne Kleinstunternehmen verwendet.</w:t>
      </w:r>
    </w:p>
  </w:footnote>
  <w:footnote w:id="3">
    <w:p w14:paraId="514ECD17" w14:textId="106725F1" w:rsidR="00A965AE" w:rsidRDefault="00A965AE">
      <w:pPr>
        <w:pStyle w:val="Funotentext"/>
      </w:pPr>
      <w:r>
        <w:rPr>
          <w:rStyle w:val="Funotenzeichen"/>
        </w:rPr>
        <w:footnoteRef/>
      </w:r>
      <w:r>
        <w:t xml:space="preserve"> </w:t>
      </w:r>
      <w:r w:rsidR="009D5337">
        <w:t xml:space="preserve">Vgl. </w:t>
      </w:r>
      <w:r>
        <w:fldChar w:fldCharType="begin"/>
      </w:r>
      <w:r w:rsidR="006E05D3">
        <w:instrText xml:space="preserve"> ADDIN ZOTERO_ITEM CSL_CITATION {"citationID":"AyomgcHx","properties":{"formattedCitation":"Gherhes, C. et al. (2016), S. 939.","plainCitation":"Gherhes, C. et al. (2016), S. 939.","noteIndex":3},"citationItems":[{"id":77,"uris":["http://zotero.org/users/7233606/items/YDXAXJUP"],"uri":["http://zotero.org/users/7233606/items/YDXAXJUP"],"itemData":{"id":77,"type":"article-journal","abstract":"Purpose – Micro-businesses account for a large majority of small and medium enterprises (SMEs). However, they remain comparatively under-researched. The purpose of this paper is to take stock of the extant literature on growth challenges and to distinguish growth constraints facing micro-businesses as a specific subset of SMEs from those facing larger SMEs.","container-title":"Journal of Small Business and Enterprise Development","DOI":"10.1108/JSBED-05-2016-0075","ISSN":"1462-6004","issue":"4","journalAbbreviation":"Jrnl of Small Bus Ente Dev","language":"en","page":"939-963","source":"DOI.org (Crossref)","title":"Distinguishing micro-businesses from SMEs: a systematic review of growth constraints","title-short":"Distinguishing micro-businesses from SMEs","volume":"23","author":[{"family":"Gherhes","given":"Cristian"},{"family":"Williams","given":"Nick"},{"family":"Vorley","given":"Tim"},{"family":"Vasconcelos","given":"Ana Cristina"}],"issued":{"date-parts":[["2016",11,21]]}},"locator":"939"}],"schema":"https://github.com/citation-style-language/schema/raw/master/csl-citation.json"} </w:instrText>
      </w:r>
      <w:r>
        <w:fldChar w:fldCharType="separate"/>
      </w:r>
      <w:r w:rsidR="00BB1F97" w:rsidRPr="00BB1F97">
        <w:rPr>
          <w:rFonts w:cs="Times New Roman"/>
        </w:rPr>
        <w:t>Gherhes</w:t>
      </w:r>
      <w:r w:rsidR="009D5337">
        <w:rPr>
          <w:rFonts w:cs="Times New Roman"/>
        </w:rPr>
        <w:t xml:space="preserve"> </w:t>
      </w:r>
      <w:r w:rsidR="00BB1F97" w:rsidRPr="00BB1F97">
        <w:rPr>
          <w:rFonts w:cs="Times New Roman"/>
        </w:rPr>
        <w:t>et al. (2016), S. 939.</w:t>
      </w:r>
      <w:r>
        <w:fldChar w:fldCharType="end"/>
      </w:r>
    </w:p>
  </w:footnote>
  <w:footnote w:id="4">
    <w:p w14:paraId="0C2B550D" w14:textId="696A8F7C" w:rsidR="00A544DC" w:rsidRPr="00227B67" w:rsidRDefault="00A544DC">
      <w:pPr>
        <w:pStyle w:val="Funotentext"/>
      </w:pPr>
      <w:r>
        <w:rPr>
          <w:rStyle w:val="Funotenzeichen"/>
        </w:rPr>
        <w:footnoteRef/>
      </w:r>
      <w:r w:rsidRPr="00227B67">
        <w:t xml:space="preserve"> </w:t>
      </w:r>
      <w:r w:rsidR="00227B67">
        <w:t xml:space="preserve">Vgl. </w:t>
      </w:r>
      <w:r>
        <w:fldChar w:fldCharType="begin"/>
      </w:r>
      <w:r w:rsidR="00087892">
        <w:instrText xml:space="preserve"> ADDIN ZOTERO_ITEM CSL_CITATION {"citationID":"jGe4JJVz","properties":{"formattedCitation":"Masiak, C. et al. (2019), S. 317; Moritz, A. et al. (2016), S. 139 f.","plainCitation":"Masiak, C. et al. (2019), S. 317; Moritz, A. et al. (2016), S. 139 f.","dontUpdate":true,"noteIndex":4},"citationItems":[{"id":7,"uris":["http://zotero.org/users/7233606/items/SKPECCJE"],"uri":["http://zotero.org/users/7233606/items/SKPECCJE"],"itemData":{"id":7,"type":"article-journal","abstract":"The vast majority of ﬁrms in Europe are micro ﬁrms. Still, we know little about their ﬁnancing patterns. Our paper aims to close this gap. Based on a large European ﬁrm-level data set, we ﬁnd that micro ﬁrms diﬀer in their ﬁnancing patterns from larger SMEs. Our empirical results show that micro ﬁrms are more likely to use internal ﬁnancing instruments, whereas they are less likely to use state subsidies, trade credit or asset-based ﬁnancing instruments. Furthermore, micro ﬁrms diﬀer from larger SMEs by using more short-term debt ﬁnancing instruments such as credit card overdrafts, credit lines and bank overdrafts. The implications of these ﬁndings for micro ﬁrms and policy makers are discussed.","container-title":"Venture Capital","DOI":"10.1080/13691066.2019.1569333","ISSN":"1369-1066, 1464-5343","issue":"4","journalAbbreviation":"Venture Capital","language":"en","page":"301-325","source":"DOI.org (Crossref)","title":"How do micro firms differ in their financing patterns from larger SMEs?","volume":"21","author":[{"family":"Masiak","given":"Christian"},{"family":"Block","given":"Joern H."},{"family":"Moritz","given":"Alexandra"},{"family":"Lang","given":"Frank"},{"family":"Kraemer-Eis","given":"Helmut"}],"issued":{"date-parts":[["2019",10,2]]}},"locator":"317"},{"id":68,"uris":["http://zotero.org/users/7233606/items/37357BSK"],"uri":["http://zotero.org/users/7233606/items/37357BSK"],"itemData":{"id":68,"type":"article-journal","abstract":"This paper develops an empirical taxonomy of SME financing patterns in Europe by performing a cluster analysis including 12,726 SMEs in 28 European countries. The results reveal that SME financing in Europe is not homogenous but that different financing patterns exist. The cluster analysis identifies six distinct SME financing types: mixed-financed SMEs, state-subsidised SMEs, debt-financed SMEs, flexible-debt-financed SMEs, trade-financed SMEs and internally financed SMEs. These SME financing types differ according to the number of financing instruments used and the combinations thereof. Furthermore, the SME financing types can be profiled according to their firm-, product-, industry- and country-specific characteristics. Our findings support policy-makers in assessing the impact of policy changes on SME financing and in designing financing programmes tailored to the specific needs of SMEs.","container-title":"Venture Capital","DOI":"10.1080/13691066.2016.1145900","ISSN":"1369-1066, 1464-5343","issue":"2","journalAbbreviation":"Venture Capital","language":"en","page":"115-148","source":"DOI.org (Crossref)","title":"Financing patterns of European SMEs – an empirical taxonomy","volume":"18","author":[{"family":"Moritz","given":"Alexandra"},{"family":"Block","given":"Joern H."},{"family":"Heinz","given":"Andreas"}],"issued":{"date-parts":[["2016",4,2]]}},"locator":"139 f"}],"schema":"https://github.com/citation-style-language/schema/raw/master/csl-citation.json"} </w:instrText>
      </w:r>
      <w:r>
        <w:fldChar w:fldCharType="separate"/>
      </w:r>
      <w:r w:rsidR="00227B67" w:rsidRPr="00227B67">
        <w:rPr>
          <w:rFonts w:cs="Times New Roman"/>
        </w:rPr>
        <w:t>Masiak et al. (2019), S. 317;</w:t>
      </w:r>
      <w:r w:rsidR="00227B67">
        <w:rPr>
          <w:rFonts w:cs="Times New Roman"/>
        </w:rPr>
        <w:t xml:space="preserve"> vgl.</w:t>
      </w:r>
      <w:r w:rsidR="00227B67" w:rsidRPr="00227B67">
        <w:rPr>
          <w:rFonts w:cs="Times New Roman"/>
        </w:rPr>
        <w:t xml:space="preserve"> Moritz</w:t>
      </w:r>
      <w:r w:rsidR="009D5337">
        <w:rPr>
          <w:rFonts w:cs="Times New Roman"/>
        </w:rPr>
        <w:t xml:space="preserve"> </w:t>
      </w:r>
      <w:r w:rsidR="00227B67" w:rsidRPr="00227B67">
        <w:rPr>
          <w:rFonts w:cs="Times New Roman"/>
        </w:rPr>
        <w:t>et al. (2016), S. 139 f.</w:t>
      </w:r>
      <w:r>
        <w:fldChar w:fldCharType="end"/>
      </w:r>
    </w:p>
  </w:footnote>
  <w:footnote w:id="5">
    <w:p w14:paraId="34F08AC1" w14:textId="090C2B91" w:rsidR="00E35887" w:rsidRPr="000F1971" w:rsidRDefault="00E35887">
      <w:pPr>
        <w:pStyle w:val="Funotentext"/>
      </w:pPr>
      <w:r w:rsidRPr="004713C5">
        <w:rPr>
          <w:rStyle w:val="Funotenzeichen"/>
        </w:rPr>
        <w:footnoteRef/>
      </w:r>
      <w:r w:rsidRPr="004713C5">
        <w:t xml:space="preserve"> </w:t>
      </w:r>
      <w:r w:rsidR="000F1971" w:rsidRPr="004713C5">
        <w:t>Demnach kann davon ausgegangen werden, dass die Vorgehensweise</w:t>
      </w:r>
      <w:r w:rsidR="005E0FC3" w:rsidRPr="004713C5">
        <w:t>, Variablen und Hypothesen</w:t>
      </w:r>
      <w:r w:rsidR="000F1971" w:rsidRPr="004713C5">
        <w:t xml:space="preserve"> in Kapitel </w:t>
      </w:r>
      <w:r w:rsidR="005E0FC3" w:rsidRPr="004713C5">
        <w:t>3, 4</w:t>
      </w:r>
      <w:r w:rsidR="000F1971" w:rsidRPr="004713C5">
        <w:t xml:space="preserve"> und </w:t>
      </w:r>
      <w:r w:rsidR="005E0FC3" w:rsidRPr="004713C5">
        <w:t>5</w:t>
      </w:r>
      <w:r w:rsidR="000F1971" w:rsidRPr="004713C5">
        <w:t xml:space="preserve"> ebenfalls in Masiak et al. (201</w:t>
      </w:r>
      <w:r w:rsidR="007B3838" w:rsidRPr="004713C5">
        <w:t>9</w:t>
      </w:r>
      <w:r w:rsidR="000F1971" w:rsidRPr="004713C5">
        <w:t>) vorzufinden sind, wobei Abweichungen davon gesondert kenntlich gemacht werden.</w:t>
      </w:r>
    </w:p>
  </w:footnote>
  <w:footnote w:id="6">
    <w:p w14:paraId="205614B1" w14:textId="20DD14EA" w:rsidR="0062687F" w:rsidRPr="00CC721D" w:rsidRDefault="0062687F" w:rsidP="0062687F">
      <w:pPr>
        <w:pStyle w:val="Funotentext"/>
        <w:rPr>
          <w:lang w:val="en-US"/>
        </w:rPr>
      </w:pPr>
      <w:r>
        <w:rPr>
          <w:rStyle w:val="Funotenzeichen"/>
        </w:rPr>
        <w:footnoteRef/>
      </w:r>
      <w:r w:rsidRPr="00CC721D">
        <w:rPr>
          <w:lang w:val="en-US"/>
        </w:rPr>
        <w:t xml:space="preserve"> </w:t>
      </w:r>
      <w:r w:rsidR="00996A2E" w:rsidRPr="00996A2E">
        <w:rPr>
          <w:lang w:val="en-US"/>
        </w:rPr>
        <w:t xml:space="preserve">Vgl. </w:t>
      </w:r>
      <w:r>
        <w:fldChar w:fldCharType="begin"/>
      </w:r>
      <w:r w:rsidR="004339F9" w:rsidRPr="00CC721D">
        <w:rPr>
          <w:lang w:val="en-US"/>
        </w:rPr>
        <w:instrText xml:space="preserve"> ADDIN ZOTERO_ITEM CSL_CITATION {"citationID":"a5XbIuFL","properties":{"formattedCitation":"O\\uc0\\u8217{}Dwyer, M. / Ryan, E. (2000), S. 352.","plainCitation":"O’Dwyer, M. / Ryan, E. (2000), S. 352.","noteIndex":6},"citationItems":[{"id":80,"uris":["http://zotero.org/users/7233606/items/AMALBRUP"],"uri":["http://zotero.org/users/7233606/items/AMALBRUP"],"itemData":{"id":80,"type":"article-journal","abstract":"Management development has traditionally been perceived as being the domain of large rather than micro-enterprises, with developmental issues normally being addressed by means of educational interventions. However, the challenges and obstacles for growth facing these microenterprises (businesses employing ten people or fewer) differ significantly from those of a larger organisation. Reports on the current provision for management development as it relates to microenterprises, and the perception of owners/managers in Ireland of the role of management development in the running of their companies. The objective of the research was to establish the nature and content of training and development interventions required by the owners/managers of microenterprises. Preliminary research and findings indicated the need for a new approach towards the design of management development programmes for microentrepreneurs. Taking into account the perceptions and preferences of owners/managers it is clear that a new approach to the design and delivery of management development programmes for micro-entrepreneurs is needed. This new approach has implications for trainers as it includes changes not only in the content but also in the timing, location and delivery mechanism of programmes. The research results suggest a model for the formulation of a management development training strategy for owners/managers of microenterprises. Outlines design specifications for a management development programme for owners/managers, based on the model developed from the research findings.","container-title":"Journal of European Industrial Training","DOI":"10.1108/03090590010373334","ISSN":"0309-0590","issue":"6","journalAbbreviation":"Jnl Euro Industrial Training","language":"en","page":"345-353","source":"DOI.org (Crossref)","title":"Management development issues for owners/managers</w:instrText>
      </w:r>
      <w:r w:rsidR="004339F9" w:rsidRPr="00CC721D">
        <w:rPr>
          <w:rFonts w:hint="eastAsia"/>
          <w:lang w:val="en-US"/>
        </w:rPr>
        <w:instrText xml:space="preserve"> of micro</w:instrText>
      </w:r>
      <w:r w:rsidR="004339F9" w:rsidRPr="00CC721D">
        <w:rPr>
          <w:rFonts w:hint="eastAsia"/>
          <w:lang w:val="en-US"/>
        </w:rPr>
        <w:instrText>‐</w:instrText>
      </w:r>
      <w:r w:rsidR="004339F9" w:rsidRPr="00CC721D">
        <w:rPr>
          <w:rFonts w:hint="eastAsia"/>
          <w:lang w:val="en-US"/>
        </w:rPr>
        <w:instrText>enterprises","volume":"24","author":[{"family":"O</w:instrText>
      </w:r>
      <w:r w:rsidR="004339F9" w:rsidRPr="00CC721D">
        <w:rPr>
          <w:rFonts w:hint="eastAsia"/>
          <w:lang w:val="en-US"/>
        </w:rPr>
        <w:instrText>’</w:instrText>
      </w:r>
      <w:r w:rsidR="004339F9" w:rsidRPr="00CC721D">
        <w:rPr>
          <w:rFonts w:hint="eastAsia"/>
          <w:lang w:val="en-US"/>
        </w:rPr>
        <w:instrText>Dwyer","given":"Mich</w:instrText>
      </w:r>
      <w:r w:rsidR="004339F9" w:rsidRPr="00CC721D">
        <w:rPr>
          <w:rFonts w:hint="eastAsia"/>
          <w:lang w:val="en-US"/>
        </w:rPr>
        <w:instrText>è</w:instrText>
      </w:r>
      <w:r w:rsidR="004339F9" w:rsidRPr="00CC721D">
        <w:rPr>
          <w:rFonts w:hint="eastAsia"/>
          <w:lang w:val="en-US"/>
        </w:rPr>
        <w:instrText>le"},{"family":"Ryan","given":"Eamon"}],"issued":{"date-parts":[["2000",8]]}},"locator":"352"}],"schema":"https://github.com/citation-style-language/schema/raw/master/csl-cit</w:instrText>
      </w:r>
      <w:r w:rsidR="004339F9" w:rsidRPr="00CC721D">
        <w:rPr>
          <w:lang w:val="en-US"/>
        </w:rPr>
        <w:instrText xml:space="preserve">ation.json"} </w:instrText>
      </w:r>
      <w:r>
        <w:fldChar w:fldCharType="separate"/>
      </w:r>
      <w:r w:rsidRPr="00CC721D">
        <w:rPr>
          <w:rFonts w:cs="Times New Roman"/>
          <w:szCs w:val="24"/>
          <w:lang w:val="en-US"/>
        </w:rPr>
        <w:t>O’Dwyer / Ryan (2000), S. 352.</w:t>
      </w:r>
      <w:r>
        <w:fldChar w:fldCharType="end"/>
      </w:r>
    </w:p>
  </w:footnote>
  <w:footnote w:id="7">
    <w:p w14:paraId="5DA5C05C" w14:textId="0B86391B" w:rsidR="00155F2D" w:rsidRDefault="00155F2D">
      <w:pPr>
        <w:pStyle w:val="Funotentext"/>
      </w:pPr>
      <w:r>
        <w:rPr>
          <w:rStyle w:val="Funotenzeichen"/>
        </w:rPr>
        <w:footnoteRef/>
      </w:r>
      <w:r w:rsidRPr="00996A2E">
        <w:rPr>
          <w:lang w:val="en-US"/>
        </w:rPr>
        <w:t xml:space="preserve"> </w:t>
      </w:r>
      <w:r w:rsidR="00996A2E" w:rsidRPr="00996A2E">
        <w:rPr>
          <w:lang w:val="en-US"/>
        </w:rPr>
        <w:t xml:space="preserve">Vgl. </w:t>
      </w:r>
      <w:r>
        <w:fldChar w:fldCharType="begin"/>
      </w:r>
      <w:r w:rsidR="004339F9" w:rsidRPr="00996A2E">
        <w:rPr>
          <w:lang w:val="en-US"/>
        </w:rPr>
        <w:instrText xml:space="preserve"> ADDIN ZOTERO_ITEM CSL_CITATION {"citationID":"tcCH26Dp","properties":{"formattedCitation":"Gherhes, C. et al. (2016), S. 956.","plainCitation":"Gherhes, C. et al. (2016), S. 956.","noteIndex":7},"citationItems":[{"id":77,"uris":["http://zotero.org/users/7233606/items/YDXAXJUP"],"uri":["http://zotero.org/users/7233606/items/YDXAXJUP"],"itemData":{"id":77,"type":"article-journal","abstract":"Purpose – Micro-businesses account for a large majority of small and medium enterprises (SMEs). However, they remain comparatively under-researched. The purpose of this paper is to take stock of the extant literature on growth challenges and to distinguish growth constraints facing micro-businesses as a specific subset of SMEs from those facing larger SMEs.","container-title":"Journal of Small Business and Enterprise Development","DOI":"10.1108/JSBED-05-2016-0075","ISSN":"1462-6004","issue":"4","journalAbbreviation":"Jrnl of Small Bus Ente Dev","language":"en","page":"939-963","source":"DOI.org (Crossref)","title":"Distinguishing micro-businesses from SMEs: a systematic review of growth constraints","title-short":"Distinguishing micro-businesses from SMEs","volume":"23","author":[{"family":"Gherhes","given":"Cristian"},{"family":"Williams","given":"Nick"},{"family":"Vorley","given":"Tim"},{"family":"Vasconcelos","given":"Ana Cristina"}],"issued":{"date-parts":[["2016",11,21]]}},"locator":"956"}],"schema":"https://github.com/citation-style-language/schema/raw/master/csl-citation.json"} </w:instrText>
      </w:r>
      <w:r>
        <w:fldChar w:fldCharType="separate"/>
      </w:r>
      <w:r w:rsidRPr="00155F2D">
        <w:rPr>
          <w:rFonts w:cs="Times New Roman"/>
        </w:rPr>
        <w:t>Gherhes et al. (2016), S. 956.</w:t>
      </w:r>
      <w:r>
        <w:fldChar w:fldCharType="end"/>
      </w:r>
    </w:p>
  </w:footnote>
  <w:footnote w:id="8">
    <w:p w14:paraId="7E443A92" w14:textId="15490CF6" w:rsidR="005C40E1" w:rsidRDefault="005C40E1">
      <w:pPr>
        <w:pStyle w:val="Funotentext"/>
      </w:pPr>
      <w:r>
        <w:rPr>
          <w:rStyle w:val="Funotenzeichen"/>
        </w:rPr>
        <w:footnoteRef/>
      </w:r>
      <w:r>
        <w:t xml:space="preserve"> </w:t>
      </w:r>
      <w:r w:rsidR="00996A2E">
        <w:t xml:space="preserve">Vgl. </w:t>
      </w:r>
      <w:r>
        <w:fldChar w:fldCharType="begin"/>
      </w:r>
      <w:r w:rsidR="004339F9">
        <w:instrText xml:space="preserve"> ADDIN ZOTERO_ITEM CSL_CITATION {"citationID":"Rq3ihatv","properties":{"formattedCitation":"Berger, A.N. / Udell, G.F. (1998), S. 616.","plainCitation":"Berger, A.N. / Udell, G.F. (1998), S. 616.","noteIndex":8},"citationItems":[{"id":171,"uris":["http://zotero.org/users/7233606/items/SQZPTERB"],"uri":["http://zotero.org/users/7233606/items/SQZPTERB"],"itemData":{"id":171,"type":"article-journal","abstract":"This article examines the economics of financing small business in private equity and debt markets. Firms are viewed through a financial growth cycle paradigm in which different capital structures are optimal at different points in the cycle. We show the sources of small business finance, and how capital structure varies with firm size and age. The interconnectedness of small firm finance is discussed along with the impact of the macroeconomic environment. We also analyze a number of research and policy issues, review the literature, and suggest topics for future research.","container-title":"Journal of banking &amp; finance","DOI":"10.1016/S0378-4266(98)00038-7","ISSN":"0378-4266","issue":"6","language":"eng","note":"publisher: Elsevier B.V","page":"613-673","title":"The economics of small business finance: The roles of private equity and debt markets in the financial growth cycle","volume":"22","author":[{"family":"Berger","given":"Allen N"},{"family":"Udell","given":"Gregory F"}],"issued":{"date-parts":[["1998"]]}},"locator":"616"}],"schema":"https://github.com/citation-style-language/schema/raw/master/csl-citation.json"} </w:instrText>
      </w:r>
      <w:r>
        <w:fldChar w:fldCharType="separate"/>
      </w:r>
      <w:r w:rsidR="007F30FB" w:rsidRPr="007F30FB">
        <w:rPr>
          <w:rFonts w:cs="Times New Roman"/>
        </w:rPr>
        <w:t>Berger / Udell (1998), S. 616.</w:t>
      </w:r>
      <w:r>
        <w:fldChar w:fldCharType="end"/>
      </w:r>
    </w:p>
  </w:footnote>
  <w:footnote w:id="9">
    <w:p w14:paraId="3F99D72E" w14:textId="39B69BCE" w:rsidR="007E4054" w:rsidRDefault="007E4054">
      <w:pPr>
        <w:pStyle w:val="Funotentext"/>
      </w:pPr>
      <w:r>
        <w:rPr>
          <w:rStyle w:val="Funotenzeichen"/>
        </w:rPr>
        <w:footnoteRef/>
      </w:r>
      <w:r>
        <w:t xml:space="preserve"> </w:t>
      </w:r>
      <w:r w:rsidR="00996A2E">
        <w:t xml:space="preserve">Vgl. </w:t>
      </w:r>
      <w:r>
        <w:fldChar w:fldCharType="begin"/>
      </w:r>
      <w:r w:rsidR="004339F9">
        <w:instrText xml:space="preserve"> ADDIN ZOTERO_ITEM CSL_CITATION {"citationID":"xTHAm1Bg","properties":{"formattedCitation":"L\\uc0\\u243{}pez-Gracia, J. / Sogorb-Mira, F. (2008), S. 122.","plainCitation":"López-Gracia, J. / Sogorb-Mira, F. (2008), S. 122.","noteIndex":9},"citationItems":[{"id":191,"uris":["http://zotero.org/users/7233606/items/BKDX7AJB"],"uri":["http://zotero.org/users/7233606/items/BKDX7AJB"],"itemData":{"id":191,"type":"article-journal","container-title":"Small Business Economics","DOI":"10.1007/s11187-007-9088-4","ISSN":"0921-898X, 1573-0913","issue":"2","journalAbbreviation":"Small Bus Econ","language":"en","page":"117-136","source":"DOI.org (Crossref)","title":"Testing trade-off and pecking order theories financing SMEs","volume":"31","author":[{"family":"López-Gracia","given":"José"},{"family":"Sogorb-Mira","given":"Francisco"}],"issued":{"date-parts":[["2008",8]]}},"locator":"122"}],"schema":"https://github.com/citation-style-language/schema/raw/master/csl-citation.json"} </w:instrText>
      </w:r>
      <w:r>
        <w:fldChar w:fldCharType="separate"/>
      </w:r>
      <w:r w:rsidRPr="007E4054">
        <w:rPr>
          <w:rFonts w:cs="Times New Roman"/>
          <w:szCs w:val="24"/>
        </w:rPr>
        <w:t>López-Gracia / Sogorb-Mira (2008), S. 122.</w:t>
      </w:r>
      <w:r>
        <w:fldChar w:fldCharType="end"/>
      </w:r>
    </w:p>
  </w:footnote>
  <w:footnote w:id="10">
    <w:p w14:paraId="6E4F3901" w14:textId="1D9C883F" w:rsidR="003B2B2C" w:rsidRPr="003B2B2C" w:rsidRDefault="003B2B2C">
      <w:pPr>
        <w:pStyle w:val="Funotentext"/>
        <w:rPr>
          <w:lang w:val="en-US"/>
        </w:rPr>
      </w:pPr>
      <w:r>
        <w:rPr>
          <w:rStyle w:val="Funotenzeichen"/>
        </w:rPr>
        <w:footnoteRef/>
      </w:r>
      <w:r>
        <w:t xml:space="preserve"> </w:t>
      </w:r>
      <w:r w:rsidR="00E528E4">
        <w:t>Siehe dazu</w:t>
      </w:r>
      <w:r>
        <w:t xml:space="preserve"> </w:t>
      </w:r>
      <w:r>
        <w:fldChar w:fldCharType="begin"/>
      </w:r>
      <w:r w:rsidR="004339F9">
        <w:instrText xml:space="preserve"> ADDIN ZOTERO_ITEM CSL_CITATION {"citationID":"cSRwpgAB","properties":{"formattedCitation":"Abdulsaleh, A.M. / Worthington, A.C. (2013); Chittenden, F. et al. (1996); Cressy, R. / Olofsson, C. (1997); Howorth, C.A. (2001); Berger, A.N. / Udell, G.F. (1998).","plainCitation":"Abdulsaleh, A.M. / Worthington, A.C. (2013); Chittenden, F. et al. (1996); Cressy, R. / Olofsson, C. (1997); Howorth, C.A. (2001); Berger, A.N. / Udell, G.F. (1998).","noteIndex":10},"citationItems":[{"id":167,"uris":["http://zotero.org/users/7233606/items/XSB9Y5TJ"],"uri":["http://zotero.org/users/7233606/items/XSB9Y5TJ"],"itemData":{"id":167,"type":"article-journal","abstract":"There is no doubt that access to finance is of crucial importance for the ongoing and sustainable growth and profitability of small and medium enterprises sector (SMEs) through its role in facilitating the creation of new businesses and nurturing the innovation process as well as promoting the growth and development of existing businesses, which in turn, boost national economic growth. The main motive of this paper is that SMEs significantly differ from large firms in terms of their financial decisions and behaviour. Hence, the purpose of this paper is to review the literature on the various financing sources of SMEs taking into account the effects of both SME characteristics and those of the owner–managers on SME financial behaviour.","container-title":"International Journal of Business and Management","DOI":"10.5539/ijbm.v8n14p36","ISSN":"1833-8119, 1833-3850","issue":"14","journalAbbreviation":"IJBM","language":"en","page":"36-54","source":"DOI.org (Crossref)","title":"Small and Medium-Sized Enterprises Financing: A Review of Literature","title-short":"Small and Medium-Sized Enterprises Financing","volume":"8","author":[{"family":"Abdulsaleh","given":"Abdulaziz M."},{"family":"Worthington","given":"Andrew C."}],"issued":{"date-parts":[["2013",6,19]]}}},{"id":165,"uris":["http://zotero.org/users/7233606/items/AG6G46BD"],"uri":["http://zotero.org/users/7233606/items/AG6G46BD"],"itemData":{"id":165,"type":"article-journal","abstract":"This article investigates the financial structure of small firms with an emphasis on growth and access to capital markets. Neo-classical economic, life cycle, pecking order and agency theory perspectives are reviewed in order to formulate testable propositions concerning levels of longterm, short-term and total debt, and liquidity. Up-to-date financial data were collected from the U.K. Private+ database for a large sample comprising of both listed and unlisted small firms. Regression results indicate significant relationships between financial structure and profitability, asset structure, size, age and stock market flotation but not growth except when rapid and combined with lack of stock market flotation. Analysis of stock market flotation as an interactive dummy reveals major differences between listed and unlisted small firms. The results indicate that the variety of financial structures observed in practice may reflect rational trade-offs of various costs on the part of small firm owner-managers but that the over-reliance on internally available funds and the importance of collateral, in the case of unlisted small finns, are likely to be major constraints on economic growth.","container-title":"Small Business Economics","DOI":"10.1007/BF00391976","ISSN":"0921-898X, 1573-0913","issue":"1","journalAbbreviation":"Small Bus Econ","language":"en","page":"59-67","source":"DOI.org (Crossref)","title":"Small firm growth, access to capital markets and financial structure: Review of issues and an empirical investigation","title-short":"Small firm growth, access to capital markets and financial structure","volume":"8","author":[{"family":"Chittenden","given":"Francis"},{"family":"Hall","given":"Graham"},{"family":"Hutchinson","given":"Patrick"}],"issued":{"date-parts":[["1996",2]]}}},{"id":166,"uris":["http://zotero.org/users/7233606/items/MYLVRWDS"],"uri":["http://zotero.org/users/7233606/items/MYLVRWDS"],"itemData":{"id":166,"type":"article-journal","container-title":"Small Business Economics","language":"en","page":"87–96","source":"Zotero","title":"European SME Financing: An Overview","volume":"9","author":[{"family":"Cressy","given":"Robert"},{"family":"Olofsson","given":"Christer"}],"issued":{"date-parts":[["1997"]]}}},{"id":172,"uris":["http://zotero.org/users/7233606/items/DYRHQ2UU"],"uri":["http://zotero.org/users/7233606/items/DYRHQ2UU"],"itemData":{"id":172,"type":"article-journal","container-title":"International small business journal","DOI":"10.1177/0266242601194005","ISSN":"0266-2426","issue":"4","language":"eng","note":"publisher: SA</w:instrText>
      </w:r>
      <w:r w:rsidR="004339F9" w:rsidRPr="004339F9">
        <w:rPr>
          <w:lang w:val="en-US"/>
        </w:rPr>
        <w:instrText xml:space="preserve">GE Publications","page":"78-86","title":"Small Firms' Demand for Finance: A Research Note","volume":"19","author":[{"family":"Howorth","given":"Carole A"}],"issued":{"date-parts":[["2001"]]}}},{"id":171,"uris":["http://zotero.org/users/7233606/items/SQZPTERB"],"uri":["http://zotero.org/users/7233606/items/SQZPTERB"],"itemData":{"id":171,"type":"article-journal","abstract":"This article examines the economics of financing small business in private equity and debt markets. Firms are viewed through a financial growth cycle paradigm in which different capital structures are optimal at different points in the cycle. We show the sources of small business finance, and how capital structure varies with firm size and age. The interconnectedness of small firm finance is discussed along with the impact of the macroeconomic environment. We also analyze a number of research and policy issues, review the literature, and suggest topics for future research.","container-title":"Journal of banking &amp; finance","DOI":"10.1016/S0378-4266(98)00038-7","ISSN":"0378-4266","issue":"6","language":"eng","note":"publisher: Elsevier B.V","page":"613-673","title":"The economics of small business finance: The roles of private equity and debt markets in the financial growth cycle","volume":"22","author":[{"family":"Berger","given":"Allen N"},{"family":"Udell","given":"Gregory F"}],"issued":{"date-parts":[["1998"]]}}}],"schema":"https://github.com/citation-style-language/schema/raw/master/csl-citation.json"} </w:instrText>
      </w:r>
      <w:r>
        <w:fldChar w:fldCharType="separate"/>
      </w:r>
      <w:r w:rsidR="006354CC" w:rsidRPr="006354CC">
        <w:rPr>
          <w:rFonts w:cs="Times New Roman"/>
          <w:lang w:val="en-US"/>
        </w:rPr>
        <w:t>Abdulsaleh / Worthington (2013); Chittenden et al. (1996); Cressy / Olofsson (1997); Howorth (2001); Berger / Udell (1998).</w:t>
      </w:r>
      <w:r>
        <w:fldChar w:fldCharType="end"/>
      </w:r>
    </w:p>
  </w:footnote>
  <w:footnote w:id="11">
    <w:p w14:paraId="2EEDF8ED" w14:textId="0D53BE24" w:rsidR="00617683" w:rsidRPr="003E232A" w:rsidRDefault="00617683">
      <w:pPr>
        <w:pStyle w:val="Funotentext"/>
        <w:rPr>
          <w:lang w:val="en-US"/>
        </w:rPr>
      </w:pPr>
      <w:r>
        <w:rPr>
          <w:rStyle w:val="Funotenzeichen"/>
        </w:rPr>
        <w:footnoteRef/>
      </w:r>
      <w:r w:rsidRPr="00617683">
        <w:rPr>
          <w:lang w:val="en-US"/>
        </w:rPr>
        <w:t xml:space="preserve"> </w:t>
      </w:r>
      <w:r w:rsidR="00F62CC9" w:rsidRPr="003E232A">
        <w:rPr>
          <w:lang w:val="en-US"/>
        </w:rPr>
        <w:t xml:space="preserve">Vgl. </w:t>
      </w:r>
      <w:r>
        <w:fldChar w:fldCharType="begin"/>
      </w:r>
      <w:r w:rsidR="004339F9">
        <w:rPr>
          <w:lang w:val="en-US"/>
        </w:rPr>
        <w:instrText xml:space="preserve"> ADDIN ZOTERO_ITEM CSL_CITATION {"citationID":"TDbWu6Us","properties":{"formattedCitation":"Chavis, L.W. et al. (2011), S. 504.","plainCitation":"Chavis, L.W. et al. (2011), S. 504.","dontUpdate":true,"noteIndex":11},"citationItems":[{"id":178,"uris":["http://zotero.org/users/7233606/items/K8YYGKLY"],"uri":["http://zotero.org/users/7233606/items/K8YYGKLY"],"itemData":{"id":178,"type":"article-journal","container-title":"The World Bank Economic Review","DOI":"10.1093/wber/lhr045","ISSN":"1564-698X, 0258-6770","issue":"3","language":"en","page":"486-507","source":"DOI.org (Crossref)","title":"The Impact of the Business Environment on Young Firm Financing","volume":"25","author":[{"family":"Chavis","given":"Larry W."},{"family":"Klapper","given":"Leora F."},{"family":"Love","given":"Inessa"}],"issued":{"date-parts":[["2011",1,1]]}},"locator":"504"}],"schema":"https://github.com/citation-style-language/schema/raw/master/csl-citation.json"} </w:instrText>
      </w:r>
      <w:r>
        <w:fldChar w:fldCharType="separate"/>
      </w:r>
      <w:r w:rsidRPr="00617683">
        <w:rPr>
          <w:rFonts w:cs="Times New Roman"/>
          <w:lang w:val="en-US"/>
        </w:rPr>
        <w:t xml:space="preserve">Chavis et al. </w:t>
      </w:r>
      <w:r w:rsidRPr="003E232A">
        <w:rPr>
          <w:rFonts w:cs="Times New Roman"/>
          <w:lang w:val="en-US"/>
        </w:rPr>
        <w:t>(2011), S. 50</w:t>
      </w:r>
      <w:r w:rsidR="00B87131" w:rsidRPr="003E232A">
        <w:rPr>
          <w:rFonts w:cs="Times New Roman"/>
          <w:lang w:val="en-US"/>
        </w:rPr>
        <w:t>3</w:t>
      </w:r>
      <w:r w:rsidRPr="003E232A">
        <w:rPr>
          <w:rFonts w:cs="Times New Roman"/>
          <w:lang w:val="en-US"/>
        </w:rPr>
        <w:t>.</w:t>
      </w:r>
      <w:r>
        <w:fldChar w:fldCharType="end"/>
      </w:r>
    </w:p>
  </w:footnote>
  <w:footnote w:id="12">
    <w:p w14:paraId="69B7B2B9" w14:textId="1DE5A0BA" w:rsidR="006354CC" w:rsidRPr="006354CC" w:rsidRDefault="006354CC">
      <w:pPr>
        <w:pStyle w:val="Funotentext"/>
      </w:pPr>
      <w:r>
        <w:rPr>
          <w:rStyle w:val="Funotenzeichen"/>
        </w:rPr>
        <w:footnoteRef/>
      </w:r>
      <w:r w:rsidRPr="006354CC">
        <w:t xml:space="preserve"> </w:t>
      </w:r>
      <w:r w:rsidR="00F62CC9">
        <w:t xml:space="preserve">Vgl. </w:t>
      </w:r>
      <w:r>
        <w:fldChar w:fldCharType="begin"/>
      </w:r>
      <w:r w:rsidR="004339F9">
        <w:instrText xml:space="preserve"> ADDIN ZOTERO_ITEM CSL_CITATION {"citationID":"E6sV1Kyz","properties":{"formattedCitation":"Daskalakis, N. et al. (2013), S. 97.","plainCitation":"Daskalakis, N. et al. (2013), S. 97.","noteIndex":12},"citationItems":[{"id":180,"uris":["http://zotero.org/users/7233606/items/CPWQEIVL"],"uri":["http://zotero.org/users/7233606/items/CPWQEIVL"],"itemData":{"id":180,"type":"article-journal","abstract":"Purpose – The aims of the paper are three-fold: ﬁrst, to analyse how small and micro ﬁrms ﬁnance themselves; second, to investigate what their ﬁnancing preferences are; and third, to explore their opinions on how they evaluate the ﬁnancing sources and the various obstacles they face in accessing those sources.","container-title":"Journal of Small Business and Enterprise Development","DOI":"10.1108/14626001311298420","ISSN":"1462-6004","issue":"1","journalAbbreviation":"Jrnl of Small Bus Ente Dev","language":"en","page":"80-101","source":"DOI.org (Crossref)","title":"Financing practices and preferences for micro and small firms","volume":"20","author":[{"family":"Daskalakis","given":"Nikolaos"},{"family":"Jarvis","given":"Robin"},{"family":"Schizas","given":"Emmanouil"}],"issued":{"date-parts":[["2013",2,15]]}},"locator":"97"}],"schema":"https://github.com/citation-style-language/schema/raw/master/csl-citation.json"} </w:instrText>
      </w:r>
      <w:r>
        <w:fldChar w:fldCharType="separate"/>
      </w:r>
      <w:r w:rsidRPr="006354CC">
        <w:rPr>
          <w:rFonts w:cs="Times New Roman"/>
        </w:rPr>
        <w:t>Daskalakis et al. (2013), S. 97.</w:t>
      </w:r>
      <w:r>
        <w:fldChar w:fldCharType="end"/>
      </w:r>
    </w:p>
  </w:footnote>
  <w:footnote w:id="13">
    <w:p w14:paraId="5482EAB1" w14:textId="76906E55" w:rsidR="00A967E0" w:rsidRPr="00A967E0" w:rsidRDefault="00A967E0">
      <w:pPr>
        <w:pStyle w:val="Funotentext"/>
      </w:pPr>
      <w:r>
        <w:rPr>
          <w:rStyle w:val="Funotenzeichen"/>
        </w:rPr>
        <w:footnoteRef/>
      </w:r>
      <w:r w:rsidRPr="005C2F24">
        <w:t xml:space="preserve"> </w:t>
      </w:r>
      <w:r w:rsidR="00F62CC9">
        <w:t xml:space="preserve">Vgl. </w:t>
      </w:r>
      <w:r>
        <w:fldChar w:fldCharType="begin"/>
      </w:r>
      <w:r w:rsidR="004339F9">
        <w:instrText xml:space="preserve"> ADDIN ZOTERO_ITEM CSL_CITATION {"citationID":"iaJF787h","properties":{"formattedCitation":"Holton, S. et al. (2014), S. 207.","plainCitation":"Holton, S. et al. (2014), S. 207.","noteIndex":13},"citationItems":[{"id":184,"uris":["http://zotero.org/users/7233606/items/PBHUNJXQ"],"uri":["http://zotero.org/users/7233606/items/PBHUNJXQ"],"itemData":{"id":184,"type":"article-journal","container-title":"Applied Economics","DOI":"10.1080/00036846.2013.824547","ISSN":"0003-6846, 1466-4283","issue":"2","journalAbbreviation":"Applied Economics","language":"en","page":"190-211","source":"DOI.org (Crossref)","title":"Firm credit in the euro area: a tale of three crises","title-short":"Firm credit in the euro area","volume":"46","author":[{"family":"Holton","given":"Sarah"},{"family":"Lawless","given":"Martina"},{"family":"McCann","given":"Fergal"}],"issued":{"date-parts":[["2014",1,12]]}},"locator":"207"}],"schema":"https://github.com/citation-style-language/schema/raw/master/csl-citation.json"} </w:instrText>
      </w:r>
      <w:r>
        <w:fldChar w:fldCharType="separate"/>
      </w:r>
      <w:r w:rsidRPr="005C2F24">
        <w:rPr>
          <w:rFonts w:cs="Times New Roman"/>
        </w:rPr>
        <w:t xml:space="preserve">Holton et al. </w:t>
      </w:r>
      <w:r w:rsidRPr="00A967E0">
        <w:rPr>
          <w:rFonts w:cs="Times New Roman"/>
        </w:rPr>
        <w:t>(2014), S. 207.</w:t>
      </w:r>
      <w:r>
        <w:fldChar w:fldCharType="end"/>
      </w:r>
    </w:p>
  </w:footnote>
  <w:footnote w:id="14">
    <w:p w14:paraId="6A2D39DC" w14:textId="6DF91F20" w:rsidR="007B67CA" w:rsidRPr="007B67CA" w:rsidRDefault="007B67CA">
      <w:pPr>
        <w:pStyle w:val="Funotentext"/>
      </w:pPr>
      <w:r>
        <w:rPr>
          <w:rStyle w:val="Funotenzeichen"/>
        </w:rPr>
        <w:footnoteRef/>
      </w:r>
      <w:r w:rsidRPr="007B67CA">
        <w:t xml:space="preserve"> In Casey / O’Toole (2014) wird stattdessen die</w:t>
      </w:r>
      <w:r>
        <w:t xml:space="preserve"> Begrifflichkeit </w:t>
      </w:r>
      <w:r w:rsidR="00C62090">
        <w:t>„</w:t>
      </w:r>
      <w:r>
        <w:t>alternative Finanzierung</w:t>
      </w:r>
      <w:r w:rsidR="00C62090">
        <w:t>“</w:t>
      </w:r>
      <w:r>
        <w:t xml:space="preserve"> verwendet, welche externe Finanzierungsquellen</w:t>
      </w:r>
      <w:r w:rsidR="00F55671">
        <w:t xml:space="preserve"> neben der Finanzierung durch Banken</w:t>
      </w:r>
      <w:r>
        <w:t xml:space="preserve"> beinhaltet</w:t>
      </w:r>
      <w:r w:rsidR="00F55671">
        <w:t>.</w:t>
      </w:r>
    </w:p>
  </w:footnote>
  <w:footnote w:id="15">
    <w:p w14:paraId="46E16EC5" w14:textId="2E75C196" w:rsidR="00CC7F66" w:rsidRPr="00CC7F66" w:rsidRDefault="00CC7F66">
      <w:pPr>
        <w:pStyle w:val="Funotentext"/>
        <w:rPr>
          <w:lang w:val="en-US"/>
        </w:rPr>
      </w:pPr>
      <w:r>
        <w:rPr>
          <w:rStyle w:val="Funotenzeichen"/>
        </w:rPr>
        <w:footnoteRef/>
      </w:r>
      <w:r w:rsidRPr="00CC7F66">
        <w:rPr>
          <w:lang w:val="en-US"/>
        </w:rPr>
        <w:t xml:space="preserve"> </w:t>
      </w:r>
      <w:r w:rsidR="00F62CC9" w:rsidRPr="00F62CC9">
        <w:rPr>
          <w:lang w:val="en-US"/>
        </w:rPr>
        <w:t xml:space="preserve">Vgl. </w:t>
      </w:r>
      <w:r>
        <w:fldChar w:fldCharType="begin"/>
      </w:r>
      <w:r w:rsidR="004339F9">
        <w:rPr>
          <w:lang w:val="en-US"/>
        </w:rPr>
        <w:instrText xml:space="preserve"> ADDIN ZOTERO_ITEM CSL_CITATION {"citationID":"zMIWKYhu","properties":{"formattedCitation":"Casey, E. / O\\uc0\\u8217{}Toole, C.M. (2014), S. 181 ff.","plainCitation":"Casey, E. / O’Toole, C.M. (2014), S. 181 ff.","noteIndex":15},"citationItems":[{"id":182,"uris":["http://zotero.org/users/7233606/items/6TMXD2VI"],"uri":["http://zotero.org/users/7233606/items/6TMXD2VI"],"itemData":{"id":182,"type":"article-journal","abstract":"Using euro area firm-level data since the recent financial crisis, we test whether bank lending constrained small- and medium-sized enterprises (SMEs) are more likely to use or apply for alternative external finance including trade credit, informal lending, loans from other companies, market financing (issued debt or equity) and state grants. Our constraint indicators identify both credit-rationed firms and firms that self-ration due to high lending costs. We find that creditrationed firms are more likely to use, and apply for, trade credit. This increases with firm size and age. We also find that constrained firms are more likely to use informal lending or loans from other companies but find no evidence that bank-constrained SMEs apply for, or use, market finance. Smaller, self-rationing borrowers are more likely to apply for grant finance. Finally, we find that firms denied credit for working capital tend to turn to trade credit, while informal and intercompany lending tends to act as a substitute for bank investment loans.","container-title":"Journal of Corporate Finance","DOI":"10.1016/j.jcorpfin.2014.05.001","ISSN":"09291199","journalAbbreviation":"Journal of Corporate Finance","language":"en","page":"173-193","source":"DOI.org (Crossref)","title":"Bank lending constraints, trade credit and alternative financing during the financial crisis: Evidence from European SMEs","title-short":"Bank lending constraints, trade credit and alternative financing during the financial crisis","volume":"27","author":[{"family":"Casey","given":"Eddie"},{"family":"O'Toole","given":"Conor M."}],"issued":{"date-parts":[["2014",8]]}},"locator":"181 ff"}],"schema":"https://github.com/citation-style-language/schema/raw/master/csl-citation.json"} </w:instrText>
      </w:r>
      <w:r>
        <w:fldChar w:fldCharType="separate"/>
      </w:r>
      <w:r w:rsidRPr="00CC7F66">
        <w:rPr>
          <w:rFonts w:cs="Times New Roman"/>
          <w:szCs w:val="24"/>
          <w:lang w:val="en-US"/>
        </w:rPr>
        <w:t>Casey</w:t>
      </w:r>
      <w:r w:rsidR="00F62CC9">
        <w:rPr>
          <w:rFonts w:cs="Times New Roman"/>
          <w:szCs w:val="24"/>
          <w:lang w:val="en-US"/>
        </w:rPr>
        <w:t xml:space="preserve"> </w:t>
      </w:r>
      <w:r w:rsidRPr="00CC7F66">
        <w:rPr>
          <w:rFonts w:cs="Times New Roman"/>
          <w:szCs w:val="24"/>
          <w:lang w:val="en-US"/>
        </w:rPr>
        <w:t>/ O’Toole (2014), S. 181 ff.</w:t>
      </w:r>
      <w:r>
        <w:fldChar w:fldCharType="end"/>
      </w:r>
    </w:p>
  </w:footnote>
  <w:footnote w:id="16">
    <w:p w14:paraId="65BC538B" w14:textId="68D38901" w:rsidR="00857708" w:rsidRPr="00857708" w:rsidRDefault="00857708">
      <w:pPr>
        <w:pStyle w:val="Funotentext"/>
        <w:rPr>
          <w:lang w:val="en-US"/>
        </w:rPr>
      </w:pPr>
      <w:r>
        <w:rPr>
          <w:rStyle w:val="Funotenzeichen"/>
        </w:rPr>
        <w:footnoteRef/>
      </w:r>
      <w:r w:rsidRPr="00857708">
        <w:rPr>
          <w:lang w:val="en-US"/>
        </w:rPr>
        <w:t xml:space="preserve"> </w:t>
      </w:r>
      <w:r w:rsidR="00F13FD3" w:rsidRPr="00F13FD3">
        <w:rPr>
          <w:lang w:val="en-US"/>
        </w:rPr>
        <w:t xml:space="preserve">Vgl. </w:t>
      </w:r>
      <w:r>
        <w:fldChar w:fldCharType="begin"/>
      </w:r>
      <w:r w:rsidR="004339F9">
        <w:rPr>
          <w:lang w:val="en-US"/>
        </w:rPr>
        <w:instrText xml:space="preserve"> ADDIN ZOTERO_ITEM CSL_CITATION {"citationID":"MHXoGr7I","properties":{"formattedCitation":"Lawless, M. et al. (2015), S. 2390 f.","plainCitation":"Lawless, M. et al. (2015), S. 2390 f.","noteIndex":16},"citationItems":[{"id":177,"uris":["http://zotero.org/users/7233606/items/4ADXSXD3"],"uri":["http://zotero.org/users/7233606/items/4ADXSXD3"],"itemData":{"id":177,"type":"article-journal","container-title":"Applied Economics","DOI":"10.1080/00036846.2015.1005829","ISSN":"0003-6846, 1466-4283","issue":"23","journalAbbreviation":"Applied Economics","language":"en","page":"2379-2398","source":"DOI.org (Crossref)","title":"Financial structure and diversification of European firms","volume":"47","author":[{"family":"Lawless","given":"Martina"},{"family":"O’Connell","given":"Brian"},{"family":"O’Toole","given":"Conor"}],"issued":{"date-parts":[["2015",5,15]]}},"locator":"2390 f"}],"schema":"https://github.com/citation-style-language/schema/raw/master/csl-citation.json"} </w:instrText>
      </w:r>
      <w:r>
        <w:fldChar w:fldCharType="separate"/>
      </w:r>
      <w:r w:rsidRPr="00857708">
        <w:rPr>
          <w:rFonts w:cs="Times New Roman"/>
          <w:lang w:val="en-US"/>
        </w:rPr>
        <w:t>Lawless et al. (2015), S. 2390 f.</w:t>
      </w:r>
      <w:r>
        <w:fldChar w:fldCharType="end"/>
      </w:r>
    </w:p>
  </w:footnote>
  <w:footnote w:id="17">
    <w:p w14:paraId="0088CBF6" w14:textId="28369C83" w:rsidR="00885603" w:rsidRPr="008F1E22" w:rsidRDefault="00885603" w:rsidP="00885603">
      <w:pPr>
        <w:pStyle w:val="Funotentext"/>
      </w:pPr>
      <w:r>
        <w:rPr>
          <w:rStyle w:val="Funotenzeichen"/>
        </w:rPr>
        <w:footnoteRef/>
      </w:r>
      <w:r w:rsidRPr="008F1E22">
        <w:t xml:space="preserve"> </w:t>
      </w:r>
      <w:r w:rsidR="00F13FD3">
        <w:t xml:space="preserve">Vgl. </w:t>
      </w:r>
      <w:r>
        <w:fldChar w:fldCharType="begin"/>
      </w:r>
      <w:r w:rsidR="004339F9">
        <w:instrText xml:space="preserve"> ADDIN ZOTERO_ITEM CSL_CITATION {"citationID":"WPrZNQRs","properties":{"formattedCitation":"Moritz, A. et al. (2016), S. 128 ff.","plainCitation":"Moritz, A. et al. (2016), S. 128 ff.","dontUpdate":true,"noteIndex":17},"citationItems":[{"id":68,"uris":["http://zotero.org/users/7233606/items/37357BSK"],"uri":["http://zotero.org/users/7233606/items/37357BSK"],"itemData":{"id":68,"type":"article-journal","abstract":"This paper develops an empirical taxonomy of SME financing patterns in Europe by performing a cluster analysis including 12,726 SMEs in 28 European countries. The results reveal that SME financing in Europe is not homogenous but that different financing patterns exist. The cluster analysis identifies six distinct SME financing types: mixed-financed SMEs, state-subsidised SMEs, debt-financed SMEs, flexible-debt-financed SMEs, trade-financed SMEs and internally financed SMEs. These SME financing types differ according to the number of financing instruments used and the combinations thereof. Furthermore, the SME financing types can be profiled according to their firm-, product-, industry- and country-specific characteristics. Our findings support policy-makers in assessing the impact of policy changes on SME financing and in designing financing programmes tailored to the specific needs of SMEs.","container-title":"Venture Capital","DOI":"10.1080/13691066.2016.1145900","ISSN":"1369-1066, 1464-5343","issue":"2","journalAbbreviation":"Venture Capital","language":"en","page":"115-148","source":"DOI.org (Crossref)","title":"Financing patterns of European SMEs – an empirical taxonomy","volume":"18","author":[{"family":"Moritz","given":"Alexandra"},{"family":"Block","given":"Joern H."},{"family":"Heinz","given":"Andreas"}],"issued":{"date-parts":[["2016",4,2]]}},"locator":"128 ff"}],"schema":"https://github.com/citation-style-language/schema/raw/master/csl-citation.json"} </w:instrText>
      </w:r>
      <w:r>
        <w:fldChar w:fldCharType="separate"/>
      </w:r>
      <w:r w:rsidRPr="008F1E22">
        <w:rPr>
          <w:rFonts w:cs="Times New Roman"/>
        </w:rPr>
        <w:t>Moritz et al. (2016), S. 128.</w:t>
      </w:r>
      <w:r>
        <w:fldChar w:fldCharType="end"/>
      </w:r>
    </w:p>
  </w:footnote>
  <w:footnote w:id="18">
    <w:p w14:paraId="4C3430E7" w14:textId="13F0F892" w:rsidR="00885603" w:rsidRPr="00885603" w:rsidRDefault="00885603">
      <w:pPr>
        <w:pStyle w:val="Funotentext"/>
      </w:pPr>
      <w:r>
        <w:rPr>
          <w:rStyle w:val="Funotenzeichen"/>
        </w:rPr>
        <w:footnoteRef/>
      </w:r>
      <w:r w:rsidRPr="00885603">
        <w:t xml:space="preserve"> </w:t>
      </w:r>
      <w:r w:rsidR="00F13FD3">
        <w:t xml:space="preserve">Vgl. </w:t>
      </w:r>
      <w:r>
        <w:fldChar w:fldCharType="begin"/>
      </w:r>
      <w:r w:rsidR="004339F9">
        <w:instrText xml:space="preserve"> ADDIN ZOTERO_ITEM CSL_CITATION {"citationID":"8MX2L6ty","properties":{"formattedCitation":"Moritz, A. et al. (2016), S. 140.","plainCitation":"Moritz, A. et al. (2016), S. 140.","noteIndex":18},"citationItems":[{"id":68,"uris":["http://zotero.org/users/7233606/items/37357BSK"],"uri":["http://zotero.org/users/7233606/items/37357BSK"],"itemData":{"id":68,"type":"article-journal","abstract":"This paper develops an empirical taxonomy of SME financing patterns in Europe by performing a cluster analysis including 12,726 SMEs in 28 European countries. The results reveal that SME financing in Europe is not homogenous but that different financing patterns exist. The cluster analysis identifies six distinct SME financing types: mixed-financed SMEs, state-subsidised SMEs, debt-financed SMEs, flexible-debt-financed SMEs, trade-financed SMEs and internally financed SMEs. These SME financing types differ according to the number of financing instruments used and the combinations thereof. Furthermore, the SME financing types can be profiled according to their firm-, product-, industry- and country-specific characteristics. Our findings support policy-makers in assessing the impact of policy changes on SME financing and in designing financing programmes tailored to the specific needs of SMEs.","container-title":"Venture Capital","DOI":"10.1080/13691066.2016.1145900","ISSN":"1369-1066, 1464-5343","issue":"2","journalAbbreviation":"Venture Capital","language":"en","page":"115-148","source":"DOI.org (Crossref)","title":"Financing patterns of European SMEs – an empirical taxonomy","volume":"18","author":[{"family":"Moritz","given":"Alexandra"},{"family":"Block","given":"Joern H."},{"family":"Heinz","given":"Andreas"}],"issued":{"date-parts":[["2016",4,2]]}},"locator":"140"}],"schema":"https://github.com/citation-style-language/schema/raw/master/csl-citation.json"} </w:instrText>
      </w:r>
      <w:r>
        <w:fldChar w:fldCharType="separate"/>
      </w:r>
      <w:r w:rsidR="001A3787">
        <w:rPr>
          <w:rFonts w:cs="Times New Roman"/>
        </w:rPr>
        <w:t>ebenda,</w:t>
      </w:r>
      <w:r w:rsidRPr="00885603">
        <w:rPr>
          <w:rFonts w:cs="Times New Roman"/>
        </w:rPr>
        <w:t xml:space="preserve"> S. 140.</w:t>
      </w:r>
      <w:r>
        <w:fldChar w:fldCharType="end"/>
      </w:r>
    </w:p>
  </w:footnote>
  <w:footnote w:id="19">
    <w:p w14:paraId="34F27BB2" w14:textId="11A4651B" w:rsidR="00736CF4" w:rsidRPr="005C2F24" w:rsidRDefault="00736CF4">
      <w:pPr>
        <w:pStyle w:val="Funotentext"/>
      </w:pPr>
      <w:r>
        <w:rPr>
          <w:rStyle w:val="Funotenzeichen"/>
        </w:rPr>
        <w:footnoteRef/>
      </w:r>
      <w:r w:rsidRPr="005C2F24">
        <w:t xml:space="preserve"> </w:t>
      </w:r>
      <w:r w:rsidR="00F13FD3">
        <w:t xml:space="preserve">Vgl. </w:t>
      </w:r>
      <w:r>
        <w:fldChar w:fldCharType="begin"/>
      </w:r>
      <w:r w:rsidR="004339F9">
        <w:instrText xml:space="preserve"> ADDIN ZOTERO_ITEM CSL_CITATION {"citationID":"6jeeLSl3","properties":{"formattedCitation":"Masiak, C. et al. (2019), S. 4.","plainCitation":"Masiak, C. et al. (2019), S. 4.","dontUpdate":true,"noteIndex":19},"citationItems":[{"id":7,"uris":["http://zotero.org/users/7233606/items/SKPECCJE"],"uri":["http://zotero.org/users/7233606/items/SKPECCJE"],"itemData":{"id":7,"type":"article-journal","abstract":"The vast majority of ﬁrms in Europe are micro ﬁrms. Still, we know little about their ﬁnancing patterns. Our paper aims to close this gap. Based on a large European ﬁrm-level data set, we ﬁnd that micro ﬁrms diﬀer in their ﬁnancing patterns from larger SMEs. Our empirical results show that micro ﬁrms are more likely to use internal ﬁnancing instruments, whereas they are less likely to use state subsidies, trade credit or asset-based ﬁnancing instruments. Furthermore, micro ﬁrms diﬀer from larger SMEs by using more short-term debt ﬁnancing instruments such as credit card overdrafts, credit lines and bank overdrafts. The implications of these ﬁndings for micro ﬁrms and policy makers are discussed.","container-title":"Venture Capital","DOI":"10.1080/13691066.2019.1569333","ISSN":"1369-1066, 1464-5343","issue":"4","journalAbbreviation":"Venture Capital","language":"en","page":"301-325","source":"DOI.org (Crossref)","title":"How do micro firms differ in their financing patterns from larger SMEs?","volume":"21","author":[{"family":"Masiak","given":"Christian"},{"family":"Block","given":"Joern H."},{"family":"Moritz","given":"Alexandra"},{"family":"Lang","given":"Frank"},{"family":"Kraemer-Eis","given":"Helmut"}],"issued":{"date-parts":[["2019",10,2]]}},"locator":"4"}],"schema":"https://github.com/citation-style-language/schema/raw/master/csl-citation.json"} </w:instrText>
      </w:r>
      <w:r>
        <w:fldChar w:fldCharType="separate"/>
      </w:r>
      <w:r w:rsidRPr="005C2F24">
        <w:rPr>
          <w:rFonts w:cs="Times New Roman"/>
        </w:rPr>
        <w:t>Masiak et al. (2019), S. 304.</w:t>
      </w:r>
      <w:r>
        <w:fldChar w:fldCharType="end"/>
      </w:r>
    </w:p>
  </w:footnote>
  <w:footnote w:id="20">
    <w:p w14:paraId="7688AA53" w14:textId="7CFB5E67" w:rsidR="00735C93" w:rsidRDefault="00735C93">
      <w:pPr>
        <w:pStyle w:val="Funotentext"/>
      </w:pPr>
      <w:r>
        <w:rPr>
          <w:rStyle w:val="Funotenzeichen"/>
        </w:rPr>
        <w:footnoteRef/>
      </w:r>
      <w:r>
        <w:t xml:space="preserve"> </w:t>
      </w:r>
      <w:r w:rsidR="00F13FD3">
        <w:t xml:space="preserve">Vgl. </w:t>
      </w:r>
      <w:r w:rsidR="001A3787">
        <w:t>ebenda</w:t>
      </w:r>
      <w:r>
        <w:fldChar w:fldCharType="begin"/>
      </w:r>
      <w:r w:rsidR="004339F9">
        <w:instrText xml:space="preserve"> ADDIN ZOTERO_ITEM CSL_CITATION {"citationID":"oE4zeyqT","properties":{"formattedCitation":"Masiak, C. et al. (2019), S. 314.","plainCitation":"Masiak, C. et al. (2019), S. 314.","noteIndex":20},"citationItems":[{"id":7,"uris":["http://zotero.org/users/7233606/items/SKPECCJE"],"uri":["http://zotero.org/users/7233606/items/SKPECCJE"],"itemData":{"id":7,"type":"article-journal","abstract":"The vast majority of ﬁrms in Europe are micro ﬁrms. Still, we know little about their ﬁnancing patterns. Our paper aims to close this gap. Based on a large European ﬁrm-level data set, we ﬁnd that micro ﬁrms diﬀer in their ﬁnancing patterns from larger SMEs. Our empirical results show that micro ﬁrms are more likely to use internal ﬁnancing instruments, whereas they are less likely to use state subsidies, trade credit or asset-based ﬁnancing instruments. Furthermore, micro ﬁrms diﬀer from larger SMEs by using more short-term debt ﬁnancing instruments such as credit card overdrafts, credit lines and bank overdrafts. The implications of these ﬁndings for micro ﬁrms and policy makers are discussed.","container-title":"Venture Capital","DOI":"10.1080/13691066.2019.1569333","ISSN":"1369-1066, 1464-5343","issue":"4","journalAbbreviation":"Venture Capital","language":"en","page":"301-325","source":"DOI.org (Crossref)","title":"How do micro firms differ in their financing patterns from larger SMEs?","volume":"21","author":[{"family":"Masiak","given":"Christian"},{"family":"Block","given":"Joern H."},{"family":"Moritz","given":"Alexandra"},{"family":"Lang","given":"Frank"},{"family":"Kraemer-Eis","given":"Helmut"}],"issued":{"date-parts":[["2019",10,2]]}},"locator":"314"}],"schema":"https://github.com/citation-style-language/schema/raw/master/csl-citation.json"} </w:instrText>
      </w:r>
      <w:r>
        <w:fldChar w:fldCharType="separate"/>
      </w:r>
      <w:r w:rsidRPr="00735C93">
        <w:rPr>
          <w:rFonts w:cs="Times New Roman"/>
        </w:rPr>
        <w:t>, S. 314.</w:t>
      </w:r>
      <w:r>
        <w:fldChar w:fldCharType="end"/>
      </w:r>
    </w:p>
  </w:footnote>
  <w:footnote w:id="21">
    <w:p w14:paraId="008FD990" w14:textId="61D03F7C" w:rsidR="000918AF" w:rsidRDefault="00586297" w:rsidP="00586297">
      <w:pPr>
        <w:pStyle w:val="Funotentext"/>
      </w:pPr>
      <w:r>
        <w:rPr>
          <w:rStyle w:val="Funotenzeichen"/>
        </w:rPr>
        <w:footnoteRef/>
      </w:r>
      <w:r>
        <w:t xml:space="preserve"> </w:t>
      </w:r>
      <w:r w:rsidR="00322CE9">
        <w:t xml:space="preserve">Vgl. </w:t>
      </w:r>
      <w:r>
        <w:t xml:space="preserve">Europäische Zentralbank (2021), S. </w:t>
      </w:r>
      <w:r w:rsidR="00184210">
        <w:t>3</w:t>
      </w:r>
      <w:r>
        <w:t xml:space="preserve"> f.</w:t>
      </w:r>
    </w:p>
  </w:footnote>
  <w:footnote w:id="22">
    <w:p w14:paraId="1E738873" w14:textId="77777777" w:rsidR="00B551E5" w:rsidRDefault="00B551E5" w:rsidP="00B551E5">
      <w:pPr>
        <w:pStyle w:val="Funotentext"/>
      </w:pPr>
      <w:r>
        <w:rPr>
          <w:rStyle w:val="Funotenzeichen"/>
        </w:rPr>
        <w:footnoteRef/>
      </w:r>
      <w:r>
        <w:t xml:space="preserve"> Vgl. ebenda, S. 4 ff.</w:t>
      </w:r>
    </w:p>
  </w:footnote>
  <w:footnote w:id="23">
    <w:p w14:paraId="33448B95" w14:textId="2865EA4F" w:rsidR="00F66469" w:rsidRDefault="00F66469">
      <w:pPr>
        <w:pStyle w:val="Funotentext"/>
      </w:pPr>
      <w:r>
        <w:rPr>
          <w:rStyle w:val="Funotenzeichen"/>
        </w:rPr>
        <w:footnoteRef/>
      </w:r>
      <w:r>
        <w:t xml:space="preserve"> </w:t>
      </w:r>
      <w:r>
        <w:rPr>
          <w:rFonts w:cs="Times New Roman"/>
          <w:szCs w:val="24"/>
        </w:rPr>
        <w:t>z.B.</w:t>
      </w:r>
      <w:r w:rsidRPr="00950B10">
        <w:rPr>
          <w:rFonts w:cs="Times New Roman"/>
          <w:szCs w:val="24"/>
        </w:rPr>
        <w:t xml:space="preserve"> von Freunden und Familie, </w:t>
      </w:r>
      <w:r>
        <w:rPr>
          <w:rFonts w:cs="Times New Roman"/>
          <w:szCs w:val="24"/>
        </w:rPr>
        <w:t>zugehörigen</w:t>
      </w:r>
      <w:r w:rsidRPr="00950B10">
        <w:rPr>
          <w:rFonts w:cs="Times New Roman"/>
          <w:szCs w:val="24"/>
        </w:rPr>
        <w:t xml:space="preserve"> Unternehmen oder Anteilseignern</w:t>
      </w:r>
    </w:p>
  </w:footnote>
  <w:footnote w:id="24">
    <w:p w14:paraId="3E51F650" w14:textId="77777777" w:rsidR="00F66469" w:rsidRDefault="00F66469" w:rsidP="00F66469">
      <w:pPr>
        <w:pStyle w:val="Funotentext"/>
      </w:pPr>
      <w:r>
        <w:rPr>
          <w:rStyle w:val="Funotenzeichen"/>
        </w:rPr>
        <w:footnoteRef/>
      </w:r>
      <w:r>
        <w:t xml:space="preserve"> </w:t>
      </w:r>
      <w:r w:rsidRPr="005F4B41">
        <w:t>Die</w:t>
      </w:r>
      <w:r>
        <w:t xml:space="preserve"> kombinierte</w:t>
      </w:r>
      <w:r w:rsidRPr="005F4B41">
        <w:t xml:space="preserve"> Antwortmöglichkeit </w:t>
      </w:r>
      <w:r w:rsidRPr="005F4B41">
        <w:rPr>
          <w:rFonts w:cs="Times New Roman"/>
          <w:i/>
          <w:iCs/>
          <w:szCs w:val="24"/>
        </w:rPr>
        <w:t xml:space="preserve">Leasing, Ratenkauf und Factoring </w:t>
      </w:r>
      <w:r>
        <w:rPr>
          <w:rFonts w:cs="Times New Roman"/>
          <w:szCs w:val="24"/>
        </w:rPr>
        <w:t xml:space="preserve">wurde seit der SAFE Umfrage 2014H1 in </w:t>
      </w:r>
      <w:r w:rsidRPr="005F4B41">
        <w:rPr>
          <w:rFonts w:cs="Times New Roman"/>
          <w:i/>
          <w:iCs/>
          <w:szCs w:val="24"/>
        </w:rPr>
        <w:t>Leasing</w:t>
      </w:r>
      <w:r>
        <w:rPr>
          <w:rFonts w:cs="Times New Roman"/>
          <w:i/>
          <w:iCs/>
          <w:szCs w:val="24"/>
        </w:rPr>
        <w:t xml:space="preserve"> und </w:t>
      </w:r>
      <w:r w:rsidRPr="005F4B41">
        <w:rPr>
          <w:rFonts w:cs="Times New Roman"/>
          <w:i/>
          <w:iCs/>
          <w:szCs w:val="24"/>
        </w:rPr>
        <w:t>Ratenkauf</w:t>
      </w:r>
      <w:r>
        <w:rPr>
          <w:rFonts w:cs="Times New Roman"/>
          <w:i/>
          <w:iCs/>
          <w:szCs w:val="24"/>
        </w:rPr>
        <w:t xml:space="preserve"> </w:t>
      </w:r>
      <w:r w:rsidRPr="005F4B41">
        <w:rPr>
          <w:rFonts w:cs="Times New Roman"/>
          <w:szCs w:val="24"/>
        </w:rPr>
        <w:t>und</w:t>
      </w:r>
      <w:r w:rsidRPr="005F4B41">
        <w:rPr>
          <w:rFonts w:cs="Times New Roman"/>
          <w:i/>
          <w:iCs/>
          <w:szCs w:val="24"/>
        </w:rPr>
        <w:t xml:space="preserve"> Factoring</w:t>
      </w:r>
      <w:r>
        <w:rPr>
          <w:rFonts w:cs="Times New Roman"/>
          <w:i/>
          <w:iCs/>
          <w:szCs w:val="24"/>
        </w:rPr>
        <w:t xml:space="preserve"> </w:t>
      </w:r>
      <w:r w:rsidRPr="005F4B41">
        <w:rPr>
          <w:rFonts w:cs="Times New Roman"/>
          <w:szCs w:val="24"/>
        </w:rPr>
        <w:t>aufgeteilt.</w:t>
      </w:r>
      <w:r>
        <w:rPr>
          <w:rFonts w:cs="Times New Roman"/>
          <w:szCs w:val="24"/>
        </w:rPr>
        <w:t xml:space="preserve"> Zur Vergleichbarkeit mit Masiak et al. (2019) wurde nur die kombiniete Finanzierungsquelle betrachtet.</w:t>
      </w:r>
    </w:p>
  </w:footnote>
  <w:footnote w:id="25">
    <w:p w14:paraId="50D491F4" w14:textId="4012459F" w:rsidR="00F66469" w:rsidRDefault="00F66469">
      <w:pPr>
        <w:pStyle w:val="Funotentext"/>
      </w:pPr>
      <w:r>
        <w:rPr>
          <w:rStyle w:val="Funotenzeichen"/>
        </w:rPr>
        <w:footnoteRef/>
      </w:r>
      <w:r>
        <w:t xml:space="preserve"> </w:t>
      </w:r>
      <w:r w:rsidRPr="00950B10">
        <w:rPr>
          <w:rFonts w:cs="Times New Roman"/>
          <w:szCs w:val="24"/>
        </w:rPr>
        <w:t>z</w:t>
      </w:r>
      <w:r>
        <w:rPr>
          <w:rFonts w:cs="Times New Roman"/>
          <w:szCs w:val="24"/>
        </w:rPr>
        <w:t>.</w:t>
      </w:r>
      <w:r w:rsidRPr="00950B10">
        <w:rPr>
          <w:rFonts w:cs="Times New Roman"/>
          <w:szCs w:val="24"/>
        </w:rPr>
        <w:t>B. nachrangige Darlehen, Beteiligungsdarlehen, P2P Kredite, Crow</w:t>
      </w:r>
      <w:r>
        <w:rPr>
          <w:rFonts w:cs="Times New Roman"/>
          <w:szCs w:val="24"/>
        </w:rPr>
        <w:t>d</w:t>
      </w:r>
      <w:r w:rsidRPr="00950B10">
        <w:rPr>
          <w:rFonts w:cs="Times New Roman"/>
          <w:szCs w:val="24"/>
        </w:rPr>
        <w:t>funding</w:t>
      </w:r>
    </w:p>
  </w:footnote>
  <w:footnote w:id="26">
    <w:p w14:paraId="3300FAED" w14:textId="1F8EDA06" w:rsidR="00630C60" w:rsidRPr="00630C60" w:rsidRDefault="00630C60">
      <w:pPr>
        <w:pStyle w:val="Funotentext"/>
      </w:pPr>
      <w:r>
        <w:rPr>
          <w:rStyle w:val="Funotenzeichen"/>
        </w:rPr>
        <w:footnoteRef/>
      </w:r>
      <w:r w:rsidRPr="00630C60">
        <w:t xml:space="preserve"> </w:t>
      </w:r>
      <w:r w:rsidR="005C36ED">
        <w:t xml:space="preserve">Vgl. </w:t>
      </w:r>
      <w:r>
        <w:fldChar w:fldCharType="begin"/>
      </w:r>
      <w:r w:rsidR="00E062CE">
        <w:instrText xml:space="preserve"> ADDIN ZOTERO_ITEM CSL_CITATION {"citationID":"ULLxpAqO","properties":{"formattedCitation":"Mirza, N. et al. (2020), S. 1.","plainCitation":"Mirza, N. et al. (2020), S. 1.","noteIndex":26},"citationItems":[{"id":155,"uris":["http://zotero.org/users/7233606/items/8XVDJCB8"],"uri":["http://zotero.org/users/7233606/items/8XVDJCB8"],"itemData":{"id":155,"type":"article-journal","container-title":"The Quarterly Review of Economics and Finance","DOI":"10.1016/j.qref.2020.09.002","ISSN":"10629769","journalAbbreviation":"The Quarterly Review of Economics and Finance","language":"en","page":"1-10","source":"DOI.org (Crossref)","title":"Impact of Covid-19 on corporate solvency and possible policy responses in the EU","author":[{"family":"Mirza","given":"Nawazish"},{"family":"Rahat","given":"Birjees"},{"family":"Naqvi","given":"Bushra"},{"family":"Rizvi","given":"Syed Kumail Abbas"}],"issued":{"date-parts":[["2020",9]]}},"locator":"1"}],"schema":"https://github.com/citation-style-language/schema/raw/master/csl-citation.json"} </w:instrText>
      </w:r>
      <w:r>
        <w:fldChar w:fldCharType="separate"/>
      </w:r>
      <w:r w:rsidRPr="00630C60">
        <w:rPr>
          <w:rFonts w:cs="Times New Roman"/>
        </w:rPr>
        <w:t>Mirza et al. (2020), S. 1.</w:t>
      </w:r>
      <w:r>
        <w:fldChar w:fldCharType="end"/>
      </w:r>
    </w:p>
  </w:footnote>
  <w:footnote w:id="27">
    <w:p w14:paraId="31E41725" w14:textId="79500339" w:rsidR="00DF353E" w:rsidRPr="00630C60" w:rsidRDefault="00DF353E" w:rsidP="00DF353E">
      <w:pPr>
        <w:pStyle w:val="Funotentext"/>
      </w:pPr>
      <w:r>
        <w:rPr>
          <w:rStyle w:val="Funotenzeichen"/>
        </w:rPr>
        <w:footnoteRef/>
      </w:r>
      <w:r w:rsidRPr="00630C60">
        <w:t xml:space="preserve"> </w:t>
      </w:r>
      <w:r w:rsidR="005C36ED">
        <w:t xml:space="preserve">Vgl. </w:t>
      </w:r>
      <w:r>
        <w:fldChar w:fldCharType="begin"/>
      </w:r>
      <w:r>
        <w:instrText xml:space="preserve"> ADDIN ZOTERO_ITEM CSL_CITATION {"citationID":"Ci6ttqSF","properties":{"formattedCitation":"Didier, T. et al. (2021), S. 7.","plainCitation":"Didier, T. et al. (2021), S. 7.","noteIndex":27},"citationItems":[{"id":157,"uris":["http://zotero.org/users/7233606/items/ZTEDMH9U"],"uri":["http://zotero.org/users/7233606/items/ZTEDMH9U"],"itemData":{"id":157,"type":"article-journal","container-title":"Journal of Financial Stability","DOI":"10.1016/j.jfs.2020.100837","ISSN":"15723089","journalAbbreviation":"Journal of Financial Stability","language":"en","page":"100837","source":"DOI.org (Crossref)","title":"Financing firms in hibernation during the COVID-19 pandemic","volume":"53","author":[{"family":"Didier","given":"Tatiana"},{"family":"Huneeus","given":"Federico"},{"family":"Larrain","given":"Mauricio"},{"family":"Schmukler","given":"Sergio L."}],"issued":{"date-parts":[["2021",4]]}},"locator":"7"}],"schema":"https://github.com/citation-style-language/schema/raw/master/csl-citation.json"} </w:instrText>
      </w:r>
      <w:r>
        <w:fldChar w:fldCharType="separate"/>
      </w:r>
      <w:r w:rsidRPr="00630C60">
        <w:rPr>
          <w:rFonts w:cs="Times New Roman"/>
        </w:rPr>
        <w:t>Didier</w:t>
      </w:r>
      <w:r w:rsidR="005C36ED">
        <w:rPr>
          <w:rFonts w:cs="Times New Roman"/>
        </w:rPr>
        <w:t xml:space="preserve"> </w:t>
      </w:r>
      <w:r w:rsidRPr="00630C60">
        <w:rPr>
          <w:rFonts w:cs="Times New Roman"/>
        </w:rPr>
        <w:t>et al. (2021), S. 7.</w:t>
      </w:r>
      <w:r>
        <w:fldChar w:fldCharType="end"/>
      </w:r>
    </w:p>
  </w:footnote>
  <w:footnote w:id="28">
    <w:p w14:paraId="55131C78" w14:textId="67740C32" w:rsidR="00630C60" w:rsidRPr="00630C60" w:rsidRDefault="00630C60">
      <w:pPr>
        <w:pStyle w:val="Funotentext"/>
      </w:pPr>
      <w:r>
        <w:rPr>
          <w:rStyle w:val="Funotenzeichen"/>
        </w:rPr>
        <w:footnoteRef/>
      </w:r>
      <w:r w:rsidRPr="00630C60">
        <w:t xml:space="preserve"> </w:t>
      </w:r>
      <w:r w:rsidR="005C36ED">
        <w:t xml:space="preserve">Vgl. </w:t>
      </w:r>
      <w:r>
        <w:fldChar w:fldCharType="begin"/>
      </w:r>
      <w:r w:rsidR="004339F9">
        <w:instrText xml:space="preserve"> ADDIN ZOTERO_ITEM CSL_CITATION {"citationID":"5vT85KJw","properties":{"formattedCitation":"Didier, T. et al. (2021), S. 8 f.","plainCitation":"Didier, T. et al. (2021), S. 8 f.","noteIndex":28},"citationItems":[{"id":157,"uris":["http://zotero.org/users/7233606/items/ZTEDMH9U"],"uri":["http://zotero.org/users/7233606/items/ZTEDMH9U"],"itemData":{"id":157,"type":"article-journal","container-title":"Journal of Financial Stability","DOI":"10.1016/j.jfs.2020.100837","ISSN":"15723089","journalAbbreviation":"Journal of Financial Stability","language":"en","page":"100837","source":"DOI.org (Crossref)","title":"Financing firms in hibernation during the COVID-19 pandemic","volume":"53","author":[{"family":"Didier","given":"Tatiana"},{"family":"Huneeus","given":"Federico"},{"family":"Larrain","given":"Mauricio"},{"family":"Schmukler","given":"Sergio L."}],"issued":{"date-parts":[["2021",4]]}},"locator":"8 f"}],"schema":"https://github.com/citation-style-language/schema/raw/master/csl-citation.json"} </w:instrText>
      </w:r>
      <w:r>
        <w:fldChar w:fldCharType="separate"/>
      </w:r>
      <w:r w:rsidR="005C36ED">
        <w:rPr>
          <w:rFonts w:cs="Times New Roman"/>
        </w:rPr>
        <w:t>ebenda</w:t>
      </w:r>
      <w:r w:rsidRPr="00630C60">
        <w:rPr>
          <w:rFonts w:cs="Times New Roman"/>
        </w:rPr>
        <w:t>, S. 8 f.</w:t>
      </w:r>
      <w:r>
        <w:fldChar w:fldCharType="end"/>
      </w:r>
    </w:p>
  </w:footnote>
  <w:footnote w:id="29">
    <w:p w14:paraId="5CDD3B6F" w14:textId="2DC87382" w:rsidR="00630C60" w:rsidRPr="00630C60" w:rsidRDefault="00630C60">
      <w:pPr>
        <w:pStyle w:val="Funotentext"/>
      </w:pPr>
      <w:r>
        <w:rPr>
          <w:rStyle w:val="Funotenzeichen"/>
        </w:rPr>
        <w:footnoteRef/>
      </w:r>
      <w:r w:rsidRPr="00630C60">
        <w:t xml:space="preserve"> </w:t>
      </w:r>
      <w:r w:rsidR="005C36ED">
        <w:t xml:space="preserve">Vgl. </w:t>
      </w:r>
      <w:r>
        <w:fldChar w:fldCharType="begin"/>
      </w:r>
      <w:r w:rsidR="00E062CE">
        <w:instrText xml:space="preserve"> ADDIN ZOTERO_ITEM CSL_CITATION {"citationID":"XZy1FS7W","properties":{"formattedCitation":"Mirza, N. et al. (2020), S. 9.","plainCitation":"Mirza, N. et al. (2020), S. 9.","noteIndex":29},"citationItems":[{"id":155,"uris":["http://zotero.org/users/7233606/items/8XVDJCB8"],"uri":["http://zotero.org/users/7233606/items/8XVDJCB8"],"itemData":{"id":155,"type":"article-journal","container-title":"The Quarterly Review of Economics and Finance","DOI":"10.1016/j.qref.2020.09.002","ISSN":"10629769","journalAbbreviation":"The Quarterly Review of Economics and Finance","language":"en","page":"1-10","source":"DOI.org (Crossref)","title":"Impact of Covid-19 on corporate solvency and possible policy responses in the EU","author":[{"family":"Mirza","given":"Nawazish"},{"family":"Rahat","given":"Birjees"},{"family":"Naqvi","given":"Bushra"},{"family":"Rizvi","given":"Syed Kumail Abbas"}],"issued":{"date-parts":[["2020",9]]}},"locator":"9"}],"schema":"https://github.com/citation-style-language/schema/raw/master/csl-citation.json"} </w:instrText>
      </w:r>
      <w:r>
        <w:fldChar w:fldCharType="separate"/>
      </w:r>
      <w:r w:rsidRPr="00630C60">
        <w:rPr>
          <w:rFonts w:cs="Times New Roman"/>
        </w:rPr>
        <w:t>Mirza et al. (2020), S. 9.</w:t>
      </w:r>
      <w:r>
        <w:fldChar w:fldCharType="end"/>
      </w:r>
    </w:p>
  </w:footnote>
  <w:footnote w:id="30">
    <w:p w14:paraId="278129AA" w14:textId="4C00105B" w:rsidR="00A45099" w:rsidRDefault="00A45099">
      <w:pPr>
        <w:pStyle w:val="Funotentext"/>
      </w:pPr>
      <w:r>
        <w:rPr>
          <w:rStyle w:val="Funotenzeichen"/>
        </w:rPr>
        <w:footnoteRef/>
      </w:r>
      <w:r w:rsidRPr="00BA46C1">
        <w:t xml:space="preserve"> </w:t>
      </w:r>
      <w:r w:rsidR="002D6CE3" w:rsidRPr="00BA46C1">
        <w:t xml:space="preserve">In </w:t>
      </w:r>
      <w:r w:rsidRPr="00BA46C1">
        <w:t xml:space="preserve">Masiak et al. </w:t>
      </w:r>
      <w:r>
        <w:t>(201</w:t>
      </w:r>
      <w:r w:rsidR="007B3838">
        <w:t>9</w:t>
      </w:r>
      <w:r>
        <w:t xml:space="preserve">) </w:t>
      </w:r>
      <w:r w:rsidR="002D6CE3">
        <w:t>wird zusätzlich Malta aufgrund von fehlenden Daten ausgeschlossen</w:t>
      </w:r>
      <w:r w:rsidR="00157116">
        <w:t>. Im Gegensatz dazu sind hier in der finalen Stichprobe genügend Unternehmen vorhanden.</w:t>
      </w:r>
      <w:r w:rsidR="002D6CE3">
        <w:t xml:space="preserve"> (</w:t>
      </w:r>
      <w:r w:rsidR="00E0133F">
        <w:t>Vgl</w:t>
      </w:r>
      <w:r w:rsidR="002D6CE3">
        <w:t xml:space="preserve">. </w:t>
      </w:r>
      <w:r w:rsidR="00E0133F">
        <w:t xml:space="preserve">Anhang </w:t>
      </w:r>
      <w:r w:rsidR="001426B1">
        <w:t>B</w:t>
      </w:r>
      <w:r w:rsidR="00E0133F">
        <w:t>.2</w:t>
      </w:r>
      <w:r w:rsidR="002D6CE3">
        <w:t>)</w:t>
      </w:r>
    </w:p>
  </w:footnote>
  <w:footnote w:id="31">
    <w:p w14:paraId="1A63047E" w14:textId="0C8E28A6" w:rsidR="00E0133F" w:rsidRDefault="00E0133F">
      <w:pPr>
        <w:pStyle w:val="Funotentext"/>
      </w:pPr>
      <w:r>
        <w:rPr>
          <w:rStyle w:val="Funotenzeichen"/>
        </w:rPr>
        <w:footnoteRef/>
      </w:r>
      <w:r>
        <w:t xml:space="preserve"> Die </w:t>
      </w:r>
      <w:r w:rsidR="007F1C08">
        <w:t xml:space="preserve">konkrete </w:t>
      </w:r>
      <w:r w:rsidR="007F1C08" w:rsidRPr="007F1C08">
        <w:t>Anzahl der Unternehmen in der Stichprobe nach Ländern</w:t>
      </w:r>
      <w:r w:rsidR="007F1C08">
        <w:t xml:space="preserve"> befindet sich in</w:t>
      </w:r>
      <w:r>
        <w:t xml:space="preserve"> Anhang </w:t>
      </w:r>
      <w:r w:rsidR="001426B1">
        <w:t>B</w:t>
      </w:r>
      <w:r>
        <w:t>.2</w:t>
      </w:r>
      <w:r w:rsidR="007F1C08">
        <w:t>.</w:t>
      </w:r>
    </w:p>
  </w:footnote>
  <w:footnote w:id="32">
    <w:p w14:paraId="133FDD90" w14:textId="67200F19" w:rsidR="00636BEA" w:rsidRDefault="00636BEA">
      <w:pPr>
        <w:pStyle w:val="Funotentext"/>
      </w:pPr>
      <w:r>
        <w:rPr>
          <w:rStyle w:val="Funotenzeichen"/>
        </w:rPr>
        <w:footnoteRef/>
      </w:r>
      <w:r>
        <w:t xml:space="preserve"> </w:t>
      </w:r>
      <w:r w:rsidR="00461E46">
        <w:t xml:space="preserve">Vgl. </w:t>
      </w:r>
      <w:r>
        <w:t>Europäische Zentralbank (2021), S. 5.</w:t>
      </w:r>
    </w:p>
  </w:footnote>
  <w:footnote w:id="33">
    <w:p w14:paraId="03277F40" w14:textId="09912AAF" w:rsidR="00B6241E" w:rsidRDefault="00B6241E">
      <w:pPr>
        <w:pStyle w:val="Funotentext"/>
      </w:pPr>
      <w:r>
        <w:rPr>
          <w:rStyle w:val="Funotenzeichen"/>
        </w:rPr>
        <w:footnoteRef/>
      </w:r>
      <w:r>
        <w:t xml:space="preserve"> </w:t>
      </w:r>
      <w:r w:rsidR="00461E46">
        <w:t xml:space="preserve">Vgl. </w:t>
      </w:r>
      <w:r>
        <w:fldChar w:fldCharType="begin"/>
      </w:r>
      <w:r w:rsidR="004339F9">
        <w:instrText xml:space="preserve"> ADDIN ZOTERO_ITEM CSL_CITATION {"citationID":"m12oJDfQ","properties":{"formattedCitation":"Moritz, A. et al. (2016), S. 119 ff.","plainCitation":"Moritz, A. et al. (2016), S. 119 ff.","noteIndex":33},"citationItems":[{"id":68,"uris":["http://zotero.org/users/7233606/items/37357BSK"],"uri":["http://zotero.org/users/7233606/items/37357BSK"],"itemData":{"id":68,"type":"article-journal","abstract":"This paper develops an empirical taxonomy of SME financing patterns in Europe by performing a cluster analysis including 12,726 SMEs in 28 European countries. The results reveal that SME financing in Europe is not homogenous but that different financing patterns exist. The cluster analysis identifies six distinct SME financing types: mixed-financed SMEs, state-subsidised SMEs, debt-financed SMEs, flexible-debt-financed SMEs, trade-financed SMEs and internally financed SMEs. These SME financing types differ according to the number of financing instruments used and the combinations thereof. Furthermore, the SME financing types can be profiled according to their firm-, product-, industry- and country-specific characteristics. Our findings support policy-makers in assessing the impact of policy changes on SME financing and in designing financing programmes tailored to the specific needs of SMEs.","container-title":"Venture Capital","DOI":"10.1080/13691066.2016.1145900","ISSN":"1369-1066, 1464-5343","issue":"2","journalAbbreviation":"Venture Capital","language":"en","page":"115-148","source":"DOI.org (Crossref)","title":"Financing patterns of European SMEs – an empirical taxonomy","volume":"18","author":[{"family":"Moritz","given":"Alexandra"},{"family":"Block","given":"Joern H."},{"family":"Heinz","given":"Andreas"}],"issued":{"date-parts":[["2016",4,2]]}},"locator":"119 ff"}],"schema":"https://github.com/citation-style-language/schema/raw/master/csl-citation.json"} </w:instrText>
      </w:r>
      <w:r>
        <w:fldChar w:fldCharType="separate"/>
      </w:r>
      <w:r w:rsidRPr="00B6241E">
        <w:rPr>
          <w:rFonts w:cs="Times New Roman"/>
        </w:rPr>
        <w:t>Moritz et al. (2016), S. 119 ff.</w:t>
      </w:r>
      <w:r>
        <w:fldChar w:fldCharType="end"/>
      </w:r>
    </w:p>
  </w:footnote>
  <w:footnote w:id="34">
    <w:p w14:paraId="10AE636C" w14:textId="5177D88D" w:rsidR="006E05D3" w:rsidRDefault="006E05D3">
      <w:pPr>
        <w:pStyle w:val="Funotentext"/>
      </w:pPr>
      <w:r>
        <w:rPr>
          <w:rStyle w:val="Funotenzeichen"/>
        </w:rPr>
        <w:footnoteRef/>
      </w:r>
      <w:r>
        <w:t xml:space="preserve"> </w:t>
      </w:r>
      <w:r w:rsidR="00461E46">
        <w:t xml:space="preserve">Vgl. </w:t>
      </w:r>
      <w:r>
        <w:fldChar w:fldCharType="begin"/>
      </w:r>
      <w:r w:rsidR="00E062CE">
        <w:instrText xml:space="preserve"> ADDIN ZOTERO_ITEM CSL_CITATION {"citationID":"eKFj3jHz","properties":{"formattedCitation":"Gelman, A. (2007), S. 163.","plainCitation":"Gelman, A. (2007), S. 163.","noteIndex":34},"citationItems":[{"id":82,"uris":["http://zotero.org/users/7233606/items/VS7LGLGS"],"uri":["http://zotero.org/users/7233606/items/VS7LGLGS"],"itemData":{"id":82,"type":"article-journal","abstract":"The general principles of Bayesian data analysis imply that models for survey responses should be constructed conditional on all variables that affect the probability of inclusion and nonresponse, which are also the variables used in survey weighting and clustering. However, such models can quickly become very complicated, with potentially thousands of poststratiﬁcation cells. It is then a challenge to develop general families of multilevel probability models that yield reasonable Bayesian inferences. We discuss in the context of several ongoing public health and social surveys. This work is currently open-ended, and we conclude with thoughts on how research could proceed to solve these problems.","container-title":"Statistical Science","DOI":"10.1214/088342306000000691","ISSN":"0883-4237","issue":"2","journalAbbreviation":"Statist. Sci.","language":"en","page":"153–164","source":"DOI.org (Crossref)","title":"Struggles with Survey Weighting and Regression Modeling","volume":"22","author":[{"family":"Gelman","given":"Andrew"}],"issued":{"date-parts":[["2007",5,1]]}},"locator":"163"}],"schema":"https://github.com/citation-style-language/schema/raw/master/csl-citation.json"} </w:instrText>
      </w:r>
      <w:r>
        <w:fldChar w:fldCharType="separate"/>
      </w:r>
      <w:r w:rsidRPr="006E05D3">
        <w:rPr>
          <w:rFonts w:cs="Times New Roman"/>
        </w:rPr>
        <w:t>Gelman (2007), S. 163.</w:t>
      </w:r>
      <w:r>
        <w:fldChar w:fldCharType="end"/>
      </w:r>
    </w:p>
  </w:footnote>
  <w:footnote w:id="35">
    <w:p w14:paraId="61D222CB" w14:textId="49FD866B" w:rsidR="00AA2510" w:rsidRPr="00461E46" w:rsidRDefault="00AA2510" w:rsidP="00AA2510">
      <w:pPr>
        <w:pStyle w:val="Funotentext"/>
      </w:pPr>
      <w:r>
        <w:rPr>
          <w:rStyle w:val="Funotenzeichen"/>
        </w:rPr>
        <w:footnoteRef/>
      </w:r>
      <w:r w:rsidRPr="00461E46">
        <w:t xml:space="preserve"> </w:t>
      </w:r>
      <w:r w:rsidR="00461E46">
        <w:t xml:space="preserve">Vgl. </w:t>
      </w:r>
      <w:r>
        <w:fldChar w:fldCharType="begin"/>
      </w:r>
      <w:r w:rsidR="00FD5E8B" w:rsidRPr="00461E46">
        <w:instrText xml:space="preserve"> ADDIN ZOTERO_ITEM CSL_CITATION {"citationID":"nqpXovnU","properties":{"formattedCitation":"Rencher, A.C. (2002), S. 451.","plainCitation":"Rencher, A.C. (2002), S. 451.","noteIndex":35},"citationItems":[{"id":84,"uris":["http://zotero.org/users/7233606/items/HQADTKFP"],"uri":["http://zotero.org/users/7233606/items/HQADTKFP"],"itemData":{"id":84,"type":"book","call-number":"QA278 .R45 2002","collection-title":"Wiley series in probability and mathematical statistics","edition":"2","event-place":"New York","ISBN":"978-0-471-41889-4","language":"en","number-of-pages":"708","publisher":"J. Wiley","publisher-place":"New York","source":"Library of Congress ISBN","title":"Methods of multivariate analysis","author":[{"family":"Rencher","given":"Alvin C."}],"issued":{"date-parts":[["2002"]]}},"locator":"451"}],"schema":"https://github.com/citation-style-language/schema/raw/master/csl-citation.json"} </w:instrText>
      </w:r>
      <w:r>
        <w:fldChar w:fldCharType="separate"/>
      </w:r>
      <w:r w:rsidRPr="00461E46">
        <w:rPr>
          <w:rFonts w:cs="Times New Roman"/>
        </w:rPr>
        <w:t>Rencher (2002), S. 451.</w:t>
      </w:r>
      <w:r>
        <w:fldChar w:fldCharType="end"/>
      </w:r>
    </w:p>
  </w:footnote>
  <w:footnote w:id="36">
    <w:p w14:paraId="558DAAAC" w14:textId="14B91860" w:rsidR="00AA2510" w:rsidRPr="0003126D" w:rsidRDefault="00AA2510" w:rsidP="00AA2510">
      <w:pPr>
        <w:pStyle w:val="Funotentext"/>
      </w:pPr>
      <w:r>
        <w:rPr>
          <w:rStyle w:val="Funotenzeichen"/>
        </w:rPr>
        <w:footnoteRef/>
      </w:r>
      <w:r w:rsidRPr="00FD5E8B">
        <w:rPr>
          <w:lang w:val="en-US"/>
        </w:rPr>
        <w:t xml:space="preserve"> </w:t>
      </w:r>
      <w:r w:rsidR="00461E46" w:rsidRPr="00461E46">
        <w:rPr>
          <w:lang w:val="en-US"/>
        </w:rPr>
        <w:t xml:space="preserve">Vgl. </w:t>
      </w:r>
      <w:r>
        <w:fldChar w:fldCharType="begin"/>
      </w:r>
      <w:r w:rsidR="00E062CE">
        <w:rPr>
          <w:lang w:val="en-US"/>
        </w:rPr>
        <w:instrText xml:space="preserve"> ADDIN ZOTERO_ITEM CSL_CITATION {"citationID":"7mPljppk","properties":{"formattedCitation":"Abu-Jamous, B. et al. (2015), S. 135.","plainCitation":"Abu-Jamous, B. et al. (2015), S. 135.","noteIndex":36},"citationItems":[{"id":86,"uris":["http://zotero.org/users/7233606/items/TDHNVJ5E"],"uri":["http://zotero.org/users/7233606/items/TDHNVJ5E"],"itemData":{"id":86,"type":"book","edition":"1","event-place":"Chichester, UK","ISBN":"978-1-118-90654-5","language":"en","note":"DOI: 10.1002/9781118906545","publisher":"John Wiley &amp; Sons, Ltd","publisher-place":"Chichester, UK","source":"DOI.org (Crossref)","title":"Integrative Cluster Analysis in Bioinformatics: Nandi/Integrative Cluster Analysis in Bioinformatics","title-short":"Integrative Cluster Analysis in Bioinformatics","URL":"http://doi.wiley.com/10.1002/9781118906545","author":[{"family":"Abu-Jamous","given":"Basel"},{"family":"Fa","given":"Rui"},{"family":"Nandi","given":"Asoke K."}],"accessed":{"date-parts":[["2021",11,13]]},"issued":{"date-parts":[["2015",3,20]]}},"locator":"135"}],"schema":"https://github.com/citation-style-language/schema/raw/master/csl-citation.json"} </w:instrText>
      </w:r>
      <w:r>
        <w:fldChar w:fldCharType="separate"/>
      </w:r>
      <w:r w:rsidRPr="00FD5E8B">
        <w:rPr>
          <w:rFonts w:cs="Times New Roman"/>
          <w:lang w:val="en-US"/>
        </w:rPr>
        <w:t xml:space="preserve">Abu-Jamous et al. </w:t>
      </w:r>
      <w:r w:rsidRPr="0003126D">
        <w:rPr>
          <w:rFonts w:cs="Times New Roman"/>
        </w:rPr>
        <w:t>(2015), S. 135.</w:t>
      </w:r>
      <w:r>
        <w:fldChar w:fldCharType="end"/>
      </w:r>
    </w:p>
  </w:footnote>
  <w:footnote w:id="37">
    <w:p w14:paraId="2972CE3B" w14:textId="4DF71196" w:rsidR="00F4288B" w:rsidRPr="0003126D" w:rsidRDefault="00F4288B">
      <w:pPr>
        <w:pStyle w:val="Funotentext"/>
      </w:pPr>
      <w:r>
        <w:rPr>
          <w:rStyle w:val="Funotenzeichen"/>
        </w:rPr>
        <w:footnoteRef/>
      </w:r>
      <w:r w:rsidRPr="0003126D">
        <w:t xml:space="preserve"> </w:t>
      </w:r>
      <w:r w:rsidR="00461E46">
        <w:t xml:space="preserve">Vgl. </w:t>
      </w:r>
      <w:r>
        <w:fldChar w:fldCharType="begin"/>
      </w:r>
      <w:r w:rsidR="00E062CE">
        <w:instrText xml:space="preserve"> ADDIN ZOTERO_ITEM CSL_CITATION {"citationID":"LGOC7F1M","properties":{"formattedCitation":"Backhaus, K. et al. (2018), S. 437 f.","plainCitation":"Backhaus, K. et al. (2018), S. 437 f.","dontUpdate":true,"noteIndex":37},"citationItems":[{"id":70,"uris":["http://zotero.org/users/7233606/items/6C9G39VX"],"uri":["http://zotero.org/users/7233606/items/6C9G39VX"],"itemData":{"id":70,"type":"book","edition":"1","event-place":"Berlin","ISBN":"978-3-662-56654-1","language":"de","note":"DOI: 10.1007/978-3-662-56655-8","publisher":"Springer","publisher-place":"Berlin","source":"DOI.org (Crossref)","title":"Multivariate Analysemethoden: Eine anwendungsorientierte Einführung","title-short":"Multivariate Analysemethoden","URL":"http://link.springer.com/10.1007/978-3-662-56655-8","author":[{"family":"Backhaus","given":"Klaus"},{"family":"Erichson","given":"Bernd"},{"family":"Plinke","given":"Wulff"},{"family":"Weiber","given":"Rolf"}],"accessed":{"date-parts":[["2021",2,9]]},"issued":{"date-parts":[["2018"]]}},"locator":"437 f"}],"schema":"https://github.com/citation-style-language/schema/raw/master/csl-citation.json"} </w:instrText>
      </w:r>
      <w:r>
        <w:fldChar w:fldCharType="separate"/>
      </w:r>
      <w:r w:rsidRPr="0003126D">
        <w:rPr>
          <w:rFonts w:cs="Times New Roman"/>
        </w:rPr>
        <w:t>Backhaus et al. (2018), S. 437 ff.</w:t>
      </w:r>
      <w:r>
        <w:fldChar w:fldCharType="end"/>
      </w:r>
    </w:p>
  </w:footnote>
  <w:footnote w:id="38">
    <w:p w14:paraId="3080653F" w14:textId="0C2F1565" w:rsidR="002B2307" w:rsidRPr="0003126D" w:rsidRDefault="002B2307">
      <w:pPr>
        <w:pStyle w:val="Funotentext"/>
      </w:pPr>
      <w:r>
        <w:rPr>
          <w:rStyle w:val="Funotenzeichen"/>
        </w:rPr>
        <w:footnoteRef/>
      </w:r>
      <w:r w:rsidRPr="0003126D">
        <w:t xml:space="preserve"> </w:t>
      </w:r>
      <w:r w:rsidR="00461E46">
        <w:t xml:space="preserve">Vgl. </w:t>
      </w:r>
      <w:r>
        <w:fldChar w:fldCharType="begin"/>
      </w:r>
      <w:r w:rsidR="00E062CE">
        <w:instrText xml:space="preserve"> ADDIN ZOTERO_ITEM CSL_CITATION {"citationID":"lGKNjDJN","properties":{"formattedCitation":"Backhaus, K. et al. (2018), S. 440.","plainCitation":"Backhaus, K. et al. (2018), S. 440.","noteIndex":38},"citationItems":[{"id":70,"uris":["http://zotero.org/users/7233606/items/6C9G39VX"],"uri":["http://zotero.org/users/7233606/items/6C9G39VX"],"itemData":{"id":70,"type":"book","edition":"1","event-place":"Berlin","ISBN":"978-3-662-56654-1","language":"de","note":"DOI: 10.1007/978-3-662-56655-8","publisher":"Springer","publisher-place":"Berlin","source":"DOI.org (Crossref)","title":"Multivariate Analysemethoden: Eine anwendungsorientierte Einführung","title-short":"Multivariate Analysemethoden","URL":"http://link.springer.com/10.1007/978-3-662-56655-8","author":[{"family":"Backhaus","given":"Klaus"},{"family":"Erichson","given":"Bernd"},{"family":"Plinke","given":"Wulff"},{"family":"Weiber","given":"Rolf"}],"accessed":{"date-parts":[["2021",2,9]]},"issued":{"date-parts":[["2018"]]}},"locator":"440"}],"schema":"https://github.com/citation-style-language/schema/raw/master/csl-citation.json"} </w:instrText>
      </w:r>
      <w:r>
        <w:fldChar w:fldCharType="separate"/>
      </w:r>
      <w:r w:rsidR="00461E46">
        <w:rPr>
          <w:rFonts w:cs="Times New Roman"/>
        </w:rPr>
        <w:t>ebenda</w:t>
      </w:r>
      <w:r w:rsidRPr="0003126D">
        <w:rPr>
          <w:rFonts w:cs="Times New Roman"/>
        </w:rPr>
        <w:t>, S. 440.</w:t>
      </w:r>
      <w:r>
        <w:fldChar w:fldCharType="end"/>
      </w:r>
    </w:p>
  </w:footnote>
  <w:footnote w:id="39">
    <w:p w14:paraId="64D6D3B5" w14:textId="79B715DC" w:rsidR="002908C4" w:rsidRPr="0003126D" w:rsidRDefault="002908C4">
      <w:pPr>
        <w:pStyle w:val="Funotentext"/>
      </w:pPr>
      <w:r>
        <w:rPr>
          <w:rStyle w:val="Funotenzeichen"/>
        </w:rPr>
        <w:footnoteRef/>
      </w:r>
      <w:r w:rsidRPr="0003126D">
        <w:t xml:space="preserve"> </w:t>
      </w:r>
      <w:r w:rsidR="00461E46">
        <w:t xml:space="preserve">Vgl. </w:t>
      </w:r>
      <w:r>
        <w:fldChar w:fldCharType="begin"/>
      </w:r>
      <w:r w:rsidR="00FD5E8B">
        <w:instrText xml:space="preserve"> ADDIN ZOTERO_ITEM CSL_CITATION {"citationID":"sLUMHqFD","properties":{"formattedCitation":"Vogt, W. / Nagel, D. (1992), S. 184.","plainCitation":"Vogt, W. / Nagel, D. (1992), S. 184.","noteIndex":39},"citationItems":[{"id":94,"uris":["http://zotero.org/users/7233606/items/S3ZNTTBB"],"uri":["http://zotero.org/users/7233606/items/S3ZNTTBB"],"itemData":{"id":94,"type":"article-journal","abstract":"Abstract\n            The purpose of this paper is to survey the usefulness of cluster analysis in the special case of diagnoses. This complex topic is restricted, however, to the application on laboratory characteristics, separately or in connection with clinical data. The article is subdivided into three parts: (a) the fields of a possible use of cluster analysis, detection of diseases or subgroups of diseases, and data reduction by detection of structures; (b) a brief mathematical description of hierarchical and partitioning classification techniques (as a crucial point, the problems associated with these methods are discussed); (c) a critical review of 24 publications of the past 10 years concerning cluster analysis and diagnoses.","container-title":"Clinical Chemistry","DOI":"10.1093/clinchem/38.2.182","ISSN":"0009-9147, 1530-8561","issue":"2","language":"en","page":"182-198","source":"DOI.org (Crossref)","title":"Cluster Analysis in Diagnosis","volume":"38","author":[{"family":"Vogt","given":"Wolfgang"},{"family":"Nagel","given":"Dorothea"}],"issued":{"date-parts":[["1992",2,1]]}},"locator":"184"}],"schema":"https://github.com/citation-style-language/schema/raw/master/csl-citation.json"} </w:instrText>
      </w:r>
      <w:r>
        <w:fldChar w:fldCharType="separate"/>
      </w:r>
      <w:r w:rsidRPr="0003126D">
        <w:rPr>
          <w:rFonts w:cs="Times New Roman"/>
        </w:rPr>
        <w:t>Vogt / Nagel (1992), S. 184.</w:t>
      </w:r>
      <w:r>
        <w:fldChar w:fldCharType="end"/>
      </w:r>
    </w:p>
  </w:footnote>
  <w:footnote w:id="40">
    <w:p w14:paraId="4AD33237" w14:textId="07143B82" w:rsidR="009053CB" w:rsidRPr="0003126D" w:rsidRDefault="009053CB">
      <w:pPr>
        <w:pStyle w:val="Funotentext"/>
      </w:pPr>
      <w:r>
        <w:rPr>
          <w:rStyle w:val="Funotenzeichen"/>
        </w:rPr>
        <w:footnoteRef/>
      </w:r>
      <w:r w:rsidRPr="0003126D">
        <w:t xml:space="preserve"> </w:t>
      </w:r>
      <w:r w:rsidR="00461E46">
        <w:t xml:space="preserve">Vgl. </w:t>
      </w:r>
      <w:r>
        <w:fldChar w:fldCharType="begin"/>
      </w:r>
      <w:r w:rsidR="00FD5E8B">
        <w:instrText xml:space="preserve"> ADDIN ZOTERO_ITEM CSL_CITATION {"citationID":"BwwGsTPW","properties":{"formattedCitation":"Vogt, W. / Nagel, D. (1992), S. 184.","plainCitation":"Vogt, W. / Nagel, D. (1992), S. 184.","noteIndex":40},"citationItems":[{"id":94,"uris":["http://zotero.org/users/7233606/items/S3ZNTTBB"],"uri":["http://zotero.org/users/7233606/items/S3ZNTTBB"],"itemData":{"id":94,"type":"article-journal","abstract":"Abstract\n            The purpose of this paper is to survey the usefulness of cluster analysis in the special case of diagnoses. This complex topic is restricted, however, to the application on laboratory characteristics, separately or in connection with clinical data. The article is subdivided into three parts: (a) the fields of a possible use of cluster analysis, detection of diseases or subgroups of diseases, and data reduction by detection of structures; (b) a brief mathematical description of hierarchical and partitioning classification techniques (as a crucial point, the problems associated with these methods are discussed); (c) a critical review of 24 publications of the past 10 years concerning cluster analysis and diagnoses.","container-title":"Clinical Chemistry","DOI":"10.1093/clinchem/38.2.182","ISSN":"0009-9147, 1530-8561","issue":"2","language":"en","page":"182-198","source":"DOI.org (Crossref)","title":"Cluster Analysis in Diagnosis","volume":"38","author":[{"family":"Vogt","given":"Wolfgang"},{"family":"Nagel","given":"Dorothea"}],"issued":{"date-parts":[["1992",2,1]]}},"locator":"184"}],"schema":"https://github.com/citation-style-language/schema/raw/master/csl-citation.json"} </w:instrText>
      </w:r>
      <w:r>
        <w:fldChar w:fldCharType="separate"/>
      </w:r>
      <w:r w:rsidR="00461E46">
        <w:rPr>
          <w:rFonts w:cs="Times New Roman"/>
        </w:rPr>
        <w:t>ebenda</w:t>
      </w:r>
      <w:r w:rsidRPr="0003126D">
        <w:rPr>
          <w:rFonts w:cs="Times New Roman"/>
        </w:rPr>
        <w:t>, S. 184.</w:t>
      </w:r>
      <w:r>
        <w:fldChar w:fldCharType="end"/>
      </w:r>
    </w:p>
  </w:footnote>
  <w:footnote w:id="41">
    <w:p w14:paraId="22C233F9" w14:textId="26E4EF7C" w:rsidR="005E0FC3" w:rsidRPr="00EA587D" w:rsidRDefault="005E0FC3">
      <w:pPr>
        <w:pStyle w:val="Funotentext"/>
        <w:rPr>
          <w:lang w:val="en-US"/>
        </w:rPr>
      </w:pPr>
      <w:r>
        <w:rPr>
          <w:rStyle w:val="Funotenzeichen"/>
        </w:rPr>
        <w:footnoteRef/>
      </w:r>
      <w:r w:rsidRPr="00EA587D">
        <w:rPr>
          <w:lang w:val="en-US"/>
        </w:rPr>
        <w:t xml:space="preserve"> </w:t>
      </w:r>
      <w:r w:rsidR="00CA61D1">
        <w:t xml:space="preserve">Vgl. </w:t>
      </w:r>
      <w:r>
        <w:fldChar w:fldCharType="begin"/>
      </w:r>
      <w:r w:rsidR="00E062CE">
        <w:rPr>
          <w:lang w:val="en-US"/>
        </w:rPr>
        <w:instrText xml:space="preserve"> ADDIN ZOTERO_ITEM CSL_CITATION {"citationID":"L708hKpc","properties":{"formattedCitation":"Backhaus, K. et al. (2018), S. 450.","plainCitation":"Backhaus, K. et al. (2018), S. 450.","noteIndex":41},"citationItems":[{"id":70,"uris":["http://zotero.org/users/7233606/items/6C9G39VX"],"uri":["http://zotero.org/users/7233606/items/6C9G39VX"],"itemData":{"id":70,"type":"book","edition":"1","event-place":"Berlin","ISBN":"978-3-662-56654-1","language":"de","note":"DOI: 10.1007/978-3-662-56655-8","publisher":"Springer","publisher-place":"Berlin","source":"DOI.org (Crossref)","title":"Multivariate Analysemethoden: Eine anwendungsorientierte Einführung","title-short":"Multivariate Analysemethoden","URL":"http://link.springer.com/10.1007/978-3-662-56655-8","author":[{"family":"Backhaus","given":"Klaus"},{"family":"Erichson","given":"Bernd"},{"family":"Plinke","given":"Wulff"},{"family":"Weiber","given":"Rolf"}],"accessed":{"date-parts":[["2021",2,9]]},"issued":{"date-parts":[["2018"]]}},"locator":"450"}],"schema":"https://github.com/citation-style-language/schema/raw/master/csl-citation.json"} </w:instrText>
      </w:r>
      <w:r>
        <w:fldChar w:fldCharType="separate"/>
      </w:r>
      <w:r w:rsidRPr="00EA587D">
        <w:rPr>
          <w:rFonts w:cs="Times New Roman"/>
          <w:lang w:val="en-US"/>
        </w:rPr>
        <w:t>Backhaus et al. (2018), S. 450.</w:t>
      </w:r>
      <w:r>
        <w:fldChar w:fldCharType="end"/>
      </w:r>
    </w:p>
  </w:footnote>
  <w:footnote w:id="42">
    <w:p w14:paraId="23239245" w14:textId="559BDF99" w:rsidR="00B5633B" w:rsidRPr="00EA587D" w:rsidRDefault="00B5633B">
      <w:pPr>
        <w:pStyle w:val="Funotentext"/>
        <w:rPr>
          <w:lang w:val="en-US"/>
        </w:rPr>
      </w:pPr>
      <w:r>
        <w:rPr>
          <w:rStyle w:val="Funotenzeichen"/>
        </w:rPr>
        <w:footnoteRef/>
      </w:r>
      <w:r w:rsidRPr="00EA587D">
        <w:rPr>
          <w:lang w:val="en-US"/>
        </w:rPr>
        <w:t xml:space="preserve"> </w:t>
      </w:r>
      <w:r w:rsidR="00CA61D1" w:rsidRPr="00CA61D1">
        <w:rPr>
          <w:lang w:val="en-US"/>
        </w:rPr>
        <w:t xml:space="preserve">Vgl. </w:t>
      </w:r>
      <w:r>
        <w:fldChar w:fldCharType="begin"/>
      </w:r>
      <w:r w:rsidR="00FD5E8B">
        <w:rPr>
          <w:lang w:val="en-US"/>
        </w:rPr>
        <w:instrText xml:space="preserve"> ADDIN ZOTERO_ITEM CSL_CITATION {"citationID":"sM0BAfeY","properties":{"formattedCitation":"Finch, H. (2005), S. 86.","plainCitation":"Finch, H. (2005), S. 86.","noteIndex":42},"citationItems":[{"id":97,"uris":["http://zotero.org/users/7233606/items/NH7UF3BJ"],"uri":["http://zotero.org/users/7233606/items/NH7UF3BJ"],"itemData":{"id":97,"type":"article-journal","container-title":"Journal of Data Science","DOI":"10.6339/JDS.2005.03(1).192","ISSN":"1680-743X","issue":"1","page":"85-100","title":"Comparison of Distance Measures in Cluster Analysis with Dichotomous Data","volume":"3","author":[{"family":"Finch","given":"Holmes"}],"issued":{"date-parts":[["2005"]]}},"locator":"86"}],"schema":"https://github.com/citation-style-language/schema/raw/master/csl-citation.json"} </w:instrText>
      </w:r>
      <w:r>
        <w:fldChar w:fldCharType="separate"/>
      </w:r>
      <w:r w:rsidRPr="00EA587D">
        <w:rPr>
          <w:rFonts w:cs="Times New Roman"/>
          <w:lang w:val="en-US"/>
        </w:rPr>
        <w:t>Finch (2005), S. 86.</w:t>
      </w:r>
      <w:r>
        <w:fldChar w:fldCharType="end"/>
      </w:r>
    </w:p>
  </w:footnote>
  <w:footnote w:id="43">
    <w:p w14:paraId="43CD2C67" w14:textId="49857959" w:rsidR="004911D6" w:rsidRPr="00EA587D" w:rsidRDefault="004911D6">
      <w:pPr>
        <w:pStyle w:val="Funotentext"/>
        <w:rPr>
          <w:lang w:val="en-US"/>
        </w:rPr>
      </w:pPr>
      <w:r>
        <w:rPr>
          <w:rStyle w:val="Funotenzeichen"/>
        </w:rPr>
        <w:footnoteRef/>
      </w:r>
      <w:r w:rsidRPr="00EA587D">
        <w:rPr>
          <w:lang w:val="en-US"/>
        </w:rPr>
        <w:t xml:space="preserve"> </w:t>
      </w:r>
      <w:r w:rsidR="00CA61D1" w:rsidRPr="00CA61D1">
        <w:rPr>
          <w:lang w:val="en-US"/>
        </w:rPr>
        <w:t xml:space="preserve">Vgl. </w:t>
      </w:r>
      <w:r>
        <w:fldChar w:fldCharType="begin"/>
      </w:r>
      <w:r w:rsidR="00FD5E8B">
        <w:rPr>
          <w:lang w:val="en-US"/>
        </w:rPr>
        <w:instrText xml:space="preserve"> ADDIN ZOTERO_ITEM CSL_CITATION {"citationID":"l1SOYJz0","properties":{"formattedCitation":"Dillon, W.R. / Goldstein, M. (1984), S. 161.","plainCitation":"Dillon, W.R. / Goldstein, M. (1984), S. 161.","noteIndex":43},"citationItems":[{"id":99,"uris":["http://zotero.org/users/7233606/items/IVUCAMRL"],"uri":["http://zotero.org/users/7233606/items/IVUCAMRL"],"itemData":{"id":99,"type":"book","edition":"1","event-place":"New York","ISBN":"0-471-08317-8","language":"eng","publisher":"John Wiley &amp; Sons","publisher-place":"New York","title":"Multivariate analysis : methods and applications","author":[{"family":"Dillon","given":"William R"},{"family":"Goldstein","given":"Matthew"}],"issued":{"date-parts":[["1984"]]}},"locator":"161"}],"schema":"https://github.com/citation-style-language/schema/raw/master/csl-citation.json"} </w:instrText>
      </w:r>
      <w:r>
        <w:fldChar w:fldCharType="separate"/>
      </w:r>
      <w:r w:rsidRPr="00EA587D">
        <w:rPr>
          <w:rFonts w:cs="Times New Roman"/>
          <w:lang w:val="en-US"/>
        </w:rPr>
        <w:t>Dillon / Goldstein (1984), S. 161.</w:t>
      </w:r>
      <w:r>
        <w:fldChar w:fldCharType="end"/>
      </w:r>
    </w:p>
  </w:footnote>
  <w:footnote w:id="44">
    <w:p w14:paraId="3C33E2DA" w14:textId="640C14A6" w:rsidR="00496EAE" w:rsidRPr="00EA587D" w:rsidRDefault="00496EAE">
      <w:pPr>
        <w:pStyle w:val="Funotentext"/>
        <w:rPr>
          <w:lang w:val="en-US"/>
        </w:rPr>
      </w:pPr>
      <w:r>
        <w:rPr>
          <w:rStyle w:val="Funotenzeichen"/>
        </w:rPr>
        <w:footnoteRef/>
      </w:r>
      <w:r w:rsidRPr="00EA587D">
        <w:rPr>
          <w:lang w:val="en-US"/>
        </w:rPr>
        <w:t xml:space="preserve"> </w:t>
      </w:r>
      <w:r w:rsidR="00CA61D1">
        <w:t xml:space="preserve">Vgl. </w:t>
      </w:r>
      <w:r>
        <w:fldChar w:fldCharType="begin"/>
      </w:r>
      <w:r w:rsidR="00E062CE">
        <w:rPr>
          <w:lang w:val="en-US"/>
        </w:rPr>
        <w:instrText xml:space="preserve"> ADDIN ZOTERO_ITEM CSL_CITATION {"citationID":"e9Frtvos","properties":{"formattedCitation":"Backhaus, K. et al. (2018), S. 440.","plainCitation":"Backhaus, K. et al. (2018), S. 440.","noteIndex":44},"citationItems":[{"id":70,"uris":["http://zotero.org/users/7233606/items/6C9G39VX"],"uri":["http://zotero.org/users/7233606/items/6C9G39VX"],"itemData":{"id":70,"type":"book","edition":"1","event-place":"Berlin","ISBN":"978-3-662-56654-1","language":"de","note":"DOI: 10.1007/978-3-662-56655-8","publisher":"Springer","publisher-place":"Berlin","source":"DOI.org (Crossref)","title":"Multivariate Analysemethoden: Eine anwendungsorientierte Einführung","title-short":"Multivariate Analysemethoden","URL":"http://link.springer.com/10.1007/978-3-662-56655-8","author":[{"family":"Backhaus","given":"Klaus"},{"family":"Erichson","given":"Bernd"},{"family":"Plinke","given":"Wulff"},{"family":"Weiber","given":"Rolf"}],"accessed":{"date-parts":[["2021",2,9]]},"issued":{"date-parts":[["2018"]]}},"locator":"440"}],"schema":"https://github.com/citation-style-language/schema/raw/master/csl-citation.json"} </w:instrText>
      </w:r>
      <w:r>
        <w:fldChar w:fldCharType="separate"/>
      </w:r>
      <w:r w:rsidRPr="00EA587D">
        <w:rPr>
          <w:rFonts w:cs="Times New Roman"/>
          <w:lang w:val="en-US"/>
        </w:rPr>
        <w:t>Backhaus et al. (2018), S. 440.</w:t>
      </w:r>
      <w:r>
        <w:fldChar w:fldCharType="end"/>
      </w:r>
    </w:p>
  </w:footnote>
  <w:footnote w:id="45">
    <w:p w14:paraId="2FAD50B1" w14:textId="0F1D77AA" w:rsidR="007B3838" w:rsidRPr="003E232A" w:rsidRDefault="007B3838">
      <w:pPr>
        <w:pStyle w:val="Funotentext"/>
      </w:pPr>
      <w:r>
        <w:rPr>
          <w:rStyle w:val="Funotenzeichen"/>
        </w:rPr>
        <w:footnoteRef/>
      </w:r>
      <w:r w:rsidRPr="003E232A">
        <w:t xml:space="preserve"> </w:t>
      </w:r>
      <w:r w:rsidR="00304A37" w:rsidRPr="003E232A">
        <w:t xml:space="preserve">Vgl. </w:t>
      </w:r>
      <w:r>
        <w:fldChar w:fldCharType="begin"/>
      </w:r>
      <w:r w:rsidR="00FD5E8B" w:rsidRPr="003E232A">
        <w:instrText xml:space="preserve"> ADDIN ZOTERO_ITEM CSL_CITATION {"citationID":"2L0OASC3","properties":{"formattedCitation":"Kaufman, L. / Rousseeuw, P.J. (2005), S. 23.","plainCitation":"Kaufman, L. / Rousseeuw, P.J. (2005), S. 23.","dontUpdate":true,"noteIndex":45},"citationItems":[{"id":88,"uris":["http://zotero.org/users/7233606/items/6UJ2KQ9G"],"uri":["http://zotero.org/users/7233606/items/6UJ2KQ9G"],"itemData":{"id":88,"type":"book","call-number":"QA278 .K38 2005","collection-title":"Wiley series in probability and mathematical statistics","edition":"2","event-place":"Hoboken, N.J","ISBN":"978-0-471-73578-6","language":"en","number-of-pages":"342","publisher":"Wiley","publisher-place":"Hoboken, N.J","source":"Library of Congress ISBN","title":"Finding groups in data: an introduction to cluster analysis","title-short":"Finding groups in data","author":[{"family":"Kaufman","given":"Leonard"},{"family":"Rousseeuw","given":"Peter J."}],"issued":{"date-parts":[["2005"]]}},"locator":"23"}],"schema":"https://github.com/citation-style-language/schema/raw/master/csl-citation.json"} </w:instrText>
      </w:r>
      <w:r>
        <w:fldChar w:fldCharType="separate"/>
      </w:r>
      <w:r w:rsidRPr="003E232A">
        <w:rPr>
          <w:rFonts w:cs="Times New Roman"/>
        </w:rPr>
        <w:t>Kaufman / Rousseeuw (2005), S. 23</w:t>
      </w:r>
      <w:r w:rsidR="00FC5BEC" w:rsidRPr="003E232A">
        <w:rPr>
          <w:rFonts w:cs="Times New Roman"/>
        </w:rPr>
        <w:t xml:space="preserve"> ff</w:t>
      </w:r>
      <w:r w:rsidRPr="003E232A">
        <w:rPr>
          <w:rFonts w:cs="Times New Roman"/>
        </w:rPr>
        <w:t>.</w:t>
      </w:r>
      <w:r>
        <w:fldChar w:fldCharType="end"/>
      </w:r>
    </w:p>
  </w:footnote>
  <w:footnote w:id="46">
    <w:p w14:paraId="147005F9" w14:textId="1CB2E567" w:rsidR="00504048" w:rsidRPr="005C2F24" w:rsidRDefault="00504048" w:rsidP="00504048">
      <w:pPr>
        <w:pStyle w:val="Funotentext"/>
      </w:pPr>
      <w:r>
        <w:rPr>
          <w:rStyle w:val="Funotenzeichen"/>
        </w:rPr>
        <w:footnoteRef/>
      </w:r>
      <w:r w:rsidRPr="00EA587D">
        <w:rPr>
          <w:lang w:val="en-US"/>
        </w:rPr>
        <w:t xml:space="preserve"> </w:t>
      </w:r>
      <w:r w:rsidR="00304A37" w:rsidRPr="00304A37">
        <w:rPr>
          <w:lang w:val="en-US"/>
        </w:rPr>
        <w:t xml:space="preserve">Vgl. </w:t>
      </w:r>
      <w:r>
        <w:fldChar w:fldCharType="begin"/>
      </w:r>
      <w:r w:rsidR="00E062CE">
        <w:rPr>
          <w:lang w:val="en-US"/>
        </w:rPr>
        <w:instrText xml:space="preserve"> ADDIN ZOTERO_ITEM CSL_CITATION {"citationID":"qQv9RHm8","properties":{"formattedCitation":"Backhaus, K. et al. (2018), S. 446.","plainCitation":"Backhaus, K. et al. (2018), S. 446.","noteIndex":46},"citationItems":[{"id":70,"uris":["http://zotero.org/users/7233606/items/6C9G39VX"],"uri":["http://zotero.org/users/7233606/items/6C9G39VX"],"itemData":{"id":70,"type":"book","edition":"1","event-place":"Berlin","ISBN":"978-3-662-56654-1","language":"de","note":"DOI: 10.1007/978-3-662-56655-8","publisher":"Springer","publisher-place":"Berlin","source":"DOI.org (Crossref)","title":"Multivariate Analysemethoden: Eine anwendungsorientierte Einführung","title-short":"Multivariate Analysemethoden","URL":"http://link.springer.com/10.1007/978-3-662-56655-8","author":[{"family":"Backhaus","given":"Klaus"},{"family":"Erichson","given":"Bernd"},{"family":"Plinke","given":"Wulff"},{"family":"Weiber","given":"Rolf"}],"accessed":{"date-parts":[["2021",2,9]]},"issued":{"date-parts":[["2018"]]}},"locator":"446"}],"schema":"https://github.com/citation-style-language/schema/raw/master/csl-citation.json"} </w:instrText>
      </w:r>
      <w:r>
        <w:fldChar w:fldCharType="separate"/>
      </w:r>
      <w:r w:rsidRPr="00EA587D">
        <w:rPr>
          <w:rFonts w:cs="Times New Roman"/>
          <w:lang w:val="en-US"/>
        </w:rPr>
        <w:t xml:space="preserve">Backhaus, K. et al. </w:t>
      </w:r>
      <w:r w:rsidRPr="005C2F24">
        <w:rPr>
          <w:rFonts w:cs="Times New Roman"/>
        </w:rPr>
        <w:t>(2018), S. 446.</w:t>
      </w:r>
      <w:r>
        <w:fldChar w:fldCharType="end"/>
      </w:r>
    </w:p>
  </w:footnote>
  <w:footnote w:id="47">
    <w:p w14:paraId="5D5A9F0B" w14:textId="16174ECD" w:rsidR="00D027DA" w:rsidRDefault="00D027DA">
      <w:pPr>
        <w:pStyle w:val="Funotentext"/>
      </w:pPr>
      <w:r>
        <w:rPr>
          <w:rStyle w:val="Funotenzeichen"/>
        </w:rPr>
        <w:footnoteRef/>
      </w:r>
      <w:r>
        <w:t xml:space="preserve"> </w:t>
      </w:r>
      <w:r w:rsidR="00304A37">
        <w:t xml:space="preserve">Vgl. </w:t>
      </w:r>
      <w:r w:rsidRPr="007B67CA">
        <w:t>In</w:t>
      </w:r>
      <w:r>
        <w:t xml:space="preserve"> Finch</w:t>
      </w:r>
      <w:r w:rsidRPr="007B67CA">
        <w:t xml:space="preserve"> (20</w:t>
      </w:r>
      <w:r>
        <w:t>05</w:t>
      </w:r>
      <w:r w:rsidRPr="007B67CA">
        <w:t>) wird stattdessen die</w:t>
      </w:r>
      <w:r>
        <w:t xml:space="preserve"> Begrifflichkeit „raw data“ verwendet. Die fehlende explizite Angabe des Distanzmaßes impliziert die standardmäßige Verwendung der quadrierten Euklidischen Distanz für das Ward-Verfahren.</w:t>
      </w:r>
    </w:p>
  </w:footnote>
  <w:footnote w:id="48">
    <w:p w14:paraId="28A1EF16" w14:textId="620D0672" w:rsidR="00504048" w:rsidRPr="00D027DA" w:rsidRDefault="00504048" w:rsidP="00504048">
      <w:pPr>
        <w:pStyle w:val="Funotentext"/>
      </w:pPr>
      <w:r>
        <w:rPr>
          <w:rStyle w:val="Funotenzeichen"/>
        </w:rPr>
        <w:footnoteRef/>
      </w:r>
      <w:r w:rsidRPr="00D027DA">
        <w:t xml:space="preserve"> </w:t>
      </w:r>
      <w:r w:rsidR="00304A37">
        <w:t xml:space="preserve">Vgl. </w:t>
      </w:r>
      <w:r>
        <w:fldChar w:fldCharType="begin"/>
      </w:r>
      <w:r w:rsidR="00FD5E8B">
        <w:instrText xml:space="preserve"> ADDIN ZOTERO_ITEM CSL_CITATION {"citationID":"6KX6YsLE","properties":{"formattedCitation":"Finch, H. (2005), S. 95.","plainCitation":"Finch, H. (2005), S. 95.","noteIndex":48},"citationItems":[{"id":97,"uris":["http://zotero.org/users/7233606/items/NH7UF3BJ"],"uri":["http://zotero.org/users/7233606/items/NH7UF3BJ"],"itemData":{"id":97,"type":"article-journal","container-title":"Journal of Data Science","DOI":"10.6339/JDS.2005.03(1).192","ISSN":"1680-743X","issue":"1","page":"85-100","title":"Comparison of Distance Measures in Cluster Analysis with Dichotomous Data","volume":"3","author":[{"family":"Finch","given":"Holmes"}],"issued":{"date-parts":[["2005"]]}},"locator":"95"}],"schema":"https://github.com/citation-style-language/schema/raw/master/csl-citation.json"} </w:instrText>
      </w:r>
      <w:r>
        <w:fldChar w:fldCharType="separate"/>
      </w:r>
      <w:r w:rsidRPr="00D027DA">
        <w:rPr>
          <w:rFonts w:cs="Times New Roman"/>
        </w:rPr>
        <w:t>Finch (2005), S. 95.</w:t>
      </w:r>
      <w:r>
        <w:fldChar w:fldCharType="end"/>
      </w:r>
    </w:p>
  </w:footnote>
  <w:footnote w:id="49">
    <w:p w14:paraId="10E6A436" w14:textId="6CC9AD6F" w:rsidR="00D83B80" w:rsidRDefault="00D83B80">
      <w:pPr>
        <w:pStyle w:val="Funotentext"/>
      </w:pPr>
      <w:r>
        <w:rPr>
          <w:rStyle w:val="Funotenzeichen"/>
        </w:rPr>
        <w:footnoteRef/>
      </w:r>
      <w:r>
        <w:t xml:space="preserve"> Vgl. </w:t>
      </w:r>
      <w:r w:rsidR="00304A37" w:rsidRPr="00766197">
        <w:rPr>
          <w:rFonts w:cs="Times New Roman"/>
        </w:rPr>
        <w:t>Kaufman / Rousseeuw (2005)</w:t>
      </w:r>
      <w:r>
        <w:t>, S. 26.</w:t>
      </w:r>
    </w:p>
  </w:footnote>
  <w:footnote w:id="50">
    <w:p w14:paraId="5C8C451D" w14:textId="6C6E7088" w:rsidR="00836BC1" w:rsidRPr="00204F30" w:rsidRDefault="00836BC1">
      <w:pPr>
        <w:pStyle w:val="Funotentext"/>
      </w:pPr>
      <w:r>
        <w:rPr>
          <w:rStyle w:val="Funotenzeichen"/>
        </w:rPr>
        <w:footnoteRef/>
      </w:r>
      <w:r w:rsidRPr="00204F30">
        <w:t xml:space="preserve"> </w:t>
      </w:r>
      <w:r w:rsidR="00766197">
        <w:t xml:space="preserve">Vgl. </w:t>
      </w:r>
      <w:r>
        <w:fldChar w:fldCharType="begin"/>
      </w:r>
      <w:r w:rsidR="00FD5E8B">
        <w:instrText xml:space="preserve"> ADDIN ZOTERO_ITEM CSL_CITATION {"citationID":"LePCpqtB","properties":{"formattedCitation":"Dillon, W.R. / Goldstein, M. (1984), S. 167.","plainCitation":"Dillon, W.R. / Goldstein, M. (1984), S. 167.","noteIndex":50},"citationItems":[{"id":99,"uris":["http://zotero.org/users/7233606/items/IVUCAMRL"],"uri":["http://zotero.org/users/7233606/items/IVUCAMRL"],"itemData":{"id":99,"type":"book","edition":"1","event-place":"New York","ISBN":"0-471-08317-8","language":"eng","publisher":"John Wiley &amp; Sons","publisher-place":"New York","title":"Multivariate analysis : methods and applications","author":[{"family":"Dillon","given":"William R"},{"family":"Goldstein","given":"Matthew"}],"issued":{"date-parts":[["1984"]]}},"locator":"167"}],"schema":"https://github.com/citation-style-language/schema/raw/master/csl-citation.json"} </w:instrText>
      </w:r>
      <w:r>
        <w:fldChar w:fldCharType="separate"/>
      </w:r>
      <w:r w:rsidR="00766197" w:rsidRPr="00493F0F">
        <w:rPr>
          <w:rFonts w:cs="Times New Roman"/>
        </w:rPr>
        <w:t>Dillon / Goldstein (1984)</w:t>
      </w:r>
      <w:r w:rsidRPr="00204F30">
        <w:rPr>
          <w:rFonts w:cs="Times New Roman"/>
        </w:rPr>
        <w:t>, S. 167.</w:t>
      </w:r>
      <w:r>
        <w:fldChar w:fldCharType="end"/>
      </w:r>
    </w:p>
  </w:footnote>
  <w:footnote w:id="51">
    <w:p w14:paraId="36EC7B33" w14:textId="7C67E548" w:rsidR="00D44CAE" w:rsidRPr="00204F30" w:rsidRDefault="00D44CAE">
      <w:pPr>
        <w:pStyle w:val="Funotentext"/>
      </w:pPr>
      <w:r>
        <w:rPr>
          <w:rStyle w:val="Funotenzeichen"/>
        </w:rPr>
        <w:footnoteRef/>
      </w:r>
      <w:r w:rsidRPr="00204F30">
        <w:t xml:space="preserve"> </w:t>
      </w:r>
      <w:r w:rsidR="00766197">
        <w:t xml:space="preserve">Vgl. </w:t>
      </w:r>
      <w:r>
        <w:fldChar w:fldCharType="begin"/>
      </w:r>
      <w:r w:rsidR="00E062CE">
        <w:instrText xml:space="preserve"> ADDIN ZOTERO_ITEM CSL_CITATION {"citationID":"4SXb0CcM","properties":{"formattedCitation":"Backhaus, K. et al. (2018), S. 456 ff.","plainCitation":"Backhaus, K. et al. (2018), S. 456 ff.","noteIndex":51},"citationItems":[{"id":70,"uris":["http://zotero.org/users/7233606/items/6C9G39VX"],"uri":["http://zotero.org/users/7233606/items/6C9G39VX"],"itemData":{"id":70,"type":"book","edition":"1","event-place":"Berlin","ISBN":"978-3-662-56654-1","language":"de","note":"DOI: 10.1007/978-3-662-56655-8","publisher":"Springer","publisher-place":"Berlin","source":"DOI.org (Crossref)","title":"Multivariate Analysemethoden: Eine anwendungsorientierte Einführung","title-short":"Multivariate Analysemethoden","URL":"http://link.springer.com/10.1007/978-3-662-56655-8","author":[{"family":"Backhaus","given":"Klaus"},{"family":"Erichson","given":"Bernd"},{"family":"Plinke","given":"Wulff"},{"family":"Weiber","given":"Rolf"}],"accessed":{"date-parts":[["2021",2,9]]},"issued":{"date-parts":[["2018"]]}},"locator":"456 ff"}],"schema":"https://github.com/citation-style-language/schema/raw/master/csl-citation.json"} </w:instrText>
      </w:r>
      <w:r>
        <w:fldChar w:fldCharType="separate"/>
      </w:r>
      <w:r w:rsidRPr="00204F30">
        <w:rPr>
          <w:rFonts w:cs="Times New Roman"/>
        </w:rPr>
        <w:t>Backhaus et al. (2018), S. 456 ff.</w:t>
      </w:r>
      <w:r>
        <w:fldChar w:fldCharType="end"/>
      </w:r>
    </w:p>
  </w:footnote>
  <w:footnote w:id="52">
    <w:p w14:paraId="02E342AE" w14:textId="0125A409" w:rsidR="00DB6BE3" w:rsidRPr="00204F30" w:rsidRDefault="00DB6BE3">
      <w:pPr>
        <w:pStyle w:val="Funotentext"/>
      </w:pPr>
      <w:r>
        <w:rPr>
          <w:rStyle w:val="Funotenzeichen"/>
        </w:rPr>
        <w:footnoteRef/>
      </w:r>
      <w:r w:rsidRPr="00204F30">
        <w:t xml:space="preserve"> </w:t>
      </w:r>
      <w:r w:rsidR="00766197">
        <w:t xml:space="preserve">Vgl. </w:t>
      </w:r>
      <w:r>
        <w:fldChar w:fldCharType="begin"/>
      </w:r>
      <w:r w:rsidR="00E062CE">
        <w:instrText xml:space="preserve"> ADDIN ZOTERO_ITEM CSL_CITATION {"citationID":"9Qt4Hqrt","properties":{"formattedCitation":"Backhaus, K. et al. (2018), S. 457 ff; Dillon, W.R. / Goldstein, M. (1984), S. 167 ff.","plainCitation":"Backhaus, K. et al. (2018), S. 457 ff; Dillon, W.R. / Goldstein, M. (1984), S. 167 ff.","noteIndex":52},"citationItems":[{"id":70,"uris":["http://zotero.org/users/7233606/items/6C9G39VX"],"uri":["http://zotero.org/users/7233606/items/6C9G39VX"],"itemData":{"id":70,"type":"book","edition":"1","event-place":"Berlin","ISBN":"978-3-662-56654-1","language":"de","note":"DOI: 10.1007/978-3-662-56655-8","publisher":"Springer","publisher-place":"Berlin","source":"DOI.org (Crossref)","title":"Multivariate Analysemethoden: Eine anwendungsorientierte Einführung","title-short":"Multivariate Analysemethoden","URL":"http://link.springer.com/10.1007/978-3-662-56655-8","author":[{"family":"Backhaus","given":"Klaus"},{"family":"Erichson","given":"Bernd"},{"family":"Plinke","given":"Wulff"},{"family":"Weiber","given":"Rolf"}],"accessed":{"date-parts":[["2021",2,9]]},"issued":{"date-parts":[["2018"]]}},"locator":"457 ff"},{"id":99,"uris":["http://zotero.org/users/7233606/items/IVUCAMRL"],"uri":["http://zotero.org/users/7233606/items/IVUCAMRL"],"itemData":{"id":99,"type":"book","edition":"1","event-place":"New York","ISBN":"0-471-08317-8","language":"eng","publisher":"John Wiley &amp; Sons","publisher-place":"New York","title":"Multivariate analysis : methods and applications","author":[{"family":"Dillon","given":"William R"},{"family":"Goldstein","given":"Matthew"}],"issued":{"date-parts":[["1984"]]}},"locator":"167 ff"}],"schema":"https://github.com/citation-style-language/schema/raw/master/csl-citation.json"} </w:instrText>
      </w:r>
      <w:r>
        <w:fldChar w:fldCharType="separate"/>
      </w:r>
      <w:r w:rsidR="00766197">
        <w:rPr>
          <w:rFonts w:cs="Times New Roman"/>
        </w:rPr>
        <w:t>ebenda</w:t>
      </w:r>
      <w:r w:rsidR="003B444D" w:rsidRPr="003B444D">
        <w:rPr>
          <w:rFonts w:cs="Times New Roman"/>
        </w:rPr>
        <w:t>, S. 457 ff;</w:t>
      </w:r>
      <w:r w:rsidR="00766197">
        <w:rPr>
          <w:rFonts w:cs="Times New Roman"/>
        </w:rPr>
        <w:t xml:space="preserve"> vgl.</w:t>
      </w:r>
      <w:r w:rsidR="003B444D" w:rsidRPr="003B444D">
        <w:rPr>
          <w:rFonts w:cs="Times New Roman"/>
        </w:rPr>
        <w:t xml:space="preserve"> </w:t>
      </w:r>
      <w:r w:rsidR="00766197" w:rsidRPr="00493F0F">
        <w:rPr>
          <w:rFonts w:cs="Times New Roman"/>
        </w:rPr>
        <w:t>Dillon / Goldstein (1984)</w:t>
      </w:r>
      <w:r w:rsidR="00766197">
        <w:rPr>
          <w:rFonts w:cs="Times New Roman"/>
        </w:rPr>
        <w:t>,</w:t>
      </w:r>
      <w:r w:rsidR="003B444D" w:rsidRPr="003B444D">
        <w:rPr>
          <w:rFonts w:cs="Times New Roman"/>
        </w:rPr>
        <w:t xml:space="preserve"> S. 167 ff.</w:t>
      </w:r>
      <w:r>
        <w:fldChar w:fldCharType="end"/>
      </w:r>
    </w:p>
  </w:footnote>
  <w:footnote w:id="53">
    <w:p w14:paraId="49967A43" w14:textId="0E7A7A8C" w:rsidR="00A91032" w:rsidRPr="00493F0F" w:rsidRDefault="00A91032">
      <w:pPr>
        <w:pStyle w:val="Funotentext"/>
      </w:pPr>
      <w:r>
        <w:rPr>
          <w:rStyle w:val="Funotenzeichen"/>
        </w:rPr>
        <w:footnoteRef/>
      </w:r>
      <w:r w:rsidRPr="00493F0F">
        <w:t xml:space="preserve"> </w:t>
      </w:r>
      <w:r w:rsidR="00766197">
        <w:t xml:space="preserve">Vgl. </w:t>
      </w:r>
      <w:r>
        <w:fldChar w:fldCharType="begin"/>
      </w:r>
      <w:r w:rsidR="00FD5E8B">
        <w:instrText xml:space="preserve"> ADDIN ZOTERO_ITEM CSL_CITATION {"citationID":"RewF9Nrx","properties":{"formattedCitation":"Dillon, W.R. / Goldstein, M. (1984), S. 168.","plainCitation":"Dillon, W.R. / Goldstein, M. (1984), S. 168.","noteIndex":53},"citationItems":[{"id":99,"uris":["http://zotero.org/users/7233606/items/IVUCAMRL"],"uri":["http://zotero.org/users/7233606/items/IVUCAMRL"],"itemData":{"id":99,"type":"book","edition":"1","event-place":"New York","ISBN":"0-471-08317-8","language":"eng","publisher":"John Wiley &amp; Sons","publisher-place":"New York","title":"Multivariate analysis : methods and applications","author":[{"family":"Dillon","given":"William R"},{"family":"Goldstein","given":"Matthew"}],"issued":{"date-parts":[["1984"]]}},"locator":"168"}],"schema":"https://github.com/citation-style-language/schema/raw/master/csl-citation.json"} </w:instrText>
      </w:r>
      <w:r>
        <w:fldChar w:fldCharType="separate"/>
      </w:r>
      <w:r w:rsidRPr="00493F0F">
        <w:rPr>
          <w:rFonts w:cs="Times New Roman"/>
        </w:rPr>
        <w:t>Dillon / Goldstein (1984), S. 168.</w:t>
      </w:r>
      <w:r>
        <w:fldChar w:fldCharType="end"/>
      </w:r>
    </w:p>
  </w:footnote>
  <w:footnote w:id="54">
    <w:p w14:paraId="07ABEA60" w14:textId="0802661A" w:rsidR="00A91032" w:rsidRPr="003E232A" w:rsidRDefault="00A91032">
      <w:pPr>
        <w:pStyle w:val="Funotentext"/>
      </w:pPr>
      <w:r>
        <w:rPr>
          <w:rStyle w:val="Funotenzeichen"/>
        </w:rPr>
        <w:footnoteRef/>
      </w:r>
      <w:r w:rsidRPr="00493F0F">
        <w:t xml:space="preserve"> </w:t>
      </w:r>
      <w:r w:rsidR="008B2F39">
        <w:t xml:space="preserve">Vgl. </w:t>
      </w:r>
      <w:r>
        <w:fldChar w:fldCharType="begin"/>
      </w:r>
      <w:r w:rsidR="00E062CE">
        <w:instrText xml:space="preserve"> ADDIN ZOTERO_ITEM CSL_CITATION {"citationID":"3AOn1YOm","properties":{"formattedCitation":"Blashfield, R.K. (1976), S. 386; Kuiper, F.K. / Fisher, L. (1975), S. 779 f; Milligan, G.W. (1981), S. 401; Overall, J.E. et al. (1993), S. 469.","plainCitation":"Blashfield, R.K. (1976), S. 386; Kuiper, F.K. / Fisher, L. (1975), S. 779 f; Milligan, G.W. (1981), S. 401; Overall, J.E. et al. (1993), S. 469.","noteIndex":54},"citationItems":[{"id":119,"uris":["http://zotero.org/users/7233606/items/2Q48GLQP"],"uri":["http://zotero.org/users/7233606/items/2Q48GLQP"],"itemData":{"id":119,"type":"article-journal","container-title":"Psychological Bulletin","issue":"3","language":"en","page":"377-388","source":"Zotero","title":"Mixture Model Tests of Cluster Analysis: Accuracy of Four Agglomerative Hierarchical Methods","volume":"83","author":[{"family":"Blashfield","given":"Roger K"}],"issued":{"date-parts":[["1976"]]}},"locator":"386"},{"id":118,"uris":["http://zotero.org/users/7233606/items/87F7R7DA"],"uri":["http://zotero.org/users/7233606/items/87F7R7DA"],"itemData":{"id":118,"type":"article-journal","abstract":"The performance of six hierarchical clustering methods (given by one algorithm, Wishart [1969j) are compared on bivariate and multivariate normal Monte Carlo samples. The methods are stopped with the correct number of clusters and compared with respect to correct classification (placing pairs of points in the same or different clusters correctly or incorrectly) and with each other (both methods agree or disagree in placing a pair of points in the same or differing clusters).","container-title":"Biometrics","DOI":"10.2307/2529565","ISSN":"0006341X","issue":"3","journalAbbreviation":"Biometrics","language":"en","page":"777-783","so</w:instrText>
      </w:r>
      <w:r w:rsidR="00E062CE" w:rsidRPr="003E232A">
        <w:instrText xml:space="preserve">urce":"DOI.org (Crossref)","title":"A Monte Carlo Comparison of Six Clustering Procedures","title-short":"391","volume":"31","author":[{"family":"Kuiper","given":"F. Kent"},{"family":"Fisher","given":"Lloyd"}],"issued":{"date-parts":[["1975",9]]}},"locator":"779 f"},{"id":123,"uris":["http://zotero.org/users/7233606/items/I83W77VH"],"uri":["http://zotero.org/users/7233606/items/I83W77VH"],"itemData":{"id":123,"type":"article-journal","container-title":"Multivariate Behavioral Research","issue":"3","page":"379-407","title":"A Review Of Monte Carlo Tests Of Cluster Analysis","volume":"16","author":[{"family":"Milligan","given":"Glenn W"}],"issued":{"date-parts":[["1981"]]}},"locator":"401"},{"id":121,"uris":["http://zotero.org/users/7233606/items/KGG42LUJ"],"uri":["http://zotero.org/users/7233606/items/KGG42LUJ"],"itemData":{"id":121,"type":"article-journal","container-title":"Journal of Clinical Psychology","DOI":"10.1002/1097-4679(199307)49:4&lt;459::AID-JCLP2270490402&gt;3.0.CO;2-P","ISSN":"00219762, 10974679","issue":"4","journalAbbreviation":"J. Clin. Psychol.","language":"en","page":"459-470","source":"DOI.org (Crossref)","title":"Population recovery capabilities of 35 cluster analysis methods","volume":"49","author":[{"family":"Overall","given":"John E."},{"family":"Gibson","given":"Janet M."},{"family":"Novy","given":"Diane M."}],"issued":{"date-parts":[["1993",7]]}},"locator":"469"}],"schema":"https://github.com/citation-style-language/schema/raw/master/csl-citation.json"} </w:instrText>
      </w:r>
      <w:r>
        <w:fldChar w:fldCharType="separate"/>
      </w:r>
      <w:r w:rsidRPr="003E232A">
        <w:rPr>
          <w:rFonts w:cs="Times New Roman"/>
        </w:rPr>
        <w:t xml:space="preserve">Blashfield (1976), S. 386; </w:t>
      </w:r>
      <w:r w:rsidR="008B2F39" w:rsidRPr="003E232A">
        <w:rPr>
          <w:rFonts w:cs="Times New Roman"/>
        </w:rPr>
        <w:t xml:space="preserve">vgl. </w:t>
      </w:r>
      <w:r w:rsidRPr="003E232A">
        <w:rPr>
          <w:rFonts w:cs="Times New Roman"/>
        </w:rPr>
        <w:t>Kuiper / Fisher (1975), S. 779 f;</w:t>
      </w:r>
      <w:r w:rsidR="008B2F39" w:rsidRPr="003E232A">
        <w:rPr>
          <w:rFonts w:cs="Times New Roman"/>
        </w:rPr>
        <w:t xml:space="preserve"> vgl.</w:t>
      </w:r>
      <w:r w:rsidRPr="003E232A">
        <w:rPr>
          <w:rFonts w:cs="Times New Roman"/>
        </w:rPr>
        <w:t xml:space="preserve"> Milligan (1981), S. 401; </w:t>
      </w:r>
      <w:r w:rsidR="008B2F39" w:rsidRPr="003E232A">
        <w:rPr>
          <w:rFonts w:cs="Times New Roman"/>
        </w:rPr>
        <w:t xml:space="preserve">vgl. </w:t>
      </w:r>
      <w:r w:rsidRPr="003E232A">
        <w:rPr>
          <w:rFonts w:cs="Times New Roman"/>
        </w:rPr>
        <w:t>Overall et al. (1993), S. 469.</w:t>
      </w:r>
      <w:r>
        <w:fldChar w:fldCharType="end"/>
      </w:r>
    </w:p>
  </w:footnote>
  <w:footnote w:id="55">
    <w:p w14:paraId="1F5F09EB" w14:textId="79A5B3A9" w:rsidR="00910AD2" w:rsidRPr="00910AD2" w:rsidRDefault="00910AD2">
      <w:pPr>
        <w:pStyle w:val="Funotentext"/>
        <w:rPr>
          <w:lang w:val="en-US"/>
        </w:rPr>
      </w:pPr>
      <w:r>
        <w:rPr>
          <w:rStyle w:val="Funotenzeichen"/>
        </w:rPr>
        <w:footnoteRef/>
      </w:r>
      <w:r w:rsidRPr="00910AD2">
        <w:rPr>
          <w:lang w:val="en-US"/>
        </w:rPr>
        <w:t xml:space="preserve"> </w:t>
      </w:r>
      <w:r w:rsidR="008B2F39">
        <w:rPr>
          <w:rFonts w:cs="Times New Roman"/>
          <w:lang w:val="en-US"/>
        </w:rPr>
        <w:t xml:space="preserve">Vgl. </w:t>
      </w:r>
      <w:r>
        <w:fldChar w:fldCharType="begin"/>
      </w:r>
      <w:r w:rsidR="00FD5E8B">
        <w:rPr>
          <w:lang w:val="en-US"/>
        </w:rPr>
        <w:instrText xml:space="preserve"> ADDIN ZOTERO_ITEM CSL_CITATION {"citationID":"uA2RSyVy","properties":{"formattedCitation":"Hands, S. / Everitt, B. (1987), S. 242.","plainCitation":"Hands, S. / Everitt, B. (1987), S. 242.","noteIndex":55},"citationItems":[{"id":125,"uris":["http://zotero.org/users/7233606/items/NF7ASXR2"],"uri":["http://zotero.org/users/7233606/items/NF7ASXR2"],"itemData":{"id":125,"type":"article-journal","abstract":"Conducted a Monte Carlo study of the recovery of cluster structure in binary data by 5 hierarchical techniques, with a view to finding which data structure factors influenced recovery and to determining differences between clustering methods with respect to these factors. Data sets for the analysis were generated according to the latent class model described by P. F. Lazarsfeld and N. W. Henry (1968). Recovery was found to increase as the number of groups decreased, as the number of variables increased, as the mixing proportions tended toward equality, and as the number of observations was increased. Single link was found to be much worse than the other clustering techniques. (PsycINFO Database Record (c) 2016 APA, all rights reserved)","container-title":"Multivariate Behavioral Research","DOI":"10.1207/s15327906mbr2202_6","ISSN":"1532-7906(Electronic),0027-3171(Print)","issue":"2","note":"publisher-place: US\npublisher: Lawrence Erlbaum","page":"235-243","title":"A Monte Carlo study of the recovery of cluster structure in binary data by hierarchical clustering techniques.","volume":"22","author":[{"family":"Hands","given":"Stephen"},{"family":"Everitt","given":"Brian"}],"issued":{"date-parts":[["1987"]]}},"locator":"242"}],"schema":"https://github.com/citation-style-language/schema/raw/master/csl-citation.json"} </w:instrText>
      </w:r>
      <w:r>
        <w:fldChar w:fldCharType="separate"/>
      </w:r>
      <w:r w:rsidRPr="00910AD2">
        <w:rPr>
          <w:rFonts w:cs="Times New Roman"/>
          <w:lang w:val="en-US"/>
        </w:rPr>
        <w:t>Hands / Everitt (1987), S. 242.</w:t>
      </w:r>
      <w:r>
        <w:fldChar w:fldCharType="end"/>
      </w:r>
    </w:p>
  </w:footnote>
  <w:footnote w:id="56">
    <w:p w14:paraId="3FED061B" w14:textId="2C3863FE" w:rsidR="00717D7E" w:rsidRPr="00717D7E" w:rsidRDefault="00717D7E">
      <w:pPr>
        <w:pStyle w:val="Funotentext"/>
        <w:rPr>
          <w:lang w:val="en-US"/>
        </w:rPr>
      </w:pPr>
      <w:r>
        <w:rPr>
          <w:rStyle w:val="Funotenzeichen"/>
        </w:rPr>
        <w:footnoteRef/>
      </w:r>
      <w:r w:rsidRPr="00717D7E">
        <w:rPr>
          <w:lang w:val="en-US"/>
        </w:rPr>
        <w:t xml:space="preserve"> </w:t>
      </w:r>
      <w:r w:rsidR="008B2F39">
        <w:rPr>
          <w:rFonts w:cs="Times New Roman"/>
          <w:lang w:val="en-US"/>
        </w:rPr>
        <w:t xml:space="preserve">Vgl. </w:t>
      </w:r>
      <w:r>
        <w:fldChar w:fldCharType="begin"/>
      </w:r>
      <w:r w:rsidR="00FD5E8B">
        <w:rPr>
          <w:lang w:val="en-US"/>
        </w:rPr>
        <w:instrText xml:space="preserve"> ADDIN ZOTERO_ITEM CSL_CITATION {"citationID":"IclIvYBM","properties":{"formattedCitation":"Ward, J.H. (1963), S. 236 ff.","plainCitation":"Ward, J.H. (1963), S. 236 ff.","noteIndex":56},"citationItems":[{"id":127,"uris":["http://zotero.org/users/7233606/items/KUNEXMH3"],"uri":["http://zotero.org/users/7233606/items/KUNEXMH3"],"itemData":{"id":127,"type":"article-journal","container-title":"Journal of the American Statistical Association","issue":"301","language":"en","page":"236-244","source":"Zotero","title":"Hierarchical Grouping to Optimize an Objective Function","volume":"58","author":[{"family":"Ward","given":"JoE H"}],"issued":{"date-parts":[["1963"]]}},"locator":"236 ff"}],"schema":"https://github.com/citation-style-language/schema/raw/master/csl-citation.json"} </w:instrText>
      </w:r>
      <w:r>
        <w:fldChar w:fldCharType="separate"/>
      </w:r>
      <w:r w:rsidRPr="00717D7E">
        <w:rPr>
          <w:rFonts w:cs="Times New Roman"/>
          <w:lang w:val="en-US"/>
        </w:rPr>
        <w:t>Ward (1963), S. 236 ff.</w:t>
      </w:r>
      <w:r>
        <w:fldChar w:fldCharType="end"/>
      </w:r>
    </w:p>
  </w:footnote>
  <w:footnote w:id="57">
    <w:p w14:paraId="2E17A1EE" w14:textId="53F1EEC5" w:rsidR="00466A6F" w:rsidRPr="00466A6F" w:rsidRDefault="00466A6F">
      <w:pPr>
        <w:pStyle w:val="Funotentext"/>
        <w:rPr>
          <w:lang w:val="en-US"/>
        </w:rPr>
      </w:pPr>
      <w:r>
        <w:rPr>
          <w:rStyle w:val="Funotenzeichen"/>
        </w:rPr>
        <w:footnoteRef/>
      </w:r>
      <w:r w:rsidRPr="00466A6F">
        <w:rPr>
          <w:lang w:val="en-US"/>
        </w:rPr>
        <w:t xml:space="preserve"> </w:t>
      </w:r>
      <w:r w:rsidR="008B2F39">
        <w:rPr>
          <w:rFonts w:cs="Times New Roman"/>
          <w:lang w:val="en-US"/>
        </w:rPr>
        <w:t xml:space="preserve">Vgl. </w:t>
      </w:r>
      <w:r>
        <w:fldChar w:fldCharType="begin"/>
      </w:r>
      <w:r w:rsidR="00E062CE">
        <w:rPr>
          <w:lang w:val="en-US"/>
        </w:rPr>
        <w:instrText xml:space="preserve"> ADDIN ZOTERO_ITEM CSL_CITATION {"citationID":"k84mdxKP","properties":{"formattedCitation":"Backhaus, K. et al. (2018), S. 465 f.","plainCitation":"Backhaus, K. et al. (2018), S. 465 f.","noteIndex":57},"citationItems":[{"id":70,"uris":["http://zotero.org/users/7233606/items/6C9G39VX"],"uri":["http://zotero.org/users/7233606/items/6C9G39VX"],"itemData":{"id":70,"type":"book","edition":"1","event-place":"Berlin","ISBN":"978-3-662-56654-1","language":"de","note":"DOI: 10.1007/978-3-662-56655-8","publisher":"Springer","publisher-place":"Berlin","source":"DOI.org (Crossref)","title":"Multivariate Analysemethoden: Eine anwendungsorientierte Einführung","title-short":"Multivariate Analysemethoden","URL":"http://link.springer.com/10.1007/978-3-662-56655-8","author":[{"family":"Backhaus","given":"Klaus"},{"family":"Erichson","given":"Bernd"},{"family":"Plinke","given":"Wulff"},{"family":"Weiber","given":"Rolf"}],"accessed":{"date-parts":[["2021",2,9]]},"issued":{"date-parts":[["2018"]]}},"locator":"465 f"}],"schema":"https://github.com/citation-style-language/schema/raw/master/csl-citation.json"} </w:instrText>
      </w:r>
      <w:r>
        <w:fldChar w:fldCharType="separate"/>
      </w:r>
      <w:r w:rsidRPr="00466A6F">
        <w:rPr>
          <w:rFonts w:cs="Times New Roman"/>
          <w:lang w:val="en-US"/>
        </w:rPr>
        <w:t>Backhaus et al. (2018), S. 465 f.</w:t>
      </w:r>
      <w:r>
        <w:fldChar w:fldCharType="end"/>
      </w:r>
    </w:p>
  </w:footnote>
  <w:footnote w:id="58">
    <w:p w14:paraId="064B092A" w14:textId="7993782B" w:rsidR="00B90DE5" w:rsidRPr="00B90DE5" w:rsidRDefault="00B90DE5">
      <w:pPr>
        <w:pStyle w:val="Funotentext"/>
        <w:rPr>
          <w:lang w:val="en-US"/>
        </w:rPr>
      </w:pPr>
      <w:r>
        <w:rPr>
          <w:rStyle w:val="Funotenzeichen"/>
        </w:rPr>
        <w:footnoteRef/>
      </w:r>
      <w:r w:rsidRPr="00B90DE5">
        <w:rPr>
          <w:lang w:val="en-US"/>
        </w:rPr>
        <w:t xml:space="preserve"> </w:t>
      </w:r>
      <w:r w:rsidR="008B2F39">
        <w:rPr>
          <w:rFonts w:cs="Times New Roman"/>
          <w:lang w:val="en-US"/>
        </w:rPr>
        <w:t xml:space="preserve">Vgl. </w:t>
      </w:r>
      <w:r>
        <w:fldChar w:fldCharType="begin"/>
      </w:r>
      <w:r w:rsidR="00FD5E8B">
        <w:rPr>
          <w:lang w:val="en-US"/>
        </w:rPr>
        <w:instrText xml:space="preserve"> ADDIN ZOTERO_ITEM CSL_CITATION {"citationID":"ytGCdLf8","properties":{"formattedCitation":"Murtagh, F. / Legendre, P. (2014), S. 276 f.","plainCitation":"Murtagh, F. / Legendre, P. (2014), S. 276 f.","noteIndex":58},"citationItems":[{"id":129,"uris":["http://zotero.org/users/7233606/items/EJICS77Z"],"uri":["http://zotero.org/users/7233606/items/EJICS77Z"],"itemData":{"id":129,"type":"article-journal","abstract":"The Ward error sum of squares hierarchical clustering method has been very widely used since its ﬁrst description by Ward in a 1963 publication. It has also been generalized in various ways. Two algorithms are found in the literature and software, both announcing that they implement the Ward clustering method. When applied to the same distance matrix, they produce different results. One algorithm preserves Ward’s criterion, the other does not. Our survey work and case studies will be useful for all those involved in developing software for data analysis using Ward’s hierarchical clustering method.","container-title":"Journal of Classification","DOI":"10.1007/s00357-014-9161-z","ISSN":"0176-4268, 1432-1343","issue":"3","journalAbbreviation":"J Classif","language":"en","page":"274-295","source":"DOI.org (Crossref)","title":"Ward’s Hierarchical Agglomerative Clustering Method: Which Algorithms Implement Ward’s Criterion?","title-short":"Ward’s Hierarchical Agglomerative Clustering Method","volume":"31","author":[{"family":"Murtagh","given":"Fionn"},{"family":"Legendre","given":"Pierre"}],"issued":{"date-parts":[["2014",10]]}},"locator":"276 f"}],"schema":"https://github.com/citation-style-language/schema/raw/master/csl-citation.json"} </w:instrText>
      </w:r>
      <w:r>
        <w:fldChar w:fldCharType="separate"/>
      </w:r>
      <w:r w:rsidRPr="00B90DE5">
        <w:rPr>
          <w:rFonts w:cs="Times New Roman"/>
          <w:lang w:val="en-US"/>
        </w:rPr>
        <w:t>Murtagh / Legendre (2014), S. 276 f.</w:t>
      </w:r>
      <w:r>
        <w:fldChar w:fldCharType="end"/>
      </w:r>
    </w:p>
  </w:footnote>
  <w:footnote w:id="59">
    <w:p w14:paraId="47A9549C" w14:textId="57CDD5DC" w:rsidR="00286978" w:rsidRPr="00BC4175" w:rsidRDefault="00286978">
      <w:pPr>
        <w:pStyle w:val="Funotentext"/>
        <w:rPr>
          <w:lang w:val="en-US"/>
        </w:rPr>
      </w:pPr>
      <w:r>
        <w:rPr>
          <w:rStyle w:val="Funotenzeichen"/>
        </w:rPr>
        <w:footnoteRef/>
      </w:r>
      <w:r w:rsidRPr="00602AEF">
        <w:t xml:space="preserve"> </w:t>
      </w:r>
      <w:r w:rsidR="00602AEF" w:rsidRPr="00602AEF">
        <w:t xml:space="preserve">Für </w:t>
      </w:r>
      <w:r w:rsidR="00602AEF">
        <w:t xml:space="preserve">die vollständige Herleitung des Zusammenhangs zwischen der Fehlerquadratsumme und der Lance-Williams-Update-Formel s. </w:t>
      </w:r>
      <w:r>
        <w:fldChar w:fldCharType="begin"/>
      </w:r>
      <w:r w:rsidR="00FD5E8B">
        <w:instrText xml:space="preserve"> ADDIN ZOTERO_ITEM CSL_CITATION {"citationID":"AWfddrL5","properties":{"formattedCitation":"Kaufman, L. / Rousseeuw, P.J. (2005), S. 230 ff.","plainCitation":"Kaufman, L. / Rousseeuw, P.J. (2005), S. 230 ff.","noteIndex":59},"citationItems":[{"id":88,"uris":["http://zotero.org/users/7233606/items/6UJ2KQ9G"],"uri":["http://zotero.org/users/7233606/items/6UJ2KQ9G"],"itemData":{"id":88,"type":"book","call-number":"QA278 .K38 2005","collection-title":"Wiley series in probability and mathematical statistics","edition":"2","event-place":"Hoboken, N.J","ISBN":"978-0-471-73578-6","language":"en","number-of-pages":"342","publisher":"Wiley","publisher-place":"Hoboken, N.J","source":"Library of Congress ISBN","title":"Finding groups in data: an introduction to cluster analysis","title-short":"Finding groups in data","author":[{"family":"Kaufman","given":"Leonard"},{"family":"Rousseeuw","given":"Peter J."}],"issued":{"date-parts":[["2005"]]}},"locator":"230 ff"}],"schema":"https://github.com/citation-style-language/schema/raw/master/csl-citation.json"} </w:instrText>
      </w:r>
      <w:r>
        <w:fldChar w:fldCharType="separate"/>
      </w:r>
      <w:r w:rsidR="00602AEF" w:rsidRPr="00BC4175">
        <w:rPr>
          <w:rFonts w:cs="Times New Roman"/>
          <w:lang w:val="en-US"/>
        </w:rPr>
        <w:t>Kaufman / Rousseeuw (2005), S. 230 ff.</w:t>
      </w:r>
      <w:r>
        <w:fldChar w:fldCharType="end"/>
      </w:r>
    </w:p>
  </w:footnote>
  <w:footnote w:id="60">
    <w:p w14:paraId="6BA67E4F" w14:textId="0BAC86FC" w:rsidR="00BC4175" w:rsidRPr="00BC4175" w:rsidRDefault="00BC4175">
      <w:pPr>
        <w:pStyle w:val="Funotentext"/>
        <w:rPr>
          <w:lang w:val="en-US"/>
        </w:rPr>
      </w:pPr>
      <w:r>
        <w:rPr>
          <w:rStyle w:val="Funotenzeichen"/>
        </w:rPr>
        <w:footnoteRef/>
      </w:r>
      <w:r w:rsidRPr="00BC4175">
        <w:rPr>
          <w:lang w:val="en-US"/>
        </w:rPr>
        <w:t xml:space="preserve"> </w:t>
      </w:r>
      <w:r w:rsidR="008B2F39">
        <w:rPr>
          <w:rFonts w:cs="Times New Roman"/>
          <w:lang w:val="en-US"/>
        </w:rPr>
        <w:t xml:space="preserve">Vgl. </w:t>
      </w:r>
      <w:r>
        <w:fldChar w:fldCharType="begin"/>
      </w:r>
      <w:r w:rsidR="00FD5E8B">
        <w:rPr>
          <w:lang w:val="en-US"/>
        </w:rPr>
        <w:instrText xml:space="preserve"> ADDIN ZOTERO_ITEM CSL_CITATION {"citationID":"uCN2p7RU","properties":{"formattedCitation":"Rencher, A.C. (2002), S. 478 f.","plainCitation":"Rencher, A.C. (2002), S. 478 f.","noteIndex":60},"citationItems":[{"id":84,"uris":["http://zotero.org/users/7233606/items/HQADTKFP"],"uri":["http://zotero.org/users/7233606/items/HQADTKFP"],"itemData":{"id":84,"type":"book","call-number":"QA278 .R45 2002","collection-title":"Wiley series in probability and mathematical statistics","edition":"2","event-place":"New York","ISBN":"978-0-471-41889-4","language":"en","number-of-pages":"708","publisher":"J. Wiley","publisher-place":"New York","source":"Library of Congress ISBN","title":"Methods of multivariate analysis","author":[{"family":"Rencher","given":"Alvin C."}],"issued":{"date-parts":[["2002"]]}},"locator":"478 f"}],"schema":"https://github.com/citation-style-language/schema/raw/master/csl-citation.json"} </w:instrText>
      </w:r>
      <w:r>
        <w:fldChar w:fldCharType="separate"/>
      </w:r>
      <w:r w:rsidRPr="00BC4175">
        <w:rPr>
          <w:rFonts w:cs="Times New Roman"/>
          <w:lang w:val="en-US"/>
        </w:rPr>
        <w:t>Rencher (2002), S. 478 f.</w:t>
      </w:r>
      <w:r>
        <w:fldChar w:fldCharType="end"/>
      </w:r>
    </w:p>
  </w:footnote>
  <w:footnote w:id="61">
    <w:p w14:paraId="040F1D5F" w14:textId="6DB247E3" w:rsidR="00BC4175" w:rsidRPr="00BC4175" w:rsidRDefault="00BC4175">
      <w:pPr>
        <w:pStyle w:val="Funotentext"/>
        <w:rPr>
          <w:lang w:val="en-US"/>
        </w:rPr>
      </w:pPr>
      <w:r>
        <w:rPr>
          <w:rStyle w:val="Funotenzeichen"/>
        </w:rPr>
        <w:footnoteRef/>
      </w:r>
      <w:r w:rsidRPr="00BC4175">
        <w:rPr>
          <w:lang w:val="en-US"/>
        </w:rPr>
        <w:t xml:space="preserve"> </w:t>
      </w:r>
      <w:r w:rsidR="00C111CF">
        <w:rPr>
          <w:rFonts w:cs="Times New Roman"/>
          <w:lang w:val="en-US"/>
        </w:rPr>
        <w:t xml:space="preserve">Vgl. </w:t>
      </w:r>
      <w:r>
        <w:fldChar w:fldCharType="begin"/>
      </w:r>
      <w:r w:rsidR="00FD5E8B">
        <w:rPr>
          <w:lang w:val="en-US"/>
        </w:rPr>
        <w:instrText xml:space="preserve"> ADDIN ZOTERO_ITEM CSL_CITATION {"citationID":"0FwQQGOP","properties":{"formattedCitation":"Kaufman, L. / Rousseeuw, P.J. (2005), S. 87.","plainCitation":"Kaufman, L. / Rousseeuw, P.J. (2005), S. 87.","noteIndex":61},"citationItems":[{"id":88,"uris":["http://zotero.org/users/7233606/items/6UJ2KQ9G"],"uri":["http://zotero.org/users/7233606/items/6UJ2KQ9G"],"itemData":{"id":88,"type":"book","call-number":"QA278 .K38 2005","collection-title":"Wiley series in probability and mathematical statistics","edition":"2","event-place":"Hoboken, N.J","ISBN":"978-0-471-73578-6","language":"en","number-of-pages":"342","publisher":"Wiley","publisher-place":"Hoboken, N.J","source":"Library of Congress ISBN","title":"Finding groups in data: an introduction to cluster analysis","title-short":"Finding groups in data","author":[{"family":"Kaufman","given":"Leonard"},{"family":"Rousseeuw","given":"Peter J."}],"issued":{"date-parts":[["2005"]]}},"locator":"87"}],"schema":"https://github.com/citation-style-language/schema/raw/master/csl-citation.json"} </w:instrText>
      </w:r>
      <w:r>
        <w:fldChar w:fldCharType="separate"/>
      </w:r>
      <w:r w:rsidRPr="00BC4175">
        <w:rPr>
          <w:rFonts w:cs="Times New Roman"/>
          <w:lang w:val="en-US"/>
        </w:rPr>
        <w:t>Kaufman / Rousseeuw (2005), S. 87.</w:t>
      </w:r>
      <w:r>
        <w:fldChar w:fldCharType="end"/>
      </w:r>
    </w:p>
  </w:footnote>
  <w:footnote w:id="62">
    <w:p w14:paraId="7D3F5C65" w14:textId="1E48F623" w:rsidR="00BC4175" w:rsidRPr="00BC4175" w:rsidRDefault="00BC4175">
      <w:pPr>
        <w:pStyle w:val="Funotentext"/>
        <w:rPr>
          <w:lang w:val="en-US"/>
        </w:rPr>
      </w:pPr>
      <w:r>
        <w:rPr>
          <w:rStyle w:val="Funotenzeichen"/>
        </w:rPr>
        <w:footnoteRef/>
      </w:r>
      <w:r w:rsidRPr="00BC4175">
        <w:rPr>
          <w:lang w:val="en-US"/>
        </w:rPr>
        <w:t xml:space="preserve"> </w:t>
      </w:r>
      <w:r w:rsidR="00C111CF">
        <w:rPr>
          <w:rFonts w:cs="Times New Roman"/>
          <w:lang w:val="en-US"/>
        </w:rPr>
        <w:t xml:space="preserve">Vgl. </w:t>
      </w:r>
      <w:r>
        <w:fldChar w:fldCharType="begin"/>
      </w:r>
      <w:r w:rsidR="00E062CE">
        <w:rPr>
          <w:lang w:val="en-US"/>
        </w:rPr>
        <w:instrText xml:space="preserve"> ADDIN ZOTERO_ITEM CSL_CITATION {"citationID":"Rgy227Sg","properties":{"formattedCitation":"Backhaus, K. et al. (2018), S. 477.","plainCitation":"Backhaus, K. et al. (2018), S. 477.","noteIndex":62},"citationItems":[{"id":70,"uris":["http://zotero.org/users/7233606/items/6C9G39VX"],"uri":["http://zotero.org/users/7233606/items/6C9G39VX"],"itemData":{"id":70,"type":"book","edition":"1","event-place":"Berlin","ISBN":"978-3-662-56654-1","language":"de","note":"DOI: 10.1007/978-3-662-56655-8","publisher":"Springer","publisher-place":"Berlin","source":"DOI.org (Crossref)","title":"Multivariate Analysemethoden: Eine anwendungsorientierte Einführung","title-short":"Multivariate Analysemethoden","URL":"http://link.springer.com/10.1007/978-3-662-56655-8","author":[{"family":"Backhaus","given":"Klaus"},{"family":"Erichson","given":"Bernd"},{"family":"Plinke","given":"Wulff"},{"family":"Weiber","given":"Rolf"}],"accessed":{"date-parts":[["2021",2,9]]},"issued":{"date-parts":[["2018"]]}},"locator":"477"}],"schema":"https://github.com/citation-style-language/schema/raw/master/csl-citation.json"} </w:instrText>
      </w:r>
      <w:r>
        <w:fldChar w:fldCharType="separate"/>
      </w:r>
      <w:r w:rsidRPr="00BC4175">
        <w:rPr>
          <w:rFonts w:cs="Times New Roman"/>
          <w:lang w:val="en-US"/>
        </w:rPr>
        <w:t>Backhaus et al. (2018), S. 477.</w:t>
      </w:r>
      <w:r>
        <w:fldChar w:fldCharType="end"/>
      </w:r>
    </w:p>
  </w:footnote>
  <w:footnote w:id="63">
    <w:p w14:paraId="156C76F8" w14:textId="4CD3CEF5" w:rsidR="0058363D" w:rsidRPr="0058363D" w:rsidRDefault="0058363D">
      <w:pPr>
        <w:pStyle w:val="Funotentext"/>
        <w:rPr>
          <w:lang w:val="en-US"/>
        </w:rPr>
      </w:pPr>
      <w:r>
        <w:rPr>
          <w:rStyle w:val="Funotenzeichen"/>
        </w:rPr>
        <w:footnoteRef/>
      </w:r>
      <w:r w:rsidRPr="0058363D">
        <w:rPr>
          <w:lang w:val="en-US"/>
        </w:rPr>
        <w:t xml:space="preserve"> </w:t>
      </w:r>
      <w:r w:rsidR="00C111CF">
        <w:rPr>
          <w:rFonts w:cs="Times New Roman"/>
          <w:lang w:val="en-US"/>
        </w:rPr>
        <w:t xml:space="preserve">Vgl. </w:t>
      </w:r>
      <w:r>
        <w:fldChar w:fldCharType="begin"/>
      </w:r>
      <w:r w:rsidR="00FD5E8B">
        <w:rPr>
          <w:lang w:val="en-US"/>
        </w:rPr>
        <w:instrText xml:space="preserve"> ADDIN ZOTERO_ITEM CSL_CITATION {"citationID":"htlJa6Yn","properties":{"formattedCitation":"Milligan, G.W. / Cooper, M.C. (1985), S. 159.","plainCitation":"Milligan, G.W. / Cooper, M.C. (1985), S. 159.","noteIndex":63},"citationItems":[{"id":103,"uris":["http://zotero.org/users/7233606/items/DVRMFNFL"],"uri":["http://zotero.org/users/7233606/items/DVRMFNFL"],"itemData":{"id":103,"type":"article-journal","abstract":"GLENN W . MILLIGAN AND MARTHA C. COOPER THE OHIO STATE UNIVERSITY A Monte Carlo evaluation of 30 procedures for determining the number of clusters was conducted on artificial data sets which contained either 2, 3, 4, or 5 distinct nonoverlapping clusters. To provide a variety of clustering solutions, the data sets were analyzed by four hierarchical clustering methods. External criterion measures indicated excellent recovery of the true cluster structure by the methods at the correct hierarchy level. Thus, the clustering present in the data was quite strong. The simulation results for the stopping rules revealed a wide range in their ability to determine the correct number of clusters in the data. Several procedures worked fairly well, whereas others performed rather poorly. Thus, the latter group of rules would appear to have little validity, particularly for data sets containing distinct clusters. Applied researchers are urged to select one or more of the better criteria. However, users are cautioned that the performance of some of the criteria may be data dependent.","container-title":"Psychometrika","issue":"2","language":"en","page":"159-179","source":"Zotero","title":"An examination of procedures for determining the number of clusters in a data set","volume":"50","author":[{"family":"Milligan","given":"Glenn W"},{"family":"Cooper","given":"Martha C"}],"issued":{"date-parts":[["1985"]]}},"locator":"159"}],"schema":"https://github.com/citation-style-language/schema/raw/master/csl-citation.json"} </w:instrText>
      </w:r>
      <w:r>
        <w:fldChar w:fldCharType="separate"/>
      </w:r>
      <w:r w:rsidRPr="0058363D">
        <w:rPr>
          <w:rFonts w:cs="Times New Roman"/>
          <w:lang w:val="en-US"/>
        </w:rPr>
        <w:t>Milligan / Cooper (1985), S. 159.</w:t>
      </w:r>
      <w:r>
        <w:fldChar w:fldCharType="end"/>
      </w:r>
    </w:p>
  </w:footnote>
  <w:footnote w:id="64">
    <w:p w14:paraId="7CDCC14C" w14:textId="4D9D668E" w:rsidR="0058363D" w:rsidRPr="003E232A" w:rsidRDefault="0058363D">
      <w:pPr>
        <w:pStyle w:val="Funotentext"/>
      </w:pPr>
      <w:r>
        <w:rPr>
          <w:rStyle w:val="Funotenzeichen"/>
        </w:rPr>
        <w:footnoteRef/>
      </w:r>
      <w:r w:rsidRPr="0058363D">
        <w:rPr>
          <w:lang w:val="en-US"/>
        </w:rPr>
        <w:t xml:space="preserve"> </w:t>
      </w:r>
      <w:r w:rsidR="00C111CF">
        <w:rPr>
          <w:rFonts w:cs="Times New Roman"/>
          <w:lang w:val="en-US"/>
        </w:rPr>
        <w:t xml:space="preserve">Vgl. </w:t>
      </w:r>
      <w:r>
        <w:fldChar w:fldCharType="begin"/>
      </w:r>
      <w:r w:rsidR="00FD5E8B">
        <w:rPr>
          <w:lang w:val="en-US"/>
        </w:rPr>
        <w:instrText xml:space="preserve"> ADDIN ZOTERO_ITEM CSL_CITATION {"citationID":"qr65lAwe","properties":{"formattedCitation":"Dimitriadou, E. et al. (2002), S. 153.","plainCitation":"Dimitriadou, E. et al. (2002), S. 153.","noteIndex":64},"citationItems":[{"id":105,"uris":["http://zotero.org/users/7233606/items/P8JW3VMT"],"uri":["http://zotero.org/users/7233606/items/P8JW3VMT"],"itemData":{"id":105,"type":"article-journal","abstract":"The problem of choosing the correct number of clusters is as old as cluster analysis itself. A number of authors have suggested various indexes to facilitate this crucial decision. One of the most extensive comparative studies of indexes was conducted by Milligan and Cooper (1985). The present piece of work pursues the same goal under different conditions. In contrast to Milligan and Cooper's work, the emphasis here is on high-dimensional empirical binary data. Binary artificial data sets axe constructed to reflect features typically encountered in real-world data situations in the field of marketing research. The simulation includes 162 binary data sets that axe clustered by two different algorithms and lead to recommendations on the number of clusters for each index under consideration. Index results are evaluated and their performance is compared and analyzed.","container-title":"Psychometrika","DOI":"10.1007/BF02294713","ISSN":"0033-3123, 1860-0980","issue":"1","journalAbbreviation":"Psychometrika","language":"en","page":"137-159","source":"DOI.org (Crossref)","title":"An examination of indexes for determining the number of clusters in binary data sets","volume":"67","author":[{"family":"Dimitriadou","given":"Evgenia"},{"family":"Dolničar","given":"Sara"},{"family":"Weingessel","given":"Andreas"}],"issued":{"date-parts":[["2002",3]]}},"locator":"153"}],"schema":"https://github.com/citation-style-language/schema/raw/master/csl-citation.json"} </w:instrText>
      </w:r>
      <w:r>
        <w:fldChar w:fldCharType="separate"/>
      </w:r>
      <w:r w:rsidRPr="003E232A">
        <w:rPr>
          <w:rFonts w:cs="Times New Roman"/>
        </w:rPr>
        <w:t>Dimitriadou et al. (2002), S. 153.</w:t>
      </w:r>
      <w:r>
        <w:fldChar w:fldCharType="end"/>
      </w:r>
    </w:p>
  </w:footnote>
  <w:footnote w:id="65">
    <w:p w14:paraId="3A54CA78" w14:textId="75B78945" w:rsidR="00DE0436" w:rsidRDefault="00DE0436">
      <w:pPr>
        <w:pStyle w:val="Funotentext"/>
      </w:pPr>
      <w:r>
        <w:rPr>
          <w:rStyle w:val="Funotenzeichen"/>
        </w:rPr>
        <w:footnoteRef/>
      </w:r>
      <w:r w:rsidRPr="003E232A">
        <w:t xml:space="preserve"> Masiak et al. </w:t>
      </w:r>
      <w:r>
        <w:t xml:space="preserve">(2019) verwenden neben dem Elbow-Kriterium zusätzlich den Test von Mojena. Dieser verwendet nach unterschiedlichen Ausfassungen verschiedene Schwellenwerte zur Bestimmung der optimalen Clusterzahl (2,75 nach Mojena (1975); 1,25 nach Milligan / Cooper (1985)). Aufgrund </w:t>
      </w:r>
      <w:r w:rsidR="002C0766">
        <w:t>der Subjektivität des Verfahrens</w:t>
      </w:r>
      <w:r>
        <w:t xml:space="preserve"> findet dieser Test in der folgenden Analyse keine Verwendung.</w:t>
      </w:r>
    </w:p>
  </w:footnote>
  <w:footnote w:id="66">
    <w:p w14:paraId="795B69D0" w14:textId="08E42D4A" w:rsidR="004D45BD" w:rsidRPr="007405A1" w:rsidRDefault="004D45BD">
      <w:pPr>
        <w:pStyle w:val="Funotentext"/>
        <w:rPr>
          <w:lang w:val="en-US"/>
        </w:rPr>
      </w:pPr>
      <w:r>
        <w:rPr>
          <w:rStyle w:val="Funotenzeichen"/>
        </w:rPr>
        <w:footnoteRef/>
      </w:r>
      <w:r w:rsidRPr="00204F30">
        <w:rPr>
          <w:lang w:val="en-US"/>
        </w:rPr>
        <w:t xml:space="preserve"> Vgl. </w:t>
      </w:r>
      <w:r>
        <w:fldChar w:fldCharType="begin"/>
      </w:r>
      <w:r w:rsidR="00FD5E8B">
        <w:rPr>
          <w:lang w:val="en-US"/>
        </w:rPr>
        <w:instrText xml:space="preserve"> ADDIN ZOTERO_ITEM CSL_CITATION {"citationID":"68EB64uX","properties":{"formattedCitation":"Ketchen, D.J. / Shook, C.L. (1996), S. 446.","plainCitation":"Ketchen, D.J. / Shook, C.L. (1996), S. 446.","noteIndex":66},"citationItems":[{"id":101,"uris":["http://zotero.org/users/7233606/items/PBB6ITR9"],"uri":["http://zotero.org/users/7233606/items/PBB6ITR9"],"itemData":{"id":101,"type":"article-journal","container-title":"Strategic Management Journal","DOI":"10.1002/(SICI)1097-0266(199606)17:6&lt;441::AID-SMJ819&gt;3.0.CO;2-G","ISSN":"0143-2095, 1097-0266","issue":"6","journalAbbreviation":"Strat. Mgmt. J.","language":"en","page":"441-458","source":"DOI.org (Crossref)","title":"The Application of Cluster Analysis in Strategic Management Research: An Analysis and Critique","volume":"17","author":[{"family":"Ketchen","given":"David J."},{"family":"Shook","given":"Christopher L."}],"issued":{"date-parts":[["1996",6]]}},"locator":"446"}],"schema":"https://github.com/citation-style-language/schema/raw/master/csl-citation.json"} </w:instrText>
      </w:r>
      <w:r>
        <w:fldChar w:fldCharType="separate"/>
      </w:r>
      <w:r w:rsidRPr="004D45BD">
        <w:rPr>
          <w:rFonts w:cs="Times New Roman"/>
          <w:lang w:val="en-US"/>
        </w:rPr>
        <w:t>Ketchen / Shook (1996), S. 446.</w:t>
      </w:r>
      <w:r>
        <w:fldChar w:fldCharType="end"/>
      </w:r>
      <w:r w:rsidRPr="004D45BD">
        <w:rPr>
          <w:lang w:val="en-US"/>
        </w:rPr>
        <w:t xml:space="preserve">; vgl. </w:t>
      </w:r>
      <w:r>
        <w:fldChar w:fldCharType="begin"/>
      </w:r>
      <w:r w:rsidR="00E062CE">
        <w:rPr>
          <w:lang w:val="en-US"/>
        </w:rPr>
        <w:instrText xml:space="preserve"> ADDIN ZOTERO_ITEM CSL_CITATION {"citationID":"dyQfTF6M","properties":{"formattedCitation":"Backhaus, K. et al. (2018), S. 477.","plainCitation":"Backhaus, K. et al. (2018), S. 477.","dontUpdate":true,"noteIndex":66},"citationItems":[{"id":70,"uris":["http://zotero.org/users/7233606/items/6C9G39VX"],"uri":["http://zotero.org/users/7233606/items/6C9G39VX"],"itemData":{"id":70,"type":"book","edition":"1","event-place":"Berlin","ISBN":"978-3-662-56654-1","language":"de","note":"DOI: 10.1007/978-3-662-56655-8","publisher":"Springer","publisher-place":"Berlin","source":"DOI.org (Crossref)","title":"Multivariate Analysemethoden: Eine anwendungsorientierte Einführung","title-short":"Multivariate Analysemethoden","URL":"http://link.springer.com/10.1007/978-3-662-56655-8","author":[{"family":"Backhaus","given":"Klaus"},{"family":"Erichson","given":"Bernd"},{"family":"Plinke","given":"Wulff"},{"family":"Weiber","given":"Rolf"}],"accessed":{"date-parts":[["2021",2,9]]},"issued":{"date-parts":[["2018"]]}},"locator":"477"}],"schema":"https://github.com/citation-style-language/schema/raw/master/csl-citation.json"} </w:instrText>
      </w:r>
      <w:r>
        <w:fldChar w:fldCharType="separate"/>
      </w:r>
      <w:r w:rsidRPr="004D45BD">
        <w:rPr>
          <w:rFonts w:cs="Times New Roman"/>
          <w:lang w:val="en-US"/>
        </w:rPr>
        <w:t xml:space="preserve">Backhaus et al. </w:t>
      </w:r>
      <w:r w:rsidRPr="007405A1">
        <w:rPr>
          <w:rFonts w:cs="Times New Roman"/>
          <w:lang w:val="en-US"/>
        </w:rPr>
        <w:t>(2018), S. 476.</w:t>
      </w:r>
      <w:r>
        <w:fldChar w:fldCharType="end"/>
      </w:r>
    </w:p>
  </w:footnote>
  <w:footnote w:id="67">
    <w:p w14:paraId="15E4877F" w14:textId="29D1C8C2" w:rsidR="007405A1" w:rsidRPr="007405A1" w:rsidRDefault="007405A1">
      <w:pPr>
        <w:pStyle w:val="Funotentext"/>
        <w:rPr>
          <w:lang w:val="en-US"/>
        </w:rPr>
      </w:pPr>
      <w:r>
        <w:rPr>
          <w:rStyle w:val="Funotenzeichen"/>
        </w:rPr>
        <w:footnoteRef/>
      </w:r>
      <w:r w:rsidRPr="007405A1">
        <w:rPr>
          <w:lang w:val="en-US"/>
        </w:rPr>
        <w:t xml:space="preserve"> </w:t>
      </w:r>
      <w:r w:rsidR="00FC49BE">
        <w:rPr>
          <w:lang w:val="en-US"/>
        </w:rPr>
        <w:t>V</w:t>
      </w:r>
      <w:r w:rsidR="00FC49BE">
        <w:rPr>
          <w:rFonts w:cs="Times New Roman"/>
          <w:lang w:val="en-US"/>
        </w:rPr>
        <w:t xml:space="preserve">gl. </w:t>
      </w:r>
      <w:r w:rsidR="00FC49BE" w:rsidRPr="007405A1">
        <w:rPr>
          <w:rFonts w:cs="Times New Roman"/>
          <w:lang w:val="en-US"/>
        </w:rPr>
        <w:t>Hill (1980), S. 321 f</w:t>
      </w:r>
      <w:r w:rsidR="00FC49BE">
        <w:rPr>
          <w:rFonts w:cs="Times New Roman"/>
          <w:lang w:val="en-US"/>
        </w:rPr>
        <w:t xml:space="preserve">.; </w:t>
      </w:r>
      <w:r w:rsidR="00FC49BE">
        <w:rPr>
          <w:lang w:val="en-US"/>
        </w:rPr>
        <w:t>v</w:t>
      </w:r>
      <w:r>
        <w:rPr>
          <w:lang w:val="en-US"/>
        </w:rPr>
        <w:t xml:space="preserve">gl. </w:t>
      </w:r>
      <w:r>
        <w:fldChar w:fldCharType="begin"/>
      </w:r>
      <w:r w:rsidR="00042028">
        <w:rPr>
          <w:lang w:val="en-US"/>
        </w:rPr>
        <w:instrText xml:space="preserve"> ADDIN ZOTERO_ITEM CSL_CITATION {"citationID":"3MZgdCDA","properties":{"formattedCitation":"Ratkowsky, D. / Lance, G. (1978), S. 115 f; Hill, R.S. (1980), S. 321 f; Charrad, M. et al. (2014), S. 11.","plainCitation":"Ratkowsky, D. / Lance, G. (1978), S. 115 f; Hill, R.S. (1980), S. 321 f; Charrad, M. et al. (2014), S. 11.","dontUpdate":true,"noteIndex":67},"citationItems":[{"id":112,"uris":["http://zotero.org/users/7233606/items/MFI2CTBG"],"uri":["http://zotero.org/users/7233606/items/MFI2CTBG"],"itemData":{"id":112,"type":"article-journal","container-title":"Australian Computer Journal","issue":"3","page":"115-117","title":"A Criterion for Determining the Number of Grups in a Classifiaction","volume":"10","author":[{"family":"Ratkowsky","given":"D"},{"family":"Lance","given":"G"}],"issued":{"date-parts":[["1978"]]}},"locator":"115 f"},{"id":110,"uris":["http://zotero.org/users/7233606/items/IF4PP96T"],"uri":["http://zotero.org/users/7233606/items/IF4PP96T"],"itemData":{"id":110,"type":"article-journal","container-title":"Botanical Gazette","DOI":"10.1086/337163","ISSN":"0006-8071","issue":"3","journalAbbreviation":"Botanical Gazette","language":"en","page":"321-324","source":"DOI.org (Crossref)","title":"A Stopping Rule for Partitioning Dendrograms","volume":"141","author":[{"family":"Hill","given":"Robert S."}],"issued":{"date-parts":[["1980",9]]}},"locator":"321 f"},{"id":108,"uris":["http://zotero.org/users/7233606/items/HHPCMIGN"],"uri":["http://zotero.org/users/7233606/items/HHPCMIGN"],"itemData":{"id":108,"type":"article-journal","abstract":"Clustering is the partitioning of a set of objects into groups (clusters) so that objects within a group are more similar to each others than objects in diﬀerent groups. Most of the clustering algorithms depend on some assumptions in order to deﬁne the subgroups present in a data set. As a consequence, the resulting clustering scheme requires some sort of evaluation as regards its validity.","container-title":"Journal of Statistical Software","DOI":"10.18637/jss.v061.i06","ISSN":"1548-7660","issue":"6","journalAbbreviation":"J. Stat. Soft.","language":"en","page":"1-36","source":"DOI.org (Crossref)","title":"NbClust: An R Package for Determining the Relevant Number of Clusters in a Data Set","title-short":"&lt;b&gt;NbClust&lt;/b&gt;","volume":"61","author":[{"family":"Charrad","given":"Malika"},{"family":"Ghazzali","given":"Nadia"},{"family":"Boiteau","given":"Véronique"},{"family":"Niknafs","given":"Azam"}],"issued":{"date-parts":[["2014"]]}},"locator":"11"}],"schema":"https://github.com/citation-style-language/schema/raw/master/csl-citation.json"} </w:instrText>
      </w:r>
      <w:r>
        <w:fldChar w:fldCharType="separate"/>
      </w:r>
      <w:r w:rsidRPr="007405A1">
        <w:rPr>
          <w:rFonts w:cs="Times New Roman"/>
          <w:lang w:val="en-US"/>
        </w:rPr>
        <w:t>Ratkowsky / Lance (1978), S. 115 f</w:t>
      </w:r>
      <w:r w:rsidR="00FC49BE">
        <w:rPr>
          <w:rFonts w:cs="Times New Roman"/>
          <w:lang w:val="en-US"/>
        </w:rPr>
        <w:t>.</w:t>
      </w:r>
      <w:r w:rsidRPr="007405A1">
        <w:rPr>
          <w:rFonts w:cs="Times New Roman"/>
          <w:lang w:val="en-US"/>
        </w:rPr>
        <w:t xml:space="preserve"> </w:t>
      </w:r>
      <w:r>
        <w:fldChar w:fldCharType="end"/>
      </w:r>
    </w:p>
  </w:footnote>
  <w:footnote w:id="68">
    <w:p w14:paraId="2E7199FE" w14:textId="58440047" w:rsidR="00860D54" w:rsidRPr="00A91032" w:rsidRDefault="00860D54">
      <w:pPr>
        <w:pStyle w:val="Funotentext"/>
        <w:rPr>
          <w:lang w:val="en-US"/>
        </w:rPr>
      </w:pPr>
      <w:r>
        <w:rPr>
          <w:rStyle w:val="Funotenzeichen"/>
        </w:rPr>
        <w:footnoteRef/>
      </w:r>
      <w:r w:rsidRPr="00A91032">
        <w:rPr>
          <w:lang w:val="en-US"/>
        </w:rPr>
        <w:t xml:space="preserve"> </w:t>
      </w:r>
      <w:r w:rsidR="00935D70">
        <w:rPr>
          <w:rFonts w:cs="Times New Roman"/>
          <w:lang w:val="en-US"/>
        </w:rPr>
        <w:t xml:space="preserve">Vgl. </w:t>
      </w:r>
      <w:r>
        <w:fldChar w:fldCharType="begin"/>
      </w:r>
      <w:r w:rsidR="00E062CE">
        <w:rPr>
          <w:lang w:val="en-US"/>
        </w:rPr>
        <w:instrText xml:space="preserve"> ADDIN ZOTERO_ITEM CSL_CITATION {"citationID":"fpMqK2Zv","properties":{"formattedCitation":"Backhaus, K. et al. (2018), S. 347 ff.","plainCitation":"Backhaus, K. et al. (2018), S. 347 ff.","noteIndex":68},"citationItems":[{"id":70,"uris":["http://zotero.org/users/7233606/items/6C9G39VX"],"uri":["http://zotero.org/users/7233606/items/6C9G39VX"],"itemData":{"id":70,"type":"book","edition":"1","event-place":"Berlin","ISBN":"978-3-662-56654-1","language":"de","note":"DOI: 10.1007/978-3-662-56655-8","publisher":"Springer","publisher-place":"Berlin","source":"DOI.org (Crossref)","title":"Multivariate Analysemethoden: Eine anwendungsorientierte Einführung","title-short":"Multivariate Analysemethoden","URL":"http://link.springer.com/10.1007/978-3-662-56655-8","author":[{"family":"Backhaus","given":"Klaus"},{"family":"Erichson","given":"Bernd"},{"family":"Plinke","given":"Wulff"},{"family":"Weiber","given":"Rolf"}],"accessed":{"date-parts":[["2021",2,9]]},"issued":{"date-parts":[["2018"]]}},"locator":"347 ff"}],"schema":"https://github.com/citation-style-language/schema/raw/master/csl-citation.json"} </w:instrText>
      </w:r>
      <w:r>
        <w:fldChar w:fldCharType="separate"/>
      </w:r>
      <w:r w:rsidRPr="00A91032">
        <w:rPr>
          <w:rFonts w:cs="Times New Roman"/>
          <w:lang w:val="en-US"/>
        </w:rPr>
        <w:t>Backhaus et al. (2018), S. 347 ff.</w:t>
      </w:r>
      <w:r>
        <w:fldChar w:fldCharType="end"/>
      </w:r>
    </w:p>
  </w:footnote>
  <w:footnote w:id="69">
    <w:p w14:paraId="78556A4B" w14:textId="480DA5E6" w:rsidR="00067401" w:rsidRPr="003E232A" w:rsidRDefault="00067401">
      <w:pPr>
        <w:pStyle w:val="Funotentext"/>
      </w:pPr>
      <w:r>
        <w:rPr>
          <w:rStyle w:val="Funotenzeichen"/>
        </w:rPr>
        <w:footnoteRef/>
      </w:r>
      <w:r w:rsidRPr="003E232A">
        <w:t xml:space="preserve"> </w:t>
      </w:r>
      <w:r w:rsidR="00935D70" w:rsidRPr="003E232A">
        <w:rPr>
          <w:rFonts w:cs="Times New Roman"/>
        </w:rPr>
        <w:t xml:space="preserve">Vgl. </w:t>
      </w:r>
      <w:r>
        <w:fldChar w:fldCharType="begin"/>
      </w:r>
      <w:r w:rsidR="00E062CE" w:rsidRPr="003E232A">
        <w:instrText xml:space="preserve"> ADDIN ZOTERO_ITEM CSL_CITATION {"citationID":"bGMF2Avq","properties":{"formattedCitation":"Backhaus, K. et al. (2018), S. 58.","plainCitation":"Backhaus, K. et al. (2018), S. 58.","noteIndex":69},"citationItems":[{"id":70,"uris":["http://zotero.org/users/7233606/items/6C9G39VX"],"uri":["http://zotero.org/users/7233606/items/6C9G39VX"],"itemData":{"id":70,"type":"book","edition":"1","event-place":"Berlin","ISBN":"978-3-662-56654-1","language":"de","note":"DOI: 10.1007/978-3-662-56655-8","publisher":"Springer","publisher-place":"Berlin","source":"DOI.org (Crossref)","title":"Multivariate Analysemethoden: Eine anwendungsorientierte Einführung","title-short":"Multivariate Analysemethoden","URL":"http://link.springer.com/10.1007/978-3-662-56655-8","author":[{"family":"Backhaus","given":"Klaus"},{"family":"Erichson","given":"Bernd"},{"family":"Plinke","given":"Wulff"},{"family":"Weiber","given":"Rolf"}],"accessed":{"date-parts":[["2021",2,9]]},"issued":{"date-parts":[["2018"]]}},"locator":"58"}],"schema":"https://github.com/citation-style-language/schema/raw/master/csl-citation.json"} </w:instrText>
      </w:r>
      <w:r>
        <w:fldChar w:fldCharType="separate"/>
      </w:r>
      <w:r w:rsidR="00935D70" w:rsidRPr="003E232A">
        <w:rPr>
          <w:rFonts w:cs="Times New Roman"/>
        </w:rPr>
        <w:t>ebenda</w:t>
      </w:r>
      <w:r w:rsidRPr="003E232A">
        <w:rPr>
          <w:rFonts w:cs="Times New Roman"/>
        </w:rPr>
        <w:t>, S. 58.</w:t>
      </w:r>
      <w:r>
        <w:fldChar w:fldCharType="end"/>
      </w:r>
    </w:p>
  </w:footnote>
  <w:footnote w:id="70">
    <w:p w14:paraId="6CB21EFA" w14:textId="43CB8174" w:rsidR="008350BE" w:rsidRPr="003E232A" w:rsidRDefault="008350BE">
      <w:pPr>
        <w:pStyle w:val="Funotentext"/>
      </w:pPr>
      <w:r>
        <w:rPr>
          <w:rStyle w:val="Funotenzeichen"/>
        </w:rPr>
        <w:footnoteRef/>
      </w:r>
      <w:r w:rsidRPr="003E232A">
        <w:t xml:space="preserve"> </w:t>
      </w:r>
      <w:r w:rsidR="00935D70" w:rsidRPr="003E232A">
        <w:rPr>
          <w:rFonts w:cs="Times New Roman"/>
        </w:rPr>
        <w:t xml:space="preserve">Vgl. </w:t>
      </w:r>
      <w:r>
        <w:fldChar w:fldCharType="begin"/>
      </w:r>
      <w:r w:rsidR="00FD5E8B" w:rsidRPr="003E232A">
        <w:instrText xml:space="preserve"> ADDIN ZOTERO_ITEM CSL_CITATION {"citationID":"jEYuocwm","properties":{"formattedCitation":"Greene, W.H. (2003), S. 667.","plainCitation":"Greene, W.H. (2003), S. 667.","noteIndex":70},"citationItems":[{"id":131,"uris":["http://zotero.org/users/7233606/items/RAKINE2Z"],"uri":["http://zotero.org/users/7233606/items/RAKINE2Z"],"itemData":{"id":131,"type":"book","call-number":"HB139 .G74 2003","edition":"5","event-place":"Upper Saddle River, N.J","ISBN":"978-0-13-066189-0","language":"en","number-of-pages":"1026","publisher":"Prentice Hall","publisher-place":"Upper Saddle River, N.J","source":"Library of Congress ISBN","title":"Econometric analysis","author":[{"family":"Greene","given":"William H."}],"issued":{"date-parts":[["2003"]]}},"locator":"667"}],"schema":"https://github.com/citation-style-language/schema/raw/master/csl-citation.json"} </w:instrText>
      </w:r>
      <w:r>
        <w:fldChar w:fldCharType="separate"/>
      </w:r>
      <w:r w:rsidRPr="003E232A">
        <w:rPr>
          <w:rFonts w:cs="Times New Roman"/>
        </w:rPr>
        <w:t>Greene (2003), S. 667.</w:t>
      </w:r>
      <w:r>
        <w:fldChar w:fldCharType="end"/>
      </w:r>
    </w:p>
  </w:footnote>
  <w:footnote w:id="71">
    <w:p w14:paraId="442441C1" w14:textId="7C022E4B" w:rsidR="003C2F69" w:rsidRPr="00513D70" w:rsidRDefault="003C2F69">
      <w:pPr>
        <w:pStyle w:val="Funotentext"/>
      </w:pPr>
      <w:r>
        <w:rPr>
          <w:rStyle w:val="Funotenzeichen"/>
        </w:rPr>
        <w:footnoteRef/>
      </w:r>
      <w:r w:rsidRPr="003E232A">
        <w:t xml:space="preserve"> </w:t>
      </w:r>
      <w:r w:rsidR="00935D70" w:rsidRPr="003E232A">
        <w:rPr>
          <w:rFonts w:cs="Times New Roman"/>
        </w:rPr>
        <w:t xml:space="preserve">Vgl. </w:t>
      </w:r>
      <w:r>
        <w:fldChar w:fldCharType="begin"/>
      </w:r>
      <w:r w:rsidR="00FD5E8B" w:rsidRPr="003E232A">
        <w:instrText xml:space="preserve"> ADDIN ZOTERO_ITEM CSL_CITATION {"citationID":"H3Vmhc5Z","properties":{"formattedCitation":"Greene, W.H. (2003), S. 668 f.","plainCitation":"Greene, W.H. (2003), S. 668 f.","dontUpdate":true,"noteIndex":71},"citationItems":[{"id":131,"uris":["http://zotero.org/users/7233606/items/RAKINE2Z"],"uri":["http://zotero.org/users/7233606/items/RAKINE2Z"],"itemData":{"id":131,"type":"book","call-number":"HB139 .G74 2003","edition":"5","event-place":"Upper Saddle River, N.J","ISBN":"978-0-13-066189-0","language":"en","number-of-pages":"1026","publisher":"Prentice Hall","publisher-place":"Upper Saddle River, N.J","source":"Library of Congress ISBN","title":"Econometric analysis","author":[{"family":"Greene","given":"William H."}],"issued":{"date-parts":[["2003"]]}},"locator":"668 f"}],"schema":"https://github.com/citation-style-language/schema/raw/master/csl-citation.json"} </w:instrText>
      </w:r>
      <w:r>
        <w:fldChar w:fldCharType="separate"/>
      </w:r>
      <w:r w:rsidR="00935D70" w:rsidRPr="00513D70">
        <w:rPr>
          <w:rFonts w:cs="Times New Roman"/>
        </w:rPr>
        <w:t>ebenda</w:t>
      </w:r>
      <w:r w:rsidRPr="00513D70">
        <w:rPr>
          <w:rFonts w:cs="Times New Roman"/>
        </w:rPr>
        <w:t>, S. 668 f</w:t>
      </w:r>
      <w:r w:rsidR="00625B77" w:rsidRPr="00513D70">
        <w:rPr>
          <w:rFonts w:cs="Times New Roman"/>
        </w:rPr>
        <w:t>f</w:t>
      </w:r>
      <w:r w:rsidRPr="00513D70">
        <w:rPr>
          <w:rFonts w:cs="Times New Roman"/>
        </w:rPr>
        <w:t>.</w:t>
      </w:r>
      <w:r>
        <w:fldChar w:fldCharType="end"/>
      </w:r>
    </w:p>
  </w:footnote>
  <w:footnote w:id="72">
    <w:p w14:paraId="548D20DC" w14:textId="3CDAAF14" w:rsidR="00455094" w:rsidRPr="00513D70" w:rsidRDefault="00455094" w:rsidP="00455094">
      <w:pPr>
        <w:pStyle w:val="Funotentext"/>
      </w:pPr>
      <w:r>
        <w:rPr>
          <w:rStyle w:val="Funotenzeichen"/>
        </w:rPr>
        <w:footnoteRef/>
      </w:r>
      <w:r w:rsidRPr="00513D70">
        <w:t xml:space="preserve"> </w:t>
      </w:r>
      <w:r w:rsidR="00513D70" w:rsidRPr="00513D70">
        <w:rPr>
          <w:rFonts w:cs="Times New Roman"/>
        </w:rPr>
        <w:t xml:space="preserve">Vgl. </w:t>
      </w:r>
      <w:r>
        <w:fldChar w:fldCharType="begin"/>
      </w:r>
      <w:r w:rsidR="00FD5E8B" w:rsidRPr="00513D70">
        <w:instrText xml:space="preserve"> ADDIN ZOTERO_ITEM CSL_CITATION {"citationID":"202btNxf","properties":{"formattedCitation":"Chib, S. / Greenberg, E. (1998), S. 347 f.","plainCitation":"Chib, S. / Greenberg, E. (1998), S. 347 f.","noteIndex":72},"citationItems":[{"id":133,"uris":["http://zotero.org/users/7233606/items/DIEDN6NA"],"uri":["http://zotero.org/users/7233606/items/DIEDN6NA"],"itemData":{"id":133,"type":"article-journal","abstract":"This paper provides a practical simulation-based Bayesian and non-Bayesian analysis of correlated binary data using the multivariate probit model. The posterior distribution is simulated by Markov chain Monte Carlo methods and maximum likelihood estimates are obtained by a Monte Carlo version of the EM algorithm. A practical approach for the computation of Bayes factors from the simulation output is also developed. The methods are applied to a dataset with a bivariate binary response, to a four-year longitudinal dataset from the Six Cities study of the health effects of air pollution and to a sevenvariate binary response dataset on the labour supply of married women from the Panel Survey of Income Dynamics.","container-title":"Biometrika","DOI":"10.1093/biomet/85.2.347","ISSN":"0006-3444, 1464-3510","issue":"2","journalAbbreviation":"Biometrika","language":"en","page":"347-361","source":"DOI.org (Crossref)","title":"Analysis of multivariate probit models","volume":"85","author":[{"family":"Chib","given":"S"},{"family":"Greenberg","given":"E"}],"issued":{"date-parts":[["1998",6,1]]}},"locator":"347 f"}],"schema":"https://github.com/citation-style-language/schema/raw/master/csl-citation.json"} </w:instrText>
      </w:r>
      <w:r>
        <w:fldChar w:fldCharType="separate"/>
      </w:r>
      <w:r w:rsidR="00677A13" w:rsidRPr="00513D70">
        <w:rPr>
          <w:rFonts w:cs="Times New Roman"/>
        </w:rPr>
        <w:t>Chib</w:t>
      </w:r>
      <w:r w:rsidR="00513D70">
        <w:rPr>
          <w:rFonts w:cs="Times New Roman"/>
        </w:rPr>
        <w:t xml:space="preserve"> </w:t>
      </w:r>
      <w:r w:rsidR="00677A13" w:rsidRPr="00513D70">
        <w:rPr>
          <w:rFonts w:cs="Times New Roman"/>
        </w:rPr>
        <w:t>/ Greenberg (1998), S. 347 f.</w:t>
      </w:r>
      <w:r>
        <w:fldChar w:fldCharType="end"/>
      </w:r>
    </w:p>
  </w:footnote>
  <w:footnote w:id="73">
    <w:p w14:paraId="3EB95B3E" w14:textId="53E90A7D" w:rsidR="004D6AF1" w:rsidRPr="00513D70" w:rsidRDefault="004D6AF1">
      <w:pPr>
        <w:pStyle w:val="Funotentext"/>
      </w:pPr>
      <w:r>
        <w:rPr>
          <w:rStyle w:val="Funotenzeichen"/>
        </w:rPr>
        <w:footnoteRef/>
      </w:r>
      <w:r w:rsidRPr="00513D70">
        <w:t xml:space="preserve"> </w:t>
      </w:r>
      <w:r w:rsidR="00513D70" w:rsidRPr="00513D70">
        <w:rPr>
          <w:rFonts w:cs="Times New Roman"/>
        </w:rPr>
        <w:t xml:space="preserve">Vgl. </w:t>
      </w:r>
      <w:r>
        <w:fldChar w:fldCharType="begin"/>
      </w:r>
      <w:r w:rsidR="00FD5E8B" w:rsidRPr="00513D70">
        <w:instrText xml:space="preserve"> ADDIN ZOTERO_ITEM CSL_CITATION {"citationID":"Fbi9Qmev","properties":{"formattedCitation":"Cappellari, L. / Jenkins, S.P. (2003), S. 279.","plainCitation":"Cappellari, L. / Jenkins, S.P. (2003), S. 279.","noteIndex":73},"citationItems":[{"id":139,"uris":["http://zotero.org/users/7233606/items/LQHZG7FK"],"uri":["http://zotero.org/users/7233606/items/LQHZG7FK"],"itemData":{"id":139,"type":"article-journal","abstract":"We discuss the application of the GHK simulation method for maximum likelihood estimation of the multivariate probit regression model and describe and illustrate a Stata program mvprobit for this purpose.","container-title":"The Stata Journal: Promoting communications on statistics and Stata","DOI":"10.1177/1536867X0300300305","ISSN":"1536-867X, 1536-8734","issue":"3","journalAbbreviation":"The Stata Journal","language":"en","page":"278-294","source":"DOI.org (Crossref)","title":"Multivariate Probit Regression using Simulated Maximum Likelihood","volume":"3","author":[{"family":"Cappellari","given":"Lorenzo"},{"family":"Jenkins","given":"Stephen P."}],"issued":{"date-parts":[["2003",9]]}},"locator":"279"}],"schema":"https://github.com/citation-style-language/schema/raw/master/csl-citation.json"} </w:instrText>
      </w:r>
      <w:r>
        <w:fldChar w:fldCharType="separate"/>
      </w:r>
      <w:r w:rsidRPr="00513D70">
        <w:rPr>
          <w:rFonts w:cs="Times New Roman"/>
        </w:rPr>
        <w:t>Cappellari / Jenkins (2003), S. 279.</w:t>
      </w:r>
      <w:r>
        <w:fldChar w:fldCharType="end"/>
      </w:r>
    </w:p>
  </w:footnote>
  <w:footnote w:id="74">
    <w:p w14:paraId="45CF7A7F" w14:textId="2E44438A" w:rsidR="00DD5675" w:rsidRPr="00630C60" w:rsidRDefault="00DD5675">
      <w:pPr>
        <w:pStyle w:val="Funotentext"/>
        <w:rPr>
          <w:lang w:val="en-US"/>
        </w:rPr>
      </w:pPr>
      <w:r>
        <w:rPr>
          <w:rStyle w:val="Funotenzeichen"/>
        </w:rPr>
        <w:footnoteRef/>
      </w:r>
      <w:r w:rsidRPr="00513D70">
        <w:t xml:space="preserve"> </w:t>
      </w:r>
      <w:r w:rsidR="00513D70" w:rsidRPr="00513D70">
        <w:rPr>
          <w:rFonts w:cs="Times New Roman"/>
        </w:rPr>
        <w:t xml:space="preserve">Vgl. </w:t>
      </w:r>
      <w:r>
        <w:fldChar w:fldCharType="begin"/>
      </w:r>
      <w:r w:rsidR="00E062CE" w:rsidRPr="00513D70">
        <w:instrText xml:space="preserve"> ADDIN ZOTERO_ITEM CSL_CITATION {"citationID":"nHcNoTI8","properties":{"formattedCitation":"Fahrmeir, L. et al. (2009), S. 80 ff.","plainCitation":"Fahrmeir, L. et al. (2009), S. 80 ff.","noteIndex":74},"citationItems":[{"id":137,"uris":["http://zotero.org/users/7233606/items/4Y89LV52"],"uri":["http://zotero.org/users/7233606/items/4Y89LV52"],"itemData":{"id":137,"type":"book","edition":"1","event-place":"Berlin","ISBN":"978-3-642-01836-7","language":"de","note":"DOI: 10.1007/978-3-642-01837-4","publisher":"Springer","publisher-place":"Berlin","source":"DOI.org (Crossref)","title":"Regression: Modelle, Methoden und Anwendungen","URL":"http://link.springer.com/10.1007/978-3-642-01837-4","author":[{"family":"Fahrmeir","given":"Ludwig"},{"family":"Kneib","given":"Thomas"},{"family":"Lang","given":"Stefan"}],"accessed":{"date-parts":[["2021",11,15]]},"issued":{"date-parts":[["2009"]]}},"locator":"80 ff"}],"schema":"https://github.com/citation-style-language/schema/raw/master/csl-citation.json"} </w:instrText>
      </w:r>
      <w:r>
        <w:fldChar w:fldCharType="separate"/>
      </w:r>
      <w:r w:rsidRPr="00513D70">
        <w:rPr>
          <w:rFonts w:cs="Times New Roman"/>
        </w:rPr>
        <w:t xml:space="preserve">Fahrmeir et al. </w:t>
      </w:r>
      <w:r w:rsidRPr="00630C60">
        <w:rPr>
          <w:rFonts w:cs="Times New Roman"/>
          <w:lang w:val="en-US"/>
        </w:rPr>
        <w:t>(2009), S. 80 ff.</w:t>
      </w:r>
      <w:r>
        <w:fldChar w:fldCharType="end"/>
      </w:r>
    </w:p>
  </w:footnote>
  <w:footnote w:id="75">
    <w:p w14:paraId="48F9A4F2" w14:textId="6C9AE21B" w:rsidR="00BE075C" w:rsidRPr="00BE075C" w:rsidRDefault="00BE075C">
      <w:pPr>
        <w:pStyle w:val="Funotentext"/>
        <w:rPr>
          <w:lang w:val="en-US"/>
        </w:rPr>
      </w:pPr>
      <w:r>
        <w:rPr>
          <w:rStyle w:val="Funotenzeichen"/>
        </w:rPr>
        <w:footnoteRef/>
      </w:r>
      <w:r w:rsidRPr="00BE075C">
        <w:rPr>
          <w:lang w:val="en-US"/>
        </w:rPr>
        <w:t xml:space="preserve"> </w:t>
      </w:r>
      <w:r w:rsidR="0060363F">
        <w:rPr>
          <w:rFonts w:cs="Times New Roman"/>
          <w:lang w:val="en-US"/>
        </w:rPr>
        <w:t xml:space="preserve">Vgl. </w:t>
      </w:r>
      <w:r>
        <w:fldChar w:fldCharType="begin"/>
      </w:r>
      <w:r w:rsidR="00FD5E8B">
        <w:rPr>
          <w:lang w:val="en-US"/>
        </w:rPr>
        <w:instrText xml:space="preserve"> ADDIN ZOTERO_ITEM CSL_CITATION {"citationID":"cIfyMSU9","properties":{"formattedCitation":"LeClere, M.J. (1992), S. 771.","plainCitation":"LeClere, M.J. (1992), S. 771.","noteIndex":75},"citationItems":[{"id":143,"uris":["http://zotero.org/users/7233606/items/KFAR8L9P"],"uri":["http://zotero.org/users/7233606/items/KFAR8L9P"],"itemData":{"id":143,"type":"article-journal","abstract":"A substantial body of empirical accounting, finance, management, and marketing research utilizes singleequationmodelswith discrete&amp;pendent variables.Generally,theinterpretationofthe coefficients of the exogenous variables is limited to the sign and relative magnitude. This paper presents three methods of interpreting the coefficients in these models. The fust method interprets the coefficients as marginal probabilities and the second method interprets the coefficientsas elasticitiesof probability. The third method utilizes sensitivity analysis and examines the effect of hypothetical changes in exogenous variables on the probability of choice. This paper applies these methods to a published research study.","container-title":"Decision Sciences","DOI":"10.1111/j.1540-5915.1992.tb00417.x","ISSN":"0011-7315, 1540-5915","issue":"3","journalAbbreviation":"Decision Sciences","language":"en","page":"770-776","source":"DOI.org (Crossref)","title":"The Interpretation of Coefficients in Models with Qualitative Dependent Variables","volume":"23","author":[{"family":"LeClere","given":"Marc J."}],"issued":{"date-parts":[["1992",5]]}},"locator":"771 "}],"schema":"https://github.com/citation-style-language/schema/raw/master/csl-citation.json"} </w:instrText>
      </w:r>
      <w:r>
        <w:fldChar w:fldCharType="separate"/>
      </w:r>
      <w:r w:rsidRPr="00BE075C">
        <w:rPr>
          <w:rFonts w:cs="Times New Roman"/>
          <w:lang w:val="en-US"/>
        </w:rPr>
        <w:t>LeClere (1992), S. 771.</w:t>
      </w:r>
      <w:r>
        <w:fldChar w:fldCharType="end"/>
      </w:r>
    </w:p>
  </w:footnote>
  <w:footnote w:id="76">
    <w:p w14:paraId="17E76ACC" w14:textId="7A84B448" w:rsidR="00341C50" w:rsidRPr="00C67A8C" w:rsidRDefault="00341C50">
      <w:pPr>
        <w:pStyle w:val="Funotentext"/>
        <w:rPr>
          <w:lang w:val="en-US"/>
        </w:rPr>
      </w:pPr>
      <w:r>
        <w:rPr>
          <w:rStyle w:val="Funotenzeichen"/>
        </w:rPr>
        <w:footnoteRef/>
      </w:r>
      <w:r w:rsidRPr="00341C50">
        <w:rPr>
          <w:lang w:val="en-US"/>
        </w:rPr>
        <w:t xml:space="preserve"> </w:t>
      </w:r>
      <w:r w:rsidR="0060363F">
        <w:rPr>
          <w:rFonts w:cs="Times New Roman"/>
          <w:lang w:val="en-US"/>
        </w:rPr>
        <w:t xml:space="preserve">Vgl. </w:t>
      </w:r>
      <w:r>
        <w:fldChar w:fldCharType="begin"/>
      </w:r>
      <w:r w:rsidR="00E062CE">
        <w:rPr>
          <w:lang w:val="en-US"/>
        </w:rPr>
        <w:instrText xml:space="preserve"> ADDIN ZOTERO_ITEM CSL_CITATION {"citationID":"yyWIYkmo","properties":{"formattedCitation":"Backhaus, K. et al. (2018), S. 290 f.","plainCitation":"Backhaus, K. et al. (2018), S. 290 f.","noteIndex":76},"citationItems":[{"id":70,"uris":["http://zotero.org/users/7233606/items/6C9G39VX"],"uri":["http://zotero.org/users/7233606/items/6C9G39VX"],"itemData":{"id":70,"type":"book","edition":"1","event-place":"Berlin","ISBN":"978-3-662-56654-1","language":"de","note":"DOI: 10.1007/978-3-662-56655-8","publisher":"Springer","publisher-place":"Berlin","source":"DOI.org (Crossref)","title":"Multivariate Analysemethoden: Eine anwendungsorientierte Einführung","title-short":"Multivariate Analysemethoden","URL":"http://link.springer.com/10.1007/978-3-662-56655-8","author":[{"family":"Backhaus","given":"Klaus"},{"family":"Erichson","given":"Bernd"},{"family":"Plinke","given":"Wulff"},{"family":"Weiber","given":"Rolf"}],"accessed":{"date-parts":[["2021",2,9]]},"issued":{"date-parts":[["2018"]]}},"locator":"290 f"}],"schema":"https://github.com/citation-style-language/schema/raw/master/csl-citation.json"} </w:instrText>
      </w:r>
      <w:r>
        <w:fldChar w:fldCharType="separate"/>
      </w:r>
      <w:r w:rsidRPr="00341C50">
        <w:rPr>
          <w:rFonts w:cs="Times New Roman"/>
          <w:lang w:val="en-US"/>
        </w:rPr>
        <w:t xml:space="preserve">Backhaus et al. </w:t>
      </w:r>
      <w:r w:rsidRPr="00C67A8C">
        <w:rPr>
          <w:rFonts w:cs="Times New Roman"/>
          <w:lang w:val="en-US"/>
        </w:rPr>
        <w:t>(2018), S. 290 f.</w:t>
      </w:r>
      <w:r>
        <w:fldChar w:fldCharType="end"/>
      </w:r>
    </w:p>
  </w:footnote>
  <w:footnote w:id="77">
    <w:p w14:paraId="3D536BD6" w14:textId="400D1B72" w:rsidR="00D54797" w:rsidRPr="0060363F" w:rsidRDefault="00D54797">
      <w:pPr>
        <w:pStyle w:val="Funotentext"/>
      </w:pPr>
      <w:r>
        <w:rPr>
          <w:rStyle w:val="Funotenzeichen"/>
        </w:rPr>
        <w:footnoteRef/>
      </w:r>
      <w:r w:rsidRPr="0060363F">
        <w:t xml:space="preserve"> </w:t>
      </w:r>
      <w:r>
        <w:fldChar w:fldCharType="begin"/>
      </w:r>
      <w:r w:rsidR="00E062CE" w:rsidRPr="0060363F">
        <w:instrText xml:space="preserve"> ADDIN ZOTERO_ITEM CSL_CITATION {"citationID":"atmpFlJz","properties":{"formattedCitation":"Backhaus, K. et al. (2018), S. 307 f.","plainCitation":"Backhaus, K. et al. (2018), S. 307 f.","noteIndex":77},"citationItems":[{"id":70,"uris":["http://zotero.org/users/7233606/items/6C9G39VX"],"uri":["http://zotero.org/users/7233606/items/6C9G39VX"],"itemData":{"id":70,"type":"book","edition":"1","event-place":"Berlin","ISBN":"978-3-662-56654-1","language":"de","note":"DOI: 10.1007/978-3-662-56655-8","publisher":"Springer","publisher-place":"Berlin","source":"DOI.org (Crossref)","title":"Multivariate Analysemethoden: Eine anwendungsorientierte Einführung","title-short":"Multivariate Analysemethoden","URL":"http://link.springer.com/10.1007/978-3-662-56655-8","author":[{"family":"Backhaus","given":"Klaus"},{"family":"Erichson","given":"Bernd"},{"family":"Plinke","given":"Wulff"},{"family":"Weiber","given":"Rolf"}],"accessed":{"date-parts":[["2021",2,9]]},"issued":{"date-parts":[["2018"]]}},"locator":"307 f"}],"schema":"https://github.com/citation-style-language/schema/raw/master/csl-citation.json"} </w:instrText>
      </w:r>
      <w:r>
        <w:fldChar w:fldCharType="separate"/>
      </w:r>
      <w:r w:rsidR="0060363F" w:rsidRPr="0060363F">
        <w:rPr>
          <w:rFonts w:cs="Times New Roman"/>
        </w:rPr>
        <w:t>Vgl. ebenda</w:t>
      </w:r>
      <w:r w:rsidRPr="0060363F">
        <w:rPr>
          <w:rFonts w:cs="Times New Roman"/>
        </w:rPr>
        <w:t>, S. 307 f.</w:t>
      </w:r>
      <w:r>
        <w:fldChar w:fldCharType="end"/>
      </w:r>
    </w:p>
  </w:footnote>
  <w:footnote w:id="78">
    <w:p w14:paraId="32136516" w14:textId="7B38271F" w:rsidR="00063D11" w:rsidRPr="0060363F" w:rsidRDefault="00063D11">
      <w:pPr>
        <w:pStyle w:val="Funotentext"/>
      </w:pPr>
      <w:r>
        <w:rPr>
          <w:rStyle w:val="Funotenzeichen"/>
        </w:rPr>
        <w:footnoteRef/>
      </w:r>
      <w:r w:rsidRPr="0060363F">
        <w:t xml:space="preserve"> </w:t>
      </w:r>
      <w:r>
        <w:fldChar w:fldCharType="begin"/>
      </w:r>
      <w:r w:rsidR="00E062CE" w:rsidRPr="0060363F">
        <w:instrText xml:space="preserve"> ADDIN ZOTERO_ITEM CSL_CITATION {"citationID":"gTQKNPgF","properties":{"formattedCitation":"Backhaus, K. et al. (2018), S. 293 f.","plainCitation":"Backhaus, K. et al. (2018), S. 293 f.","noteIndex":78},"citationItems":[{"id":70,"uris":["http://zotero.org/users/7233606/items/6C9G39VX"],"uri":["http://zotero.org/users/7233606/items/6C9G39VX"],"itemData":{"id":70,"type":"book","edition":"1","event-place":"Berlin","ISBN":"978-3-662-56654-1","language":"de","note":"DOI: 10.1007/978-3-662-56655-8","publisher":"Springer","publisher-place":"Berlin","source":"DOI.org (Crossref)","title":"Multivariate Analysemethoden: Eine anwendungsorientierte Einführung","title-short":"Multivariate Analysemethoden","URL":"http://link.springer.com/10.1007/978-3-662-56655-8","author":[{"family":"Backhaus","given":"Klaus"},{"family":"Erichson","given":"Bernd"},{"family":"Plinke","given":"Wulff"},{"family":"Weiber","given":"Rolf"}],"accessed":{"date-parts":[["2021",2,9]]},"issued":{"date-parts":[["2018"]]}},"locator":"293 f"}],"schema":"https://github.com/citation-style-language/schema/raw/master/csl-citation.json"} </w:instrText>
      </w:r>
      <w:r>
        <w:fldChar w:fldCharType="separate"/>
      </w:r>
      <w:r w:rsidR="0060363F" w:rsidRPr="0060363F">
        <w:rPr>
          <w:rFonts w:cs="Times New Roman"/>
        </w:rPr>
        <w:t>Vgl. ebenda</w:t>
      </w:r>
      <w:r w:rsidRPr="0060363F">
        <w:rPr>
          <w:rFonts w:cs="Times New Roman"/>
        </w:rPr>
        <w:t>, S. 293 f.</w:t>
      </w:r>
      <w:r>
        <w:fldChar w:fldCharType="end"/>
      </w:r>
    </w:p>
  </w:footnote>
  <w:footnote w:id="79">
    <w:p w14:paraId="748C814B" w14:textId="767E2F8D" w:rsidR="00F02C77" w:rsidRPr="003E232A" w:rsidRDefault="00F02C77">
      <w:pPr>
        <w:pStyle w:val="Funotentext"/>
        <w:rPr>
          <w:lang w:val="en-US"/>
        </w:rPr>
      </w:pPr>
      <w:r>
        <w:rPr>
          <w:rStyle w:val="Funotenzeichen"/>
        </w:rPr>
        <w:footnoteRef/>
      </w:r>
      <w:r w:rsidRPr="003E232A">
        <w:rPr>
          <w:lang w:val="en-US"/>
        </w:rPr>
        <w:t xml:space="preserve"> </w:t>
      </w:r>
      <w:r w:rsidR="00F70AD8" w:rsidRPr="003E232A">
        <w:rPr>
          <w:rFonts w:cs="Times New Roman"/>
          <w:lang w:val="en-US"/>
        </w:rPr>
        <w:t xml:space="preserve">Vgl. </w:t>
      </w:r>
      <w:r>
        <w:fldChar w:fldCharType="begin"/>
      </w:r>
      <w:r w:rsidR="00FD5E8B" w:rsidRPr="003E232A">
        <w:rPr>
          <w:lang w:val="en-US"/>
        </w:rPr>
        <w:instrText xml:space="preserve"> ADDIN ZOTERO_ITEM CSL_CITATION {"citationID":"Vgp4Lfnq","properties":{"formattedCitation":"Chavis, L.W. et al. (2011), S. 486 ff.","plainCitation":"Chavis, L.W. et al. (2011), S. 486 ff.","noteIndex":79},"citationItems":[{"id":178,"uris":["http://zotero.org/users/7233606/items/K8YYGKLY"],"uri":["http://zotero.org/users/7233606/items/K8YYGKLY"],"itemData":{"id":178,"type":"article-journal","container-title":"The World Bank Economic Review","DOI":"10.1093/wber/lhr045","ISSN":"1564-698X, 0258-6770","issue":"3","language":"en","page":"486-507","source":"DOI.org (Crossref)","title":"The Impact of the Business Environment on Young Firm Financing","volume":"25","author":[{"family":"Chavis","given":"Larry W."},{"family":"Klapper","given":"Leora F."},{"family":"Love","given":"Inessa"}],"issued":{"date-parts":[["2011",1,1]]}},"locator":"486 ff"}],"schema":"https://github.com/citation-style-language/schema/raw/master/csl-citation.json"} </w:instrText>
      </w:r>
      <w:r>
        <w:fldChar w:fldCharType="separate"/>
      </w:r>
      <w:r w:rsidRPr="003E232A">
        <w:rPr>
          <w:rFonts w:cs="Times New Roman"/>
          <w:lang w:val="en-US"/>
        </w:rPr>
        <w:t>Chavis et al. (2011), S. 486 ff.</w:t>
      </w:r>
      <w:r>
        <w:fldChar w:fldCharType="end"/>
      </w:r>
    </w:p>
  </w:footnote>
  <w:footnote w:id="80">
    <w:p w14:paraId="148A3B77" w14:textId="3B33DF88" w:rsidR="00C67A8C" w:rsidRDefault="00C67A8C">
      <w:pPr>
        <w:pStyle w:val="Funotentext"/>
      </w:pPr>
      <w:r>
        <w:rPr>
          <w:rStyle w:val="Funotenzeichen"/>
        </w:rPr>
        <w:footnoteRef/>
      </w:r>
      <w:r>
        <w:t xml:space="preserve"> </w:t>
      </w:r>
      <w:r w:rsidR="00F70AD8" w:rsidRPr="0060363F">
        <w:rPr>
          <w:rFonts w:cs="Times New Roman"/>
        </w:rPr>
        <w:t xml:space="preserve">Vgl. </w:t>
      </w:r>
      <w:r>
        <w:fldChar w:fldCharType="begin"/>
      </w:r>
      <w:r w:rsidR="00FD5E8B">
        <w:instrText xml:space="preserve"> ADDIN ZOTERO_ITEM CSL_CITATION {"citationID":"qiF4AEHC","properties":{"formattedCitation":"Berger, A.N. / Udell, G.F. (1998), S. 660.","plainCitation":"Berger, A.N. / Udell, G.F. (1998), S. 660.","noteIndex":80},"citationItems":[{"id":171,"uris":["http://zotero.org/users/7233606/items/SQZPTERB"],"uri":["http://zotero.org/users/7233606/items/SQZPTERB"],"itemData":{"id":171,"type":"article-journal","abstract":"This article examines the economics of financing small business in private equity and debt markets. Firms are viewed through a financial growth cycle paradigm in which different capital structures are optimal at different points in the cycle. We show the sources of small business finance, and how capital structure varies with firm size and age. The interconnectedness of small firm finance is discussed along with the impact of the macroeconomic environment. We also analyze a number of research and policy issues, review the literature, and suggest topics for future research.","container-title":"Journal of banking &amp; finance","DOI":"10.1016/S0378-4266(98)00038-7","ISSN":"0378-4266","issue":"6","language":"eng","note":"publisher: Elsevier B.V","page":"613-673","title":"The economics of small business finance: The roles of private equity and debt markets in the financial growth cycle","volume":"22","author":[{"family":"Berger","given":"Allen N"},{"family":"Udell","given":"Gregory F"}],"issued":{"date-parts":[["1998"]]}},"locator":"660"}],"schema":"https://github.com/citation-style-language/schema/raw/master/csl-citation.json"} </w:instrText>
      </w:r>
      <w:r>
        <w:fldChar w:fldCharType="separate"/>
      </w:r>
      <w:r w:rsidRPr="00C67A8C">
        <w:rPr>
          <w:rFonts w:cs="Times New Roman"/>
        </w:rPr>
        <w:t>Berger / Udell (1998), S. 660.</w:t>
      </w:r>
      <w:r>
        <w:fldChar w:fldCharType="end"/>
      </w:r>
    </w:p>
  </w:footnote>
  <w:footnote w:id="81">
    <w:p w14:paraId="4F7029A3" w14:textId="40F903F0" w:rsidR="009053A2" w:rsidRPr="00FD5E8B" w:rsidRDefault="009053A2" w:rsidP="009053A2">
      <w:pPr>
        <w:pStyle w:val="Funotentext"/>
        <w:rPr>
          <w:lang w:val="en-US"/>
        </w:rPr>
      </w:pPr>
      <w:r>
        <w:rPr>
          <w:rStyle w:val="Funotenzeichen"/>
        </w:rPr>
        <w:footnoteRef/>
      </w:r>
      <w:r w:rsidRPr="00FD5E8B">
        <w:rPr>
          <w:lang w:val="en-US"/>
        </w:rPr>
        <w:t xml:space="preserve"> </w:t>
      </w:r>
      <w:r w:rsidR="00F70AD8" w:rsidRPr="00F70AD8">
        <w:rPr>
          <w:rFonts w:cs="Times New Roman"/>
          <w:lang w:val="en-US"/>
        </w:rPr>
        <w:t xml:space="preserve">Vgl. </w:t>
      </w:r>
      <w:r>
        <w:fldChar w:fldCharType="begin"/>
      </w:r>
      <w:r w:rsidR="00FD5E8B" w:rsidRPr="00FD5E8B">
        <w:rPr>
          <w:lang w:val="en-US"/>
        </w:rPr>
        <w:instrText xml:space="preserve"> ADDIN ZOTERO_ITEM CSL_CITATION {"citationID":"Pepfc4BQ","properties":{"formattedCitation":"Casey, E. / O\\uc0\\u8217{}Toole, C.M. (2014), S. 189 f.","plainCitation":"Casey, E. / O’Toole, C.M. (2014), S. 189 f.","noteIndex":81},"citationItems":[{"id":182,"uris":["http://zotero.org/users/7233606/items/6TMXD2VI"],"uri":["http://zotero.org/users/7233606/items/6TMXD2VI"],"itemData":{"id":182,"type":"article-journal","abstract":"Using euro area firm-level data since the recent financial crisis, we test whether bank lending constrained small- and medium-sized enterprises (SMEs) are more likely to use or apply for alternative external finance including trade credit, informal lending, loans from other companies, market financing (issued debt or equity) and state grants. Our constraint indicators identify both credit-rationed firms and firms that self-ration due to high lending costs. We find that creditrationed firms are more likely to use, and apply for, trade credit. This increases with firm size and age. We also find that constrained firms are more likely to use informal lending or loans from other companies but find no evidence that bank-constrained SMEs apply for, or use, market finance. Smaller, self-rationing borrowers are more likely to apply for grant finance. Finally, we find that firms denied credit for working capital tend to turn to trade credit, while informal and intercompany lending tends to act as a substitute for bank investment loans.","container-title":"Journal of Corporate Finance","DOI":"10.1016/j.jcorpfin.2014.05.001","ISSN":"09291199","journalAbbreviation":"Journal of Corporate Finance","language":"en","page":"173-193","source":"DOI.org (Crossref)","title":"Bank lending constraints, trade credit and alternative financing during the financial crisis: Evidence from European SMEs","title-short":"Bank lending constraints, trade credit and alternative financing during the financial crisis","volume":"27","author":[{"family":"Casey","given":"Eddie"},{"family":"O'Toole","given":"Conor M."}],"issued":{"date-parts":[["2014",8]]}},"locator":"189 f"}],"schema":"https://github.com/citation-style-language/schema/raw/master/csl-citation.json"} </w:instrText>
      </w:r>
      <w:r>
        <w:fldChar w:fldCharType="separate"/>
      </w:r>
      <w:r w:rsidRPr="00FD5E8B">
        <w:rPr>
          <w:rFonts w:cs="Times New Roman"/>
          <w:szCs w:val="24"/>
          <w:lang w:val="en-US"/>
        </w:rPr>
        <w:t>Casey / O’Toole (2014), S. 189 f.</w:t>
      </w:r>
      <w:r>
        <w:fldChar w:fldCharType="end"/>
      </w:r>
    </w:p>
  </w:footnote>
  <w:footnote w:id="82">
    <w:p w14:paraId="2EEA9F79" w14:textId="65097F16" w:rsidR="00F154B9" w:rsidRPr="00F70AD8" w:rsidRDefault="00F154B9">
      <w:pPr>
        <w:pStyle w:val="Funotentext"/>
        <w:rPr>
          <w:lang w:val="en-US"/>
        </w:rPr>
      </w:pPr>
      <w:r>
        <w:rPr>
          <w:rStyle w:val="Funotenzeichen"/>
        </w:rPr>
        <w:footnoteRef/>
      </w:r>
      <w:r w:rsidRPr="00F70AD8">
        <w:rPr>
          <w:lang w:val="en-US"/>
        </w:rPr>
        <w:t xml:space="preserve"> </w:t>
      </w:r>
      <w:r w:rsidR="00F70AD8" w:rsidRPr="00F70AD8">
        <w:rPr>
          <w:rFonts w:cs="Times New Roman"/>
          <w:lang w:val="en-US"/>
        </w:rPr>
        <w:t xml:space="preserve">Vgl. </w:t>
      </w:r>
      <w:r>
        <w:fldChar w:fldCharType="begin"/>
      </w:r>
      <w:r w:rsidR="00FD5E8B" w:rsidRPr="00F70AD8">
        <w:rPr>
          <w:lang w:val="en-US"/>
        </w:rPr>
        <w:instrText xml:space="preserve"> ADDIN ZOTERO_ITEM CSL_CITATION {"citationID":"4wZkSANo","properties":{"formattedCitation":"Block, J.H. (2012), S. 250.","plainCitation":"Block, J.H. (2012), S. 250.","noteIndex":82},"citationItems":[{"id":209,"uris":["http://zotero.org/users/7233606/items/H6ZCW7MD"],"uri":["http://zotero.org/users/7233606/items/H6ZCW7MD"],"itemData":{"id":209,"type":"article-journal","abstract":"Investments in R&amp;D can influence a firm's ability to develop new products and to create and adopt innovative technologies that may enhance productivity. However, due to uncertainty regarding the outcome, investments in R&amp;D may lead to an agency problem between the owners and the managers of a firm. Family and founder firms are often considered to be different in their agency situation than other firms, which may have an influence on R&amp;D investments. This paper analyzes R&amp;D spending in family and founder firms versus other firms. The results show that while family ownership decreases the level of R&amp;D intensity, ownership by lone founders has a positive effect not only on R&amp;D intensity but also on the level of R&amp;D productivity. The paper contributes to the understanding of the role of entrepreneurship in making high risk/high return R&amp;D decisions.","container-title":"Journal of Business Venturing","DOI":"10.1016/j.jbusvent.2010.09.003","ISSN":"08839026","issue":"2","journalAbbreviation":"Journal of Business Venturing","language":"en","page":"248-265","source":"DOI.org (Crossref)","title":"R&amp;D investments in family and founder firms: An agency perspective","title-short":"R&amp;D investments in family and founder firms","volume":"27","author":[{"family":"Block","given":"Joern H."}],"issued":{"date-parts":[["2012",3]]}},"locator":"250"}],"schema":"https://github.com/citation-style-language/schema/raw/master/csl-citation.json"} </w:instrText>
      </w:r>
      <w:r>
        <w:fldChar w:fldCharType="separate"/>
      </w:r>
      <w:r w:rsidRPr="00F70AD8">
        <w:rPr>
          <w:rFonts w:cs="Times New Roman"/>
          <w:lang w:val="en-US"/>
        </w:rPr>
        <w:t>Block (2012), S. 250.</w:t>
      </w:r>
      <w:r>
        <w:fldChar w:fldCharType="end"/>
      </w:r>
    </w:p>
  </w:footnote>
  <w:footnote w:id="83">
    <w:p w14:paraId="0D48204F" w14:textId="6242DA2B" w:rsidR="00AF4963" w:rsidRPr="00E152C3" w:rsidRDefault="00AF4963">
      <w:pPr>
        <w:pStyle w:val="Funotentext"/>
        <w:rPr>
          <w:lang w:val="en-US"/>
        </w:rPr>
      </w:pPr>
      <w:r>
        <w:rPr>
          <w:rStyle w:val="Funotenzeichen"/>
        </w:rPr>
        <w:footnoteRef/>
      </w:r>
      <w:r w:rsidRPr="00F70AD8">
        <w:rPr>
          <w:lang w:val="en-US"/>
        </w:rPr>
        <w:t xml:space="preserve"> </w:t>
      </w:r>
      <w:r w:rsidR="00F70AD8" w:rsidRPr="00F70AD8">
        <w:rPr>
          <w:rFonts w:cs="Times New Roman"/>
          <w:lang w:val="en-US"/>
        </w:rPr>
        <w:t xml:space="preserve">Vgl. </w:t>
      </w:r>
      <w:r>
        <w:fldChar w:fldCharType="begin"/>
      </w:r>
      <w:r w:rsidR="00FD5E8B" w:rsidRPr="00F70AD8">
        <w:rPr>
          <w:lang w:val="en-US"/>
        </w:rPr>
        <w:instrText xml:space="preserve"> ADDIN ZOTERO_ITEM CSL_CITATION {"citationID":"jspxdEtI","properties":{"formattedCitation":"Bradley, M. et al. (1984), S. 874; Degryse, H. et al. (2012), S. 441.","plainCitation":"Bradley, M. et al. (1984), S. 874; Degryse, H. et al. (2012), S. 441.","noteIndex":83},"citationItems":[{"id":213,"uris":["http://zotero.org/users/7233606/items/575TIKKI"],"uri":["http://zotero.org/users/7233606/items/575TIKKI"],"itemData":{"id":213,"type":"article-journal","container-title":"The Journal of Finance","issue":"2","language":"en","page":"857-878","source":"Zotero","title":"On the Existence of an Optimal Capital Structure: Theory and Evidence","volume":"39","author":[{"family":"Bradley","given":"Michael"},{"family":"Jarrell","given":"Gregg A"},{"family":"Kim","given":"E Han"}],"issued":{"date-parts":[["1984"]]}},"locator":"874"},{"id":212,"uris":["http://zotero.org/users/7233606/items/26P4WLDA"],"uri":["http://zotero.org/users/7233606/items/26P4WLDA"],"itemData":{"id":212,"type":"article-journal","container-title":"Small Business Economics","DOI":"10.1007/s11187-010-9281-8","ISSN":"0921-898X, 1573-0913","issue":"4","journalAbbreviation":"Small Bus Econ","language":"en","page":"431-447","source":"DOI.org (Crossref)","title":"The impact of firm and industry characteristics on small firms’ capital structure","volume":"38","author":[{"family":"Degryse","given":"Hans"},{"family":"Goeij","given":"Peter","non-dropping-particle":"de"},{"family":"Kappert","given":"Peter"}],"issued":{"date-parts":[["2012",5]]}},"locator":"441"}],"schema":"https://github.com/citation-style-language/schema/raw/master/csl-citation.json"} </w:instrText>
      </w:r>
      <w:r>
        <w:fldChar w:fldCharType="separate"/>
      </w:r>
      <w:r w:rsidR="004018F7" w:rsidRPr="00F70AD8">
        <w:rPr>
          <w:rFonts w:cs="Times New Roman"/>
          <w:lang w:val="en-US"/>
        </w:rPr>
        <w:t>Bradley</w:t>
      </w:r>
      <w:r w:rsidR="00F70AD8">
        <w:rPr>
          <w:rFonts w:cs="Times New Roman"/>
          <w:lang w:val="en-US"/>
        </w:rPr>
        <w:t xml:space="preserve"> et</w:t>
      </w:r>
      <w:r w:rsidR="004018F7" w:rsidRPr="00F70AD8">
        <w:rPr>
          <w:rFonts w:cs="Times New Roman"/>
          <w:lang w:val="en-US"/>
        </w:rPr>
        <w:t xml:space="preserve"> al. </w:t>
      </w:r>
      <w:r w:rsidR="004018F7" w:rsidRPr="00E152C3">
        <w:rPr>
          <w:rFonts w:cs="Times New Roman"/>
          <w:lang w:val="en-US"/>
        </w:rPr>
        <w:t xml:space="preserve">(1984), S. 874; </w:t>
      </w:r>
      <w:r w:rsidR="00F70AD8" w:rsidRPr="00E152C3">
        <w:rPr>
          <w:rFonts w:cs="Times New Roman"/>
          <w:lang w:val="en-US"/>
        </w:rPr>
        <w:t xml:space="preserve">vgl. </w:t>
      </w:r>
      <w:r w:rsidR="004018F7" w:rsidRPr="00E152C3">
        <w:rPr>
          <w:rFonts w:cs="Times New Roman"/>
          <w:lang w:val="en-US"/>
        </w:rPr>
        <w:t>Degryse et al. (2012), S. 441.</w:t>
      </w:r>
      <w:r>
        <w:fldChar w:fldCharType="end"/>
      </w:r>
    </w:p>
  </w:footnote>
  <w:footnote w:id="84">
    <w:p w14:paraId="173454AB" w14:textId="729C2711" w:rsidR="009468C8" w:rsidRPr="00E152C3" w:rsidRDefault="009468C8" w:rsidP="009468C8">
      <w:pPr>
        <w:pStyle w:val="Funotentext"/>
        <w:rPr>
          <w:lang w:val="en-US"/>
        </w:rPr>
      </w:pPr>
      <w:r>
        <w:rPr>
          <w:rStyle w:val="Funotenzeichen"/>
        </w:rPr>
        <w:footnoteRef/>
      </w:r>
      <w:r w:rsidRPr="00F70AD8">
        <w:rPr>
          <w:lang w:val="en-US"/>
        </w:rPr>
        <w:t xml:space="preserve"> </w:t>
      </w:r>
      <w:r w:rsidR="00F70AD8" w:rsidRPr="00F70AD8">
        <w:rPr>
          <w:rFonts w:cs="Times New Roman"/>
          <w:lang w:val="en-US"/>
        </w:rPr>
        <w:t xml:space="preserve">Vgl. </w:t>
      </w:r>
      <w:r>
        <w:fldChar w:fldCharType="begin"/>
      </w:r>
      <w:r w:rsidR="00FD5E8B" w:rsidRPr="00F70AD8">
        <w:rPr>
          <w:lang w:val="en-US"/>
        </w:rPr>
        <w:instrText xml:space="preserve"> ADDIN ZOTERO_ITEM CSL_CITATION {"citationID":"shXRCSsH","properties":{"formattedCitation":"Lawless, M. et al. (2015), S. 2395.","plainCitation":"Lawless, M. et al. (2015), S. 2395.","noteIndex":84},"citationItems":[{"id":177,"uris":["http://zotero.org/users/7233606/items/4ADXSXD3"],"uri":["http://zotero.org/users/7233606/items/4ADXSXD3"],"itemData":{"id":177,"type":"article-journal","container-title":"Applied Economics","DOI":"10.1080/00036846.2015.1005829","ISSN":"0003-6846, 1466-4283","issue":"23","journalAbbreviation":"Applied Economics","language":"en","page":"2379-2398","source":"DOI.org (Crossref)","title":"Financial structure and diversification of European firms","volume":"47","author":[{"family":"Lawless","given":"Martina"},{"family":"O’Connell","given":"Brian"},{"family":"O’Toole","given":"Conor"}],"issued":{"date-parts":[["2015",5,15]]}},"locator":"2395"}],"schema":"https://github.com/citation-style-language/schema/raw/master/csl-citation.json"} </w:instrText>
      </w:r>
      <w:r>
        <w:fldChar w:fldCharType="separate"/>
      </w:r>
      <w:r w:rsidRPr="00F70AD8">
        <w:rPr>
          <w:rFonts w:cs="Times New Roman"/>
          <w:lang w:val="en-US"/>
        </w:rPr>
        <w:t xml:space="preserve">Lawless et al. </w:t>
      </w:r>
      <w:r w:rsidRPr="00E152C3">
        <w:rPr>
          <w:rFonts w:cs="Times New Roman"/>
          <w:lang w:val="en-US"/>
        </w:rPr>
        <w:t>(2015), S. 2395.</w:t>
      </w:r>
      <w:r>
        <w:fldChar w:fldCharType="end"/>
      </w:r>
    </w:p>
  </w:footnote>
  <w:footnote w:id="85">
    <w:p w14:paraId="3ECA6680" w14:textId="53FEE352" w:rsidR="0017261E" w:rsidRPr="001C4043" w:rsidRDefault="0017261E">
      <w:pPr>
        <w:pStyle w:val="Funotentext"/>
      </w:pPr>
      <w:r>
        <w:rPr>
          <w:rStyle w:val="Funotenzeichen"/>
        </w:rPr>
        <w:footnoteRef/>
      </w:r>
      <w:r w:rsidRPr="001C4043">
        <w:t xml:space="preserve"> Vgl. Abschnitt </w:t>
      </w:r>
      <w:r w:rsidR="002E3109" w:rsidRPr="001C4043">
        <w:t>3.1</w:t>
      </w:r>
      <w:r w:rsidR="00E152C3" w:rsidRPr="001C4043">
        <w:t>.3</w:t>
      </w:r>
    </w:p>
  </w:footnote>
  <w:footnote w:id="86">
    <w:p w14:paraId="1ABAB9A5" w14:textId="2F9B5742" w:rsidR="00F47FCE" w:rsidRDefault="00F47FCE">
      <w:pPr>
        <w:pStyle w:val="Funotentext"/>
      </w:pPr>
      <w:r>
        <w:rPr>
          <w:rStyle w:val="Funotenzeichen"/>
        </w:rPr>
        <w:footnoteRef/>
      </w:r>
      <w:r>
        <w:t xml:space="preserve"> Die Implikationen dieser Unterteilung werden bei der Interpretation der Ergebnisse </w:t>
      </w:r>
      <w:r w:rsidR="001C4043">
        <w:t xml:space="preserve">in </w:t>
      </w:r>
      <w:r>
        <w:t>Abschnitt 6.1 näher erläutert.</w:t>
      </w:r>
    </w:p>
  </w:footnote>
  <w:footnote w:id="87">
    <w:p w14:paraId="5E5FFE99" w14:textId="50504558" w:rsidR="006B0B27" w:rsidRDefault="006B0B27">
      <w:pPr>
        <w:pStyle w:val="Funotentext"/>
      </w:pPr>
      <w:r>
        <w:rPr>
          <w:rStyle w:val="Funotenzeichen"/>
        </w:rPr>
        <w:footnoteRef/>
      </w:r>
      <w:r>
        <w:t xml:space="preserve"> </w:t>
      </w:r>
      <w:r w:rsidR="00F618F7" w:rsidRPr="0060363F">
        <w:rPr>
          <w:rFonts w:cs="Times New Roman"/>
        </w:rPr>
        <w:t xml:space="preserve">Vgl. </w:t>
      </w:r>
      <w:r>
        <w:fldChar w:fldCharType="begin"/>
      </w:r>
      <w:r w:rsidR="00FD5E8B">
        <w:instrText xml:space="preserve"> ADDIN ZOTERO_ITEM CSL_CITATION {"citationID":"tSnNKr8Z","properties":{"formattedCitation":"Daskalakis, N. et al. (2013), S. 97; Holton, S. et al. (2014), S. 207.","plainCitation":"Daskalakis, N. et al. (2013), S. 97; Holton, S. et al. (2014), S. 207.","noteIndex":87},"citationItems":[{"id":180,"uris":["http://zotero.org/users/7233606/items/CPWQEIVL"],"uri":["http://zotero.org/users/7233606/items/CPWQEIVL"],"itemData":{"id":180,"type":"article-journal","abstract":"Purpose – The aims of the paper are three-fold: ﬁrst, to analyse how small and micro ﬁrms ﬁnance themselves; second, to investigate what their ﬁnancing preferences are; and third, to explore their opinions on how they evaluate the ﬁnancing sources and the various obstacles they face in accessing those sources.","container-title":"Journal of Small Business and Enterprise Development","DOI":"10.1108/14626001311298420","ISSN":"1462-6004","issue":"1","journalAbbreviation":"Jrnl of Small Bus Ente Dev","language":"en","page":"80-101","source":"DOI.org (Crossref)","title":"Financing practices and preferences for micro and small firms","volume":"20","author":[{"family":"Daskalakis","given":"Nikolaos"},{"family":"Jarvis","given":"Robin"},{"family":"Schizas","given":"Emmanouil"}],"issued":{"date-parts":[["2013",2,15]]}},"locator":"97"},{"id":184,"uris":["http://zotero.org/users/7233606/items/PBHUNJXQ"],"uri":["http://zotero.org/users/7233606/items/PBHUNJXQ"],"itemData":{"id":184,"type":"article-journal","container-title":"Applied Economics","DOI":"10.1080/00036846.2013.824547","ISSN":"0003-6846, 1466-4283","issue":"2","journalAbbreviation":"Applied Economics","language":"en","page":"190-211","source":"DOI.org (Crossref)","title":"Firm credit in the euro area: a tale of three crises","title-short":"Firm credit in the euro area","volume":"46","author":[{"family":"Holton","given":"Sarah"},{"family":"Lawless","given":"Martina"},{"family":"McCann","given":"Fergal"}],"issued":{"date-parts":[["2014",1,12]]}},"locator":"207"}],"schema":"https://github.com/citation-style-language/schema/raw/master/csl-citation.json"} </w:instrText>
      </w:r>
      <w:r>
        <w:fldChar w:fldCharType="separate"/>
      </w:r>
      <w:r w:rsidRPr="006B0B27">
        <w:rPr>
          <w:rFonts w:cs="Times New Roman"/>
        </w:rPr>
        <w:t>Daskalakis et al. (2013), S. 97;</w:t>
      </w:r>
      <w:r w:rsidR="00F618F7">
        <w:rPr>
          <w:rFonts w:cs="Times New Roman"/>
        </w:rPr>
        <w:t xml:space="preserve"> vgl.</w:t>
      </w:r>
      <w:r w:rsidRPr="006B0B27">
        <w:rPr>
          <w:rFonts w:cs="Times New Roman"/>
        </w:rPr>
        <w:t xml:space="preserve"> Holton et al. (2014), S. 207.</w:t>
      </w:r>
      <w:r>
        <w:fldChar w:fldCharType="end"/>
      </w:r>
    </w:p>
  </w:footnote>
  <w:footnote w:id="88">
    <w:p w14:paraId="251C39A0" w14:textId="58055478" w:rsidR="00C44304" w:rsidRDefault="00C44304">
      <w:pPr>
        <w:pStyle w:val="Funotentext"/>
      </w:pPr>
      <w:r>
        <w:rPr>
          <w:rStyle w:val="Funotenzeichen"/>
        </w:rPr>
        <w:footnoteRef/>
      </w:r>
      <w:r>
        <w:t xml:space="preserve"> </w:t>
      </w:r>
      <w:r w:rsidR="00F618F7" w:rsidRPr="0060363F">
        <w:rPr>
          <w:rFonts w:cs="Times New Roman"/>
        </w:rPr>
        <w:t xml:space="preserve">Vgl. </w:t>
      </w:r>
      <w:r>
        <w:fldChar w:fldCharType="begin"/>
      </w:r>
      <w:r w:rsidR="00FD5E8B">
        <w:instrText xml:space="preserve"> ADDIN ZOTERO_ITEM CSL_CITATION {"citationID":"BGkM9L7S","properties":{"formattedCitation":"Baas, T. / Schrooten, M. (2006), S. 135; Berger, A.N. / Udell, G.F. (1998), S. 616 ff; Daskalakis, N. et al. (2013), S. 84.","plainCitation":"Baas, T. / Schrooten, M. (2006), S. 135; Berger, A.N. / Udell, G.F. (1998), S. 616 ff; Daskalakis, N. et al. (2013), S. 84.","noteIndex":88},"citationItems":[{"id":187,"uris":["http://zotero.org/users/7233606/items/N6GAK8HK"],"uri":["http://zotero.org/users/7233606/items/N6GAK8HK"],"itemData":{"id":187,"type":"article-journal","abstract":"[Reliable information on small-and mediumsized enterprises (SMEs) is rare and costly for financial intermediaries. Therefore relationship banking is often considered as the appropriate lending technique. In this paper we offer a theoretical model to analyze relationship banking and the pricing behavior of banks in a Bertrand competition framework with monitoring costs. We show that the lack of reliable information leads to comparable high interest rates even if a long-term relationship between borrower and bank exists. The paper offers a theoretical explanation why SMEs often are faced with borrowing constraints.]","archive":"JSTOR","container-title":"Small Business Economics","ISSN":"0921898X, 15730913","issue":"2","note":"publisher: Springer","page":"127-137","title":"Relationship Banking and SMEs: A Theoretical Analysis","volume":"27","author":[{"family":"Baas","given":"Timo"},{"family":"Schrooten","given":"Mechthild"}],"issued":{"date-parts":[["2006"]]}},"locator":"135"},{"id":171,"uris":["http://zotero.org/users/7233606/items/SQZPTERB"],"uri":["http://zotero.org/users/7233606/items/SQZPTERB"],"itemData":{"id":171,"type":"article-journal","abstract":"This article examines the economics of financing small business in private equity and debt markets. Firms are viewed through a financial growth cycle paradigm in which different capital structures are optimal at different points in the cycle. We show the sources of small business finance, and how capital structure varies with firm size and age. The interconnectedness of small firm finance is discussed along with the impact of the macroeconomic environment. We also analyze a number of research and policy issues, review the literature, and suggest topics for future research.","container-title":"Journal of banking &amp; finance","DOI":"10.1016/S0378-4266(98)00038-7","ISSN":"0378-4266","issue":"6","language":"eng","note":"publisher: Elsevier B.V","page":"613-673","title":"The economics of small business finance: The roles of private equity and debt markets in the financial growth cycle","volume":"22","author":[{"family":"Berger","given":"Allen N"},{"family":"Udell","given":"Gregory F"}],"issued":{"date-parts":[["1998"]]}},"locator":"616 ff"},{"id":180,"uris":["http://zotero.org/users/7233606/items/CPWQEIVL"],"uri":["http://zotero.org/users/7233606/items/CPWQEIVL"],"itemData":{"id":180,"type":"article-journal","abstract":"Purpose – The aims of the paper are three-fold: ﬁrst, to analyse how small and micro ﬁrms ﬁnance themselves; second, to investigate what their ﬁnancing preferences are; and third, to explore their opinions on how they evaluate the ﬁnancing sources and the various obstacles they face in accessing those sources.","container-title":"Journal of Small Business and Enterprise Development","DOI":"10.1108/14626001311298420","ISSN":"1462-6004","issue":"1","journalAbbreviation":"Jrnl of Small Bus Ente Dev","language":"en","page":"80-101","source":"DOI.org (Crossref)","title":"Financing practices and preferences for micro and small firms","volume":"20","author":[{"family":"Daskalakis","given":"Nikolaos"},{"family":"Jarvis","given":"Robin"},{"family":"Schizas","given":"Emmanouil"}],"issued":{"date-parts":[["2013",2,15]]}},"locator":"84"}],"schema":"https://github.com/citation-style-language/schema/raw/master/csl-citation.json"} </w:instrText>
      </w:r>
      <w:r>
        <w:fldChar w:fldCharType="separate"/>
      </w:r>
      <w:r w:rsidR="00AF6447" w:rsidRPr="00AF6447">
        <w:rPr>
          <w:rFonts w:cs="Times New Roman"/>
        </w:rPr>
        <w:t xml:space="preserve">Baas / Schrooten (2006), S. 135; </w:t>
      </w:r>
      <w:r w:rsidR="00F618F7">
        <w:rPr>
          <w:rFonts w:cs="Times New Roman"/>
        </w:rPr>
        <w:t xml:space="preserve">vgl. </w:t>
      </w:r>
      <w:r w:rsidR="00AF6447" w:rsidRPr="00AF6447">
        <w:rPr>
          <w:rFonts w:cs="Times New Roman"/>
        </w:rPr>
        <w:t>Berger / Udell (1998), S. 616 ff;</w:t>
      </w:r>
      <w:r w:rsidR="00F618F7" w:rsidRPr="00F618F7">
        <w:rPr>
          <w:rFonts w:cs="Times New Roman"/>
        </w:rPr>
        <w:t xml:space="preserve"> </w:t>
      </w:r>
      <w:r w:rsidR="00F618F7">
        <w:rPr>
          <w:rFonts w:cs="Times New Roman"/>
        </w:rPr>
        <w:t>vgl.</w:t>
      </w:r>
      <w:r w:rsidR="00AF6447" w:rsidRPr="00AF6447">
        <w:rPr>
          <w:rFonts w:cs="Times New Roman"/>
        </w:rPr>
        <w:t xml:space="preserve"> Daskalakis et al. (2013), S. 84.</w:t>
      </w:r>
      <w:r>
        <w:fldChar w:fldCharType="end"/>
      </w:r>
    </w:p>
  </w:footnote>
  <w:footnote w:id="89">
    <w:p w14:paraId="03BFE30B" w14:textId="2758D871" w:rsidR="00CA10CE" w:rsidRDefault="00CA10CE">
      <w:pPr>
        <w:pStyle w:val="Funotentext"/>
      </w:pPr>
      <w:r>
        <w:rPr>
          <w:rStyle w:val="Funotenzeichen"/>
        </w:rPr>
        <w:footnoteRef/>
      </w:r>
      <w:r>
        <w:t xml:space="preserve"> </w:t>
      </w:r>
      <w:r w:rsidR="00F618F7" w:rsidRPr="0060363F">
        <w:rPr>
          <w:rFonts w:cs="Times New Roman"/>
        </w:rPr>
        <w:t xml:space="preserve">Vgl. </w:t>
      </w:r>
      <w:r>
        <w:fldChar w:fldCharType="begin"/>
      </w:r>
      <w:r w:rsidR="00FD5E8B">
        <w:instrText xml:space="preserve"> ADDIN ZOTERO_ITEM CSL_CITATION {"citationID":"9GtsRAE5","properties":{"formattedCitation":"Baas, T. / Schrooten, M. (2006), S. 128 ff.","plainCitation":"Baas, T. / Schrooten, M. (2006), S. 128 ff.","noteIndex":89},"citationItems":[{"id":187,"uris":["http://zotero.org/users/7233606/items/N6GAK8HK"],"uri":["http://zotero.org/users/7233606/items/N6GAK8HK"],"itemData":{"id":187,"type":"article-journal","abstract":"[Reliable information on small-and mediumsized enterprises (SMEs) is rare and costly for financial intermediaries. Therefore relationship banking is often considered as the appropriate lending technique. In this paper we offer a theoretical model to analyze relationship banking and the pricing behavior of banks in a Bertrand competition framework with monitoring costs. We show that the lack of reliable information leads to comparable high interest rates even if a long-term relationship between borrower and bank exists. The paper offers a theoretical explanation why SMEs often are faced with borrowing constraints.]","archive":"JSTOR","container-title":"Small Business Economics","ISSN":"0921898X, 15730913","issue":"2","note":"publisher: Springer","page":"127-137","title":"Relationship Banking and SMEs: A Theoretical Analysis","volume":"27","author":[{"family":"Baas","given":"Timo"},{"family":"Schrooten","given":"Mechthild"}],"issued":{"date-parts":[["2006"]]}},"locator":"128 ff"}],"schema":"https://github.com/citation-style-language/schema/raw/master/csl-citation.json"} </w:instrText>
      </w:r>
      <w:r>
        <w:fldChar w:fldCharType="separate"/>
      </w:r>
      <w:r w:rsidRPr="00CA10CE">
        <w:rPr>
          <w:rFonts w:cs="Times New Roman"/>
        </w:rPr>
        <w:t>Baas / Schrooten (2006), S. 128 ff.</w:t>
      </w:r>
      <w:r>
        <w:fldChar w:fldCharType="end"/>
      </w:r>
    </w:p>
  </w:footnote>
  <w:footnote w:id="90">
    <w:p w14:paraId="30618778" w14:textId="294BF9BC" w:rsidR="00BD2AD9" w:rsidRPr="00BD2AD9" w:rsidRDefault="00BD2AD9">
      <w:pPr>
        <w:pStyle w:val="Funotentext"/>
      </w:pPr>
      <w:r>
        <w:rPr>
          <w:rStyle w:val="Funotenzeichen"/>
        </w:rPr>
        <w:footnoteRef/>
      </w:r>
      <w:r w:rsidRPr="00BD2AD9">
        <w:t xml:space="preserve"> </w:t>
      </w:r>
      <w:r w:rsidR="00F618F7" w:rsidRPr="0060363F">
        <w:rPr>
          <w:rFonts w:cs="Times New Roman"/>
        </w:rPr>
        <w:t xml:space="preserve">Vgl. </w:t>
      </w:r>
      <w:r>
        <w:fldChar w:fldCharType="begin"/>
      </w:r>
      <w:r w:rsidR="00FD5E8B">
        <w:instrText xml:space="preserve"> ADDIN ZOTERO_ITEM CSL_CITATION {"citationID":"7t4OrUEv","properties":{"formattedCitation":"Holton, S. et al. (2014), S. 200 f.","plainCitation":"Holton, S. et al. (2014), S. 200 f.","noteIndex":90},"citationItems":[{"id":184,"uris":["http://zotero.org/users/7233606/items/PBHUNJXQ"],"uri":["http://zotero.org/users/7233606/items/PBHUNJXQ"],"itemData":{"id":184,"type":"article-journal","container-title":"Applied Economics","DOI":"10.1080/00036846.2013.824547","ISSN":"0003-6846, 1466-4283","issue":"2","journalAbbreviation":"Applied Economics","language":"en","page":"190-211","source":"DOI.org (Crossref)","title":"Firm credit in the euro area: a tale of three crises","title-short":"Firm credit in the euro area","volume":"46","author":[{"family":"Holton","given":"Sarah"},{"family":"Lawless","given":"Martina"},{"family":"McCann","given":"Fergal"}],"issued":{"date-parts":[["2014",1,12]]}},"locator":"200 f"}],"schema":"https://github.com/citation-style-language/schema/raw/master/csl-citation.json"} </w:instrText>
      </w:r>
      <w:r>
        <w:fldChar w:fldCharType="separate"/>
      </w:r>
      <w:r w:rsidRPr="00BD2AD9">
        <w:rPr>
          <w:rFonts w:cs="Times New Roman"/>
        </w:rPr>
        <w:t>Holton et al. (2014), S. 200 f.</w:t>
      </w:r>
      <w:r>
        <w:fldChar w:fldCharType="end"/>
      </w:r>
    </w:p>
  </w:footnote>
  <w:footnote w:id="91">
    <w:p w14:paraId="663D7842" w14:textId="4B3CE4A4" w:rsidR="00442050" w:rsidRPr="005C2F24" w:rsidRDefault="00442050">
      <w:pPr>
        <w:pStyle w:val="Funotentext"/>
      </w:pPr>
      <w:r>
        <w:rPr>
          <w:rStyle w:val="Funotenzeichen"/>
        </w:rPr>
        <w:footnoteRef/>
      </w:r>
      <w:r w:rsidRPr="005C2F24">
        <w:t xml:space="preserve"> </w:t>
      </w:r>
      <w:r w:rsidR="00F618F7" w:rsidRPr="0060363F">
        <w:rPr>
          <w:rFonts w:cs="Times New Roman"/>
        </w:rPr>
        <w:t xml:space="preserve">Vgl. </w:t>
      </w:r>
      <w:r>
        <w:fldChar w:fldCharType="begin"/>
      </w:r>
      <w:r w:rsidR="00FD5E8B">
        <w:instrText xml:space="preserve"> ADDIN ZOTERO_ITEM CSL_CITATION {"citationID":"NV1bWCYw","properties":{"formattedCitation":"Hall, G. et al. (2000), S. 301.","plainCitation":"Hall, G. et al. (2000), S. 301.","noteIndex":91},"citationItems":[{"id":193,"uris":["http://zotero.org/users/7233606/items/ZUVDYG9D"],"uri":["http://zotero.org/users/7233606/items/ZUVDYG9D"],"itemData":{"id":193,"type":"article-journal","abstract":"This paper reports a study of 3500 unquoted, UK small and medium sized enterprises (SMEs). The objectives of the research were to test various hypotheses concerning the determinants of SME capital structure and to establish whether and how the relationship of these determinants to long- and short-term debt varied between industries. Long-term debt was found to be related positively to asset structure and company size and negatively to age; short-term debt was related negatively to profitability, asset structure, size and age and positively to growth. Significant variation across industries was found in most of the explanatory variables. The effect of growth on short-term debt, however, was consistent across industries whilst profitability had no effect on long-term borrowing in any industr y.","container-title":"International Journal of the Economics of Business","DOI":"10.1080/13571510050197203","ISSN":"1357-1516, 1466-1829","issue":"3","journalAbbreviation":"International Journal of the Economics of Business","language":"en","page":"297-312","source":"DOI.org (Crossref)","title":"Industry Effects on the Determinants of Unquoted SMEs' Capital Structure","volume":"7","author":[{"family":"Hall","given":"Graham"},{"family":"Hutchinson","given":"Patrick"},{"family":"Michaelas","given":"Nicos"}],"issued":{"date-parts":[["2000",11]]}},"locator":"301"}],"schema":"https://github.com/citation-style-language/schema/raw/master/csl-citation.json"} </w:instrText>
      </w:r>
      <w:r>
        <w:fldChar w:fldCharType="separate"/>
      </w:r>
      <w:r w:rsidRPr="005C2F24">
        <w:rPr>
          <w:rFonts w:cs="Times New Roman"/>
        </w:rPr>
        <w:t>Hall et al. (2000), S. 301.</w:t>
      </w:r>
      <w:r>
        <w:fldChar w:fldCharType="end"/>
      </w:r>
    </w:p>
  </w:footnote>
  <w:footnote w:id="92">
    <w:p w14:paraId="50B8AEC3" w14:textId="6B77690D" w:rsidR="0031781D" w:rsidRPr="005C2F24" w:rsidRDefault="0031781D">
      <w:pPr>
        <w:pStyle w:val="Funotentext"/>
      </w:pPr>
      <w:r>
        <w:rPr>
          <w:rStyle w:val="Funotenzeichen"/>
        </w:rPr>
        <w:footnoteRef/>
      </w:r>
      <w:r w:rsidRPr="005C2F24">
        <w:t xml:space="preserve"> </w:t>
      </w:r>
      <w:r w:rsidR="00F618F7" w:rsidRPr="0060363F">
        <w:rPr>
          <w:rFonts w:cs="Times New Roman"/>
        </w:rPr>
        <w:t xml:space="preserve">Vgl. </w:t>
      </w:r>
      <w:r>
        <w:fldChar w:fldCharType="begin"/>
      </w:r>
      <w:r w:rsidR="00FD5E8B">
        <w:instrText xml:space="preserve"> ADDIN ZOTERO_ITEM CSL_CITATION {"citationID":"cca5O9As","properties":{"formattedCitation":"Manove, M. et al. (2001), S. 728.","plainCitation":"Manove, M. et al. (2001), S. 728.","noteIndex":92},"citationItems":[{"id":189,"uris":["http://zotero.org/users/7233606/items/Y2ZTPBBW"],"uri":["http://zotero.org/users/7233606/items/Y2ZTPBBW"],"itemData":{"id":189,"type":"article-journal","container-title":"The RAND Journal of Economics","DOI":"10.2307/2696390","ISSN":"07416261","issue":"4","journalAbbreviation":"The RAND Journal of Economics","language":"en","page":"726","source":"DOI.org (Crossref)","title":"Collateral versus Project Screening: A Model of Lazy Banks","title-short":"Collateral versus Project Screening","volume":"32","author":[{"family":"Manove","given":"Michael"},{"family":"Padilla","given":"A. Jorge"},{"family":"Pagano","given":"Marco"}],"issued":{"date-parts":[["2001"]]}},"locator":"728"}],"schema":"https://github.com/citation-style-language/schema/raw/master/csl-citation.json"} </w:instrText>
      </w:r>
      <w:r>
        <w:fldChar w:fldCharType="separate"/>
      </w:r>
      <w:r w:rsidRPr="005C2F24">
        <w:rPr>
          <w:rFonts w:cs="Times New Roman"/>
        </w:rPr>
        <w:t>Manove et al. (2001), S. 728.</w:t>
      </w:r>
      <w:r>
        <w:fldChar w:fldCharType="end"/>
      </w:r>
    </w:p>
  </w:footnote>
  <w:footnote w:id="93">
    <w:p w14:paraId="46B8C224" w14:textId="07884E84" w:rsidR="00041A49" w:rsidRPr="005C2F24" w:rsidRDefault="00041A49">
      <w:pPr>
        <w:pStyle w:val="Funotentext"/>
      </w:pPr>
      <w:r>
        <w:rPr>
          <w:rStyle w:val="Funotenzeichen"/>
        </w:rPr>
        <w:footnoteRef/>
      </w:r>
      <w:r w:rsidRPr="003E232A">
        <w:t xml:space="preserve"> </w:t>
      </w:r>
      <w:r w:rsidR="00F618F7" w:rsidRPr="003E232A">
        <w:rPr>
          <w:rFonts w:cs="Times New Roman"/>
        </w:rPr>
        <w:t xml:space="preserve">Vgl. </w:t>
      </w:r>
      <w:r>
        <w:fldChar w:fldCharType="begin"/>
      </w:r>
      <w:r w:rsidR="00FD5E8B" w:rsidRPr="003E232A">
        <w:instrText xml:space="preserve"> ADDIN ZOTERO_ITEM CSL_CITATION {"citationID":"z33dCeVA","properties":{"formattedCitation":"Lawless, M. et al. (2015), S. 2381.","plainCitation":"Lawless, M. et al. (2015), S. 2381.","noteIndex":93},"citationItems":[{"id":177,"uris":["http://zotero.org/users/7233606/items/4ADXSXD3"],"uri":["http://zotero.org/users/7233606/items/4ADXSXD3"],"itemData":{"id":177,"type":"article-journal","container-title":"Applied Economics","DOI":"10.1080/00036846.2015.1005829","ISSN":"0003-6846, 1466-4283","issue":"23","journalAbbreviation":"Applied Economics","language":"en","page":"2379-2398","source":"DOI.org (Crossref)","title":"Financial structure and diversification of European firms","volume":"47","author":[{"family":"Lawless","given":"Martina"},{"family":"O’Connell","given":"Brian"},{"family":"O’Toole","given":"Conor"}],"issued":{"date-parts":[["2015",5,15]]}},"locator":"2381"}],"schema":"https://github.com/citation-style-language/schema/raw/master/csl-citation.json"} </w:instrText>
      </w:r>
      <w:r>
        <w:fldChar w:fldCharType="separate"/>
      </w:r>
      <w:r w:rsidRPr="003E232A">
        <w:rPr>
          <w:rFonts w:cs="Times New Roman"/>
        </w:rPr>
        <w:t xml:space="preserve">Lawless et al. </w:t>
      </w:r>
      <w:r w:rsidRPr="005C2F24">
        <w:rPr>
          <w:rFonts w:cs="Times New Roman"/>
        </w:rPr>
        <w:t>(2015), S. 2381.</w:t>
      </w:r>
      <w:r>
        <w:fldChar w:fldCharType="end"/>
      </w:r>
    </w:p>
  </w:footnote>
  <w:footnote w:id="94">
    <w:p w14:paraId="05718B81" w14:textId="776392C7" w:rsidR="00F86AD2" w:rsidRPr="005C2F24" w:rsidRDefault="00F86AD2">
      <w:pPr>
        <w:pStyle w:val="Funotentext"/>
      </w:pPr>
      <w:r>
        <w:rPr>
          <w:rStyle w:val="Funotenzeichen"/>
        </w:rPr>
        <w:footnoteRef/>
      </w:r>
      <w:r w:rsidRPr="005C2F24">
        <w:t xml:space="preserve"> </w:t>
      </w:r>
      <w:r w:rsidR="00F618F7" w:rsidRPr="0060363F">
        <w:rPr>
          <w:rFonts w:cs="Times New Roman"/>
        </w:rPr>
        <w:t xml:space="preserve">Vgl. </w:t>
      </w:r>
      <w:r>
        <w:fldChar w:fldCharType="begin"/>
      </w:r>
      <w:r w:rsidR="00FD5E8B">
        <w:instrText xml:space="preserve"> ADDIN ZOTERO_ITEM CSL_CITATION {"citationID":"XbkIp2zx","properties":{"formattedCitation":"Hutchinson, R.W. (1995), S. 237; Moritz, A. et al. (2016), S. 127.","plainCitation":"Hutchinson, R.W. (1995), S. 237; Moritz, A. et al. (2016), S. 127.","noteIndex":94},"citationItems":[{"id":194,"uris":["http://zotero.org/users/7233606/items/UKP445T3"],"uri":["http://zotero.org/users/7233606/items/UKP445T3"],"itemData":{"id":194,"type":"article-journal","abstract":"In the burgeoning literature on small firm financing, the problem of underidentification in respect to the supply of, and demand for, capital has not been fully resolved. In an attempt to progress this issue, the current paper looks at some of the issues influencing the demand for finance in small firms which are owner-managed. The paper is primarily exploratory in nature and argues that a greater emphasis might usefully be placed on the cost of capital dimension in future research into small business financing. In particular, it is suggested that where the objective of an owner-manager is to maintain control of the firm, interdependent investment and financing strategies may be chosen to control the small firms cost of capital. This in turn indicates that the tendency for some small firms to invest sub-optimally and exhibit slower than average growth may not be primarily determined by limitations on their supplies of finance. On the demand side, it may well be that in addition to equity aversion, a suboptimal capital structure decision is made in the form of a reduced demand for debt. In other words, given the level of equity that an owner-manager chooses, debt may not be fully expanded to the capacity limit consistent with value maximisation.","container-title":"Small Business Economics","DOI":"10.1007/BF01135368","ISSN":"1573-0913","issue":"3","journalAbbreviation":"Small Business Economics","page":"231-239","title":"The capital structure and investment decisions of the small owner-managed firm: Some exploratory issues","volume":"7","author":[{"family":"Hutchinson","given":"Robert W."}],"issued":{"date-parts":[["1995",6,1]]}},"locator":"237"},{"id":68,"uris":["http://zotero.org/users/7233606/items/37357BSK"],"uri":["http://zotero.org/users/7233606/items/37357BSK"],"itemData":{"id":68,"type":"article-journal","abstract":"This paper develops an empirical taxonomy of SME financing patterns in Europe by performing a cluster analysis including 12,726 SMEs in 28 European countries. The results reveal that SME financing in Europe is not homogenous but that different financing patterns exist. The cluster analysis identifies six distinct SME financing types: mixed-financed SMEs, state-subsidised SMEs, debt-financed SMEs, flexible-debt-financed SMEs, trade-financed SMEs and internally financed SMEs. These SME financing types differ according to the number of financing instruments used and the combinations thereof. Furthermore, the SME financing types can be profiled according to their firm-, product-, industry- and country-specific characteristics. Our findings support policy-makers in assessing the impact of policy changes on SME financing and in designing financing programmes tailored to the specific needs of SMEs.","container-title":"Venture Capital","DOI":"10.1080/13691066.2016.1145900","ISSN":"1369-1066, 1464-5343","issue":"2","journalAbbreviation":"Venture Capital","language":"en","page":"115-148","source":"DOI.org (Crossref)","title":"Financing patterns of European SMEs – an empirical taxonomy","volume":"18","author":[{"family":"Moritz","given":"Alexandra"},{"family":"Block","given":"Joern H."},{"family":"Heinz","given":"Andreas"}],"issued":{"date-parts":[["2016",4,2]]}},"locator":"127"}],"schema":"https://github.com/citation-style-language/schema/raw/master/csl-citation.json"} </w:instrText>
      </w:r>
      <w:r>
        <w:fldChar w:fldCharType="separate"/>
      </w:r>
      <w:r w:rsidRPr="005C2F24">
        <w:rPr>
          <w:rFonts w:cs="Times New Roman"/>
        </w:rPr>
        <w:t>Hutchinson (1995), S. 237;</w:t>
      </w:r>
      <w:r w:rsidR="00F618F7">
        <w:rPr>
          <w:rFonts w:cs="Times New Roman"/>
        </w:rPr>
        <w:t xml:space="preserve"> vgl.</w:t>
      </w:r>
      <w:r w:rsidRPr="005C2F24">
        <w:rPr>
          <w:rFonts w:cs="Times New Roman"/>
        </w:rPr>
        <w:t xml:space="preserve"> Moritz et al. (2016), S. 127.</w:t>
      </w:r>
      <w:r>
        <w:fldChar w:fldCharType="end"/>
      </w:r>
    </w:p>
  </w:footnote>
  <w:footnote w:id="95">
    <w:p w14:paraId="7B96D61B" w14:textId="3BFC9D4E" w:rsidR="000D487E" w:rsidRPr="005C2F24" w:rsidRDefault="000D487E">
      <w:pPr>
        <w:pStyle w:val="Funotentext"/>
      </w:pPr>
      <w:r>
        <w:rPr>
          <w:rStyle w:val="Funotenzeichen"/>
        </w:rPr>
        <w:footnoteRef/>
      </w:r>
      <w:r w:rsidRPr="005C2F24">
        <w:t xml:space="preserve"> </w:t>
      </w:r>
      <w:r w:rsidR="00F618F7" w:rsidRPr="0060363F">
        <w:rPr>
          <w:rFonts w:cs="Times New Roman"/>
        </w:rPr>
        <w:t xml:space="preserve">Vgl. </w:t>
      </w:r>
      <w:r>
        <w:fldChar w:fldCharType="begin"/>
      </w:r>
      <w:r w:rsidR="00FD5E8B">
        <w:instrText xml:space="preserve"> ADDIN ZOTERO_ITEM CSL_CITATION {"citationID":"bJCHjPVX","properties":{"formattedCitation":"Hall, G. et al. (2000), S. 310; L\\uc0\\u243{}pez-Gracia, J. / Sogorb-Mira, F. (2008), S. 122.","plainCitation":"Hall, G. et al. (2000), S. 310; López-Gracia, J. / Sogorb-Mira, F. (2008), S. 122.","noteIndex":95},"citationItems":[{"id":193,"uris":["http://zotero.org/users/7233606/items/ZUVDYG9D"],"uri":["http://zotero.org/users/7233606/items/ZUVDYG9D"],"itemData":{"id":193,"type":"article-journal","abstract":"This paper reports a study of 3500 unquoted, UK small and medium sized enterprises (SMEs). The objectives of the research were to test various hypotheses concerning the determinants of SME capital structure and to establish whether and how the relationship of these determinants to long- and short-term debt varied between industries. Long-term debt was found to be related positively to asset structure and company size and negatively to age; short-term debt was related negatively to profitability, asset structure, size and age and positively to growth. Significant variation across industries was found in most of the explanatory variables. The effect of growth on short-term debt, however, was consistent across industries whilst profitability had no effect on long-term borrowing in any industr y.","container-title":"International Journal of the Economics of Business","DOI":"10.1080/13571510050197203","ISSN":"1357-1516, 1466-1829","issue":"3","journalAbbreviation":"International Journal of the Economics of Business","language":"en","page":"297-312","source":"DOI.org (Crossref)","title":"Industry Effects on the Determinants of Unquoted SMEs' Capital Structure","volume":"7","author":[{"family":"Hall","given":"Graham"},{"family":"Hutchinson","given":"Patrick"},{"family":"Michaelas","given":"Nicos"}],"issued":{"date-parts":[["2000",11]]}},"locator":"310"},{"id":191,"uris":["http://zotero.org/users/7233606/items/BKDX7AJB"],"uri":["http://zotero.org/users/7233606/items/BKDX7AJB"],"itemData":{"id":191,"type":"article-journal","container-title":"Small Business Economics","DOI":"10.1007/s11187-007-9088-4","ISSN":"0921-898X, 1573-0913","issue":"2","journalAbbreviation":"Small Bus Econ","language":"en","page":"117-136","source":"DOI.org (Crossref)","title":"Testing trade-off and pecking order theories financing SMEs","volume":"31","author":[{"family":"López-Gracia","given":"José"},{"family":"Sogorb-Mira","given":"Francisco"}],"issued":{"date-parts":[["2008",8]]}},"locator":"122"}],"schema":"https://github.com/citation-style-language/schema/raw/master/csl-citation.json"} </w:instrText>
      </w:r>
      <w:r>
        <w:fldChar w:fldCharType="separate"/>
      </w:r>
      <w:r w:rsidR="000D73A0" w:rsidRPr="005C2F24">
        <w:rPr>
          <w:rFonts w:cs="Times New Roman"/>
          <w:szCs w:val="24"/>
        </w:rPr>
        <w:t>Hall et al. (2000), S. 310;</w:t>
      </w:r>
      <w:r w:rsidR="00F618F7">
        <w:rPr>
          <w:rFonts w:cs="Times New Roman"/>
          <w:szCs w:val="24"/>
        </w:rPr>
        <w:t xml:space="preserve"> vgl.</w:t>
      </w:r>
      <w:r w:rsidR="000D73A0" w:rsidRPr="005C2F24">
        <w:rPr>
          <w:rFonts w:cs="Times New Roman"/>
          <w:szCs w:val="24"/>
        </w:rPr>
        <w:t xml:space="preserve"> López-Gracia / Sogorb-Mira (2008), S. 122.</w:t>
      </w:r>
      <w:r>
        <w:fldChar w:fldCharType="end"/>
      </w:r>
    </w:p>
  </w:footnote>
  <w:footnote w:id="96">
    <w:p w14:paraId="3C79B8BE" w14:textId="43972E7E" w:rsidR="00DB6FC9" w:rsidRDefault="00DB6FC9">
      <w:pPr>
        <w:pStyle w:val="Funotentext"/>
      </w:pPr>
      <w:r>
        <w:rPr>
          <w:rStyle w:val="Funotenzeichen"/>
        </w:rPr>
        <w:footnoteRef/>
      </w:r>
      <w:r>
        <w:t xml:space="preserve"> </w:t>
      </w:r>
      <w:r w:rsidR="003160CC">
        <w:t xml:space="preserve">Vgl. </w:t>
      </w:r>
      <w:r>
        <w:fldChar w:fldCharType="begin"/>
      </w:r>
      <w:r w:rsidR="00FD5E8B">
        <w:instrText xml:space="preserve"> ADDIN ZOTERO_ITEM CSL_CITATION {"citationID":"gnjRTpl1","properties":{"formattedCitation":"Chittenden, F. et al. (1996), S. 61; L\\uc0\\u243{}pez-Gracia, J. / Sogorb-Mira, F. (2008), S. 122; Myers, S.C. / Majluf, N.S. (1984), S. 187 ff.","plainCitation":"Chittenden, F. et al. (1996), S. 61; López-Gracia, J. / Sogorb-Mira, F. (2008), S. 122; Myers, S.C. / Majluf, N.S. (1984), S. 187 ff.","noteIndex":96},"citationItems":[{"id":165,"uris":["http://zotero.org/users/7233606/items/AG6G46BD"],"uri":["http://zotero.org/users/7233606/items/AG6G46BD"],"itemData":{"id":165,"type":"article-journal","abstract":"This article investigates the financial structure of small firms with an emphasis on growth and access to capital markets. Neo-classical economic, life cycle, pecking order and agency theory perspectives are reviewed in order to formulate testable propositions concerning levels of longterm, short-term and total debt, and liquidity. Up-to-date financial data were collected from the U.K. Private+ database for a large sample comprising of both listed and unlisted small firms. Regression results indicate significant relationships between financial structure and profitability, asset structure, size, age and stock market flotation but not growth except when rapid and combined with lack of stock market flotation. Analysis of stock market flotation as an interactive dummy reveals major differences between listed and unlisted small firms. The results indicate that the variety of financial structures observed in practice may reflect rational trade-offs of various costs on the part of small firm owner-managers but that the over-reliance on internally available funds and the importance of collateral, in the case of unlisted small finns, are likely to be major constraints on economic growth.","container-title":"Small Business Economics","DOI":"10.1007/BF00391976","ISSN":"0921-898X, 1573-0913","issue":"1","journalAbbreviation":"Small Bus Econ","language":"en","page":"59-67","source":"DOI.org (Crossref)","title":"Small firm growth, access to capital markets and financial structure: Review of issues and an empirical investigation","title-short":"Small firm growth, access to capital markets and financial structure","volume":"8","author":[{"family":"Chittenden","given":"Francis"},{"family":"Hall","given":"Graham"},{"family":"Hutchinson","given":"Patrick"}],"issued":{"date-parts":[["1996",2]]}},"locator":"61"},{"id":191,"uris":["http://zotero.org/users/7233606/items/BKDX7AJB"],"uri":["http://zotero.org/users/7233606/items/BKDX7AJB"],"itemData":{"id":191,"type":"article-journal","container-title":"Small Business Economics","DOI":"10.1007/s11187-007-9088-4","ISSN":"0921-898X, 1573-0913","issue":"2","journalAbbreviation":"Small Bus Econ","language":"en","page":"117-136","source":"DOI.org (Crossref)","title":"Testing trade-off and pecking order theories financing SMEs","volume":"31","author":[{"family":"López-Gracia","given":"José"},{"family":"Sogorb-Mira","given":"Francisco"}],"issued":{"date-parts":[["2008",8]]}},"locator":"122"},{"id":201,"uris":["http://zotero.org/users/7233606/items/NT4TUI65"],"uri":["http://zotero.org/users/7233606/items/NT4TUI65"],"itemData":{"id":201,"type":"article-journal","abstract":"This paper considers a firm that must issue common stock to raise cash to undertake a valuable investment opportunity. Management is assumed to know more about the firm's value than potential investors. Investors interpret the firm's actions rationally. An equilibrium model of the issue-invest decision is developed under these assumptions. The model shows that firms may refuse to issue stock, and therefore may pass up valuable investment opportunities. The model suggests explanations for several aspects of corporate financing behavior, including the tendency to rely on internal sources of funds, and to prefer debt to equity if external financing is required. Extensions and applications of the model are discussed.","container-title":"Journal of Financial Economics","DOI":"10.1016/0304-405X(84)90023-0","ISSN":"0304-405X","issue":"2","journalAbbreviation":"Journal of Financial Economics","page":"187-221","title":"Corporate financing and investment decisions when firms have information that investors do not have","volume":"13","author":[{"family":"Myers","given":"Stewart C."},{"family":"Majluf","given":"Nicholas S."}],"issued":{"date-parts":[["1984",6,1]]}},"locator":"187 ff"}],"schema":"https://github.com/citation-style-language/schema/raw/master/csl-citation.json"} </w:instrText>
      </w:r>
      <w:r>
        <w:fldChar w:fldCharType="separate"/>
      </w:r>
      <w:r w:rsidRPr="00DB6FC9">
        <w:rPr>
          <w:rFonts w:cs="Times New Roman"/>
          <w:szCs w:val="24"/>
        </w:rPr>
        <w:t xml:space="preserve">Chittenden et al. (1996), S. 61; </w:t>
      </w:r>
      <w:r w:rsidR="003160CC">
        <w:rPr>
          <w:rFonts w:cs="Times New Roman"/>
        </w:rPr>
        <w:t xml:space="preserve">vgl. </w:t>
      </w:r>
      <w:r w:rsidRPr="00DB6FC9">
        <w:rPr>
          <w:rFonts w:cs="Times New Roman"/>
          <w:szCs w:val="24"/>
        </w:rPr>
        <w:t xml:space="preserve">López-Gracia / Sogorb-Mira (2008), S. 122; </w:t>
      </w:r>
      <w:r w:rsidR="003160CC">
        <w:rPr>
          <w:rFonts w:cs="Times New Roman"/>
        </w:rPr>
        <w:t xml:space="preserve">vgl. </w:t>
      </w:r>
      <w:r w:rsidRPr="00DB6FC9">
        <w:rPr>
          <w:rFonts w:cs="Times New Roman"/>
          <w:szCs w:val="24"/>
        </w:rPr>
        <w:t>Myers / Majluf (1984), S. 187 ff.</w:t>
      </w:r>
      <w:r>
        <w:fldChar w:fldCharType="end"/>
      </w:r>
    </w:p>
  </w:footnote>
  <w:footnote w:id="97">
    <w:p w14:paraId="5E8525B5" w14:textId="53B1F591" w:rsidR="009C6328" w:rsidRDefault="009C6328">
      <w:pPr>
        <w:pStyle w:val="Funotentext"/>
      </w:pPr>
      <w:r>
        <w:rPr>
          <w:rStyle w:val="Funotenzeichen"/>
        </w:rPr>
        <w:footnoteRef/>
      </w:r>
      <w:r>
        <w:t xml:space="preserve"> </w:t>
      </w:r>
      <w:r w:rsidR="003160CC">
        <w:t xml:space="preserve">Vgl. </w:t>
      </w:r>
      <w:r>
        <w:fldChar w:fldCharType="begin"/>
      </w:r>
      <w:r w:rsidR="00FD5E8B">
        <w:instrText xml:space="preserve"> ADDIN ZOTERO_ITEM CSL_CITATION {"citationID":"V4Dmfoda","properties":{"formattedCitation":"Berger, A.N. / Udell, G.F. (1998), S. 635.","plainCitation":"Berger, A.N. / Udell, G.F. (1998), S. 635.","noteIndex":97},"citationItems":[{"id":171,"uris":["http://zotero.org/users/7233606/items/SQZPTERB"],"uri":["http://zotero.org/users/7233606/items/SQZPTERB"],"itemData":{"id":171,"type":"article-journal","abstract":"This article examines the economics of financing small business in private equity and debt markets. Firms are viewed through a financial growth cycle paradigm in which different capital structures are optimal at different points in the cycle. We show the sources of small business finance, and how capital structure varies with firm size and age. The interconnectedness of small firm finance is discussed along with the impact of the macroeconomic environment. We also analyze a number of research and policy issues, review the literature, and suggest topics for future research.","container-title":"Journal of banking &amp; finance","DOI":"10.1016/S0378-4266(98)00038-7","ISSN":"0378-4266","issue":"6","language":"eng","note":"publisher: Elsevier B.V","page":"613-673","title":"The economics of small business finance: The roles of private equity and debt markets in the financial growth cycle","volume":"22","author":[{"family":"Berger","given":"Allen N"},{"family":"Udell","given":"Gregory F"}],"issued":{"date-parts":[["1998"]]}},"locator":"635"}],"schema":"https://github.com/citation-style-language/schema/raw/master/csl-citation.json"} </w:instrText>
      </w:r>
      <w:r>
        <w:fldChar w:fldCharType="separate"/>
      </w:r>
      <w:r w:rsidRPr="009C6328">
        <w:rPr>
          <w:rFonts w:cs="Times New Roman"/>
        </w:rPr>
        <w:t>Berger / Udell (1998), S. 635.</w:t>
      </w:r>
      <w:r>
        <w:fldChar w:fldCharType="end"/>
      </w:r>
    </w:p>
  </w:footnote>
  <w:footnote w:id="98">
    <w:p w14:paraId="32D0B229" w14:textId="52F28A03" w:rsidR="00611AE0" w:rsidRPr="009A6B5A" w:rsidRDefault="00611AE0">
      <w:pPr>
        <w:pStyle w:val="Funotentext"/>
        <w:rPr>
          <w:lang w:val="en-US"/>
        </w:rPr>
      </w:pPr>
      <w:r>
        <w:rPr>
          <w:rStyle w:val="Funotenzeichen"/>
        </w:rPr>
        <w:footnoteRef/>
      </w:r>
      <w:r w:rsidRPr="009A6B5A">
        <w:rPr>
          <w:lang w:val="en-US"/>
        </w:rPr>
        <w:t xml:space="preserve"> </w:t>
      </w:r>
      <w:r w:rsidR="003160CC" w:rsidRPr="003160CC">
        <w:rPr>
          <w:lang w:val="en-US"/>
        </w:rPr>
        <w:t xml:space="preserve">Vgl. </w:t>
      </w:r>
      <w:r>
        <w:fldChar w:fldCharType="begin"/>
      </w:r>
      <w:r w:rsidR="00FD5E8B">
        <w:rPr>
          <w:lang w:val="en-US"/>
        </w:rPr>
        <w:instrText xml:space="preserve"> ADDIN ZOTERO_ITEM CSL_CITATION {"citationID":"nGAzQQu4","properties":{"formattedCitation":"Casey, E. / O\\uc0\\u8217{}Toole, C.M. (2014), S. 181.","plainCitation":"Casey, E. / O’Toole, C.M. (2014), S. 181.","noteIndex":98},"citationItems":[{"id":182,"uris":["http://zotero.org/users/7233606/items/6TMXD2VI"],"uri":["http://zotero.org/users/7233606/items/6TMXD2VI"],"itemData":{"id":182,"type":"article-journal","abstract":"Using euro area firm-level data since the recent financial crisis, we test whether bank lending constrained small- and medium-sized enterprises (SMEs) are more likely to use or apply for alternative external finance including trade credit, informal lending, loans from other companies, market financing (issued debt or equity) and state grants. Our constraint indicators identify both credit-rationed firms and firms that self-ration due to high lending costs. We find that creditrationed firms are more likely to use, and apply for, trade credit. This increases with firm size and age. We also find that constrained firms are more likely to use informal lending or loans from other companies but find no evidence that bank-constrained SMEs apply for, or use, market finance. Smaller, self-rationing borrowers are more likely to apply for grant finance. Finally, we find that firms denied credit for working capital tend to turn to trade credit, while informal and intercompany lending tends to act as a substitute for bank investment loans.","container-title":"Journal of Corporate Finance","DOI":"10.1016/j.jcorpfin.2014.05.001","ISSN":"09291199","journalAbbreviation":"Journal of Corporate Finance","language":"en","page":"173-193","source":"DOI.org (Crossref)","title":"Bank lending constraints, trade credit and alternative financing during the financial crisis: Evidence from European SMEs","title-short":"Bank lending constraints, trade credit and alternative financing during the financial crisis","volume":"27","author":[{"family":"Casey","given":"Eddie"},{"family":"O'Toole","given":"Conor M."}],"issued":{"date-parts":[["2014",8]]}},"locator":"181"}],"schema":"https://github.com/citation-style-language/schema/raw/master/csl-citation.json"} </w:instrText>
      </w:r>
      <w:r>
        <w:fldChar w:fldCharType="separate"/>
      </w:r>
      <w:r w:rsidR="009A6B5A" w:rsidRPr="009A6B5A">
        <w:rPr>
          <w:rFonts w:cs="Times New Roman"/>
          <w:szCs w:val="24"/>
          <w:lang w:val="en-US"/>
        </w:rPr>
        <w:t>Casey / O’Toole (2014), S. 181.</w:t>
      </w:r>
      <w:r>
        <w:fldChar w:fldCharType="end"/>
      </w:r>
    </w:p>
  </w:footnote>
  <w:footnote w:id="99">
    <w:p w14:paraId="7C1D0789" w14:textId="68548F5C" w:rsidR="0008096B" w:rsidRDefault="0008096B">
      <w:pPr>
        <w:pStyle w:val="Funotentext"/>
      </w:pPr>
      <w:r>
        <w:rPr>
          <w:rStyle w:val="Funotenzeichen"/>
        </w:rPr>
        <w:footnoteRef/>
      </w:r>
      <w:r w:rsidRPr="003E232A">
        <w:rPr>
          <w:lang w:val="en-US"/>
        </w:rPr>
        <w:t xml:space="preserve"> </w:t>
      </w:r>
      <w:r w:rsidR="003160CC" w:rsidRPr="003E232A">
        <w:rPr>
          <w:lang w:val="en-US"/>
        </w:rPr>
        <w:t xml:space="preserve">Vgl. </w:t>
      </w:r>
      <w:r>
        <w:fldChar w:fldCharType="begin"/>
      </w:r>
      <w:r w:rsidR="00FD5E8B" w:rsidRPr="003E232A">
        <w:rPr>
          <w:lang w:val="en-US"/>
        </w:rPr>
        <w:instrText xml:space="preserve"> ADDIN ZOTERO_ITEM CSL_CITATION {"citationID":"WQOB4c14","properties":{"formattedCitation":"Daskalakis, N. et al. (2013), S. 90 ff.","plainCitation":"Daskalakis, N. et al. (2013), S. 90 ff.","noteIndex":99},"citationItems":[{"id":180,"uris":["http://zotero.org/users/7233606/items/CPWQEIVL"],"uri":["http://zotero.org/users/7233606/items/CPWQEIVL"],"itemData":{"id":180,"type":"article-journal","abstract":"Purpose – The aims of the paper are three-fold: </w:instrText>
      </w:r>
      <w:r w:rsidR="00FD5E8B">
        <w:instrText>ﬁ</w:instrText>
      </w:r>
      <w:r w:rsidR="00FD5E8B" w:rsidRPr="003E232A">
        <w:rPr>
          <w:lang w:val="en-US"/>
        </w:rPr>
        <w:instrText xml:space="preserve">rst, to analyse how small and micro </w:instrText>
      </w:r>
      <w:r w:rsidR="00FD5E8B">
        <w:instrText>ﬁ</w:instrText>
      </w:r>
      <w:r w:rsidR="00FD5E8B" w:rsidRPr="003E232A">
        <w:rPr>
          <w:lang w:val="en-US"/>
        </w:rPr>
        <w:instrText xml:space="preserve">rms </w:instrText>
      </w:r>
      <w:r w:rsidR="00FD5E8B">
        <w:instrText>ﬁ</w:instrText>
      </w:r>
      <w:r w:rsidR="00FD5E8B" w:rsidRPr="003E232A">
        <w:rPr>
          <w:lang w:val="en-US"/>
        </w:rPr>
        <w:instrText xml:space="preserve">nance themselves; second, to investigate what their </w:instrText>
      </w:r>
      <w:r w:rsidR="00FD5E8B">
        <w:instrText>ﬁ</w:instrText>
      </w:r>
      <w:r w:rsidR="00FD5E8B" w:rsidRPr="003E232A">
        <w:rPr>
          <w:lang w:val="en-US"/>
        </w:rPr>
        <w:instrText xml:space="preserve">nancing preferences are; and third, to explore their opinions on how they evaluate the </w:instrText>
      </w:r>
      <w:r w:rsidR="00FD5E8B">
        <w:instrText>ﬁ</w:instrText>
      </w:r>
      <w:r w:rsidR="00FD5E8B" w:rsidRPr="003E232A">
        <w:rPr>
          <w:lang w:val="en-US"/>
        </w:rPr>
        <w:instrText xml:space="preserve">nancing sources and the various obstacles they face in accessing those sources.","container-title":"Journal of Small Business and Enterprise Development","DOI":"10.1108/14626001311298420","ISSN":"1462-6004","issue":"1","journalAbbreviation":"Jrnl of Small Bus Ente Dev","language":"en","page":"80-101","source":"DOI.org (Crossref)","title":"Financing practices and preferences for micro and small firms","volume":"20","author":[{"family":"Daskalakis","given":"Nikolaos"},{"family":"Jarvis","given":"Robin"},{"family":"Schizas","given":"Emmanouil"}],"issued":{"date-parts":[["2013",2,15]]}},"locator":"90 ff"}],"schema":"https://github.com/citation-style-language/schema/raw/master/csl-citation.json"} </w:instrText>
      </w:r>
      <w:r>
        <w:fldChar w:fldCharType="separate"/>
      </w:r>
      <w:r w:rsidRPr="0008096B">
        <w:rPr>
          <w:rFonts w:cs="Times New Roman"/>
        </w:rPr>
        <w:t>Daskalakis et al. (2013), S. 90 ff.</w:t>
      </w:r>
      <w:r>
        <w:fldChar w:fldCharType="end"/>
      </w:r>
    </w:p>
  </w:footnote>
  <w:footnote w:id="100">
    <w:p w14:paraId="4C8D8DFC" w14:textId="0BBB91A9" w:rsidR="009667EB" w:rsidRPr="009667EB" w:rsidRDefault="009667EB">
      <w:pPr>
        <w:pStyle w:val="Funotentext"/>
        <w:rPr>
          <w:lang w:val="en-US"/>
        </w:rPr>
      </w:pPr>
      <w:r>
        <w:rPr>
          <w:rStyle w:val="Funotenzeichen"/>
        </w:rPr>
        <w:footnoteRef/>
      </w:r>
      <w:r w:rsidRPr="009667EB">
        <w:rPr>
          <w:lang w:val="en-US"/>
        </w:rPr>
        <w:t xml:space="preserve"> </w:t>
      </w:r>
      <w:r w:rsidR="003160CC">
        <w:rPr>
          <w:rFonts w:cs="Times New Roman"/>
          <w:lang w:val="en-US"/>
        </w:rPr>
        <w:t>V</w:t>
      </w:r>
      <w:r w:rsidR="003160CC" w:rsidRPr="003160CC">
        <w:rPr>
          <w:rFonts w:cs="Times New Roman"/>
          <w:lang w:val="en-US"/>
        </w:rPr>
        <w:t xml:space="preserve">gl. </w:t>
      </w:r>
      <w:r>
        <w:fldChar w:fldCharType="begin"/>
      </w:r>
      <w:r w:rsidR="00FD5E8B">
        <w:rPr>
          <w:lang w:val="en-US"/>
        </w:rPr>
        <w:instrText xml:space="preserve"> ADDIN ZOTERO_ITEM CSL_CITATION {"citationID":"IFhWGHhA","properties":{"formattedCitation":"Lasfer, M.A. / Levis, M. (1998), S. 159.","plainCitation":"Lasfer, M.A. / Levis, M. (1998), S. 159.","noteIndex":100},"citationItems":[{"id":215,"uris":["http://zotero.org/users/7233606/items/TCV98JNH"],"uri":["http://zotero.org/users/7233606/items/TCV98JNH"],"itemData":{"id":215,"type":"article-journal","abstract":"We analyse the leasing decision of more than 3000 UK quoted and unquoted companies over the sample period 1982–1996. We show that, for the sample as a whole, companies that use leasing are more likely to have tax losses, high fixed capital investment, high debt-to-equity ratio and to be larger than companies that do not use leasing. We show, however, that the determinants of leasing are not homogeneous across firms of different size. For large companies, leasing, profitability, leverage and taxation are positively correlated. In contrast, for small companies, the leasing decision is not driven by taxation or by profitability, but by growth opportunities. We show that small firms with high Tobin’s q and those that are less profitable are more likely to use leasing.","container-title":"European Financial Management","DOI":"10.1111/1468-036X.00062","ISSN":"1354-7798, 1468-036X","issue":"2","journalAbbreviation":"European Financial Management","language":"en","page":"159-184","source":"DOI.org (Crossref)","title":"The Determinants of the Leasing Decision of Small and Large Companies","volume":"4","author":[{"family":"Lasfer","given":"M.Ameziane"},{"family":"Levis","given":"Mario"}],"issued":{"date-parts":[["1998",7]]}},"locator":"159"}],"schema":"https://github.com/citation-style-language/schema/raw/master/csl-citation.json"} </w:instrText>
      </w:r>
      <w:r>
        <w:fldChar w:fldCharType="separate"/>
      </w:r>
      <w:r w:rsidRPr="009667EB">
        <w:rPr>
          <w:rFonts w:cs="Times New Roman"/>
          <w:lang w:val="en-US"/>
        </w:rPr>
        <w:t>Lasfer / Levis (1998), S. 159.</w:t>
      </w:r>
      <w:r>
        <w:fldChar w:fldCharType="end"/>
      </w:r>
    </w:p>
  </w:footnote>
  <w:footnote w:id="101">
    <w:p w14:paraId="37F02BFA" w14:textId="79299E31" w:rsidR="00574C04" w:rsidRPr="00574C04" w:rsidRDefault="00574C04">
      <w:pPr>
        <w:pStyle w:val="Funotentext"/>
        <w:rPr>
          <w:lang w:val="en-US"/>
        </w:rPr>
      </w:pPr>
      <w:r>
        <w:rPr>
          <w:rStyle w:val="Funotenzeichen"/>
        </w:rPr>
        <w:footnoteRef/>
      </w:r>
      <w:r w:rsidRPr="0003126D">
        <w:rPr>
          <w:lang w:val="en-US"/>
        </w:rPr>
        <w:t xml:space="preserve"> </w:t>
      </w:r>
      <w:r w:rsidR="00383CF4" w:rsidRPr="00383CF4">
        <w:rPr>
          <w:lang w:val="en-US"/>
        </w:rPr>
        <w:t xml:space="preserve">Vgl. </w:t>
      </w:r>
      <w:r>
        <w:fldChar w:fldCharType="begin"/>
      </w:r>
      <w:r w:rsidR="00F711DF">
        <w:rPr>
          <w:lang w:val="en-US"/>
        </w:rPr>
        <w:instrText xml:space="preserve"> ADDIN ZOTERO_ITEM CSL_CITATION {"citationID":"f4iuCJ6X","properties":{"formattedCitation":"Beck, T. (2008), S. 467; Lasfer, M.A. / Levis, M. (1998), S. 160 ff.","plainCitation":"Beck, T. (2008), S. 467; Lasfer, M.A. / Levis, M. (1998), S. 160 ff.","noteIndex":101},"citationItems":[{"id":217,"uris":["http://zotero.org/users/7233606/items/IRTARXZQ"],"uri":["http://zotero.org/users/7233606/items/IRTARXZQ"],"itemData":{"id":217,"type":"article-journal","abstract":"Using a ﬁrm-level survey database covering 48 countries, we investigate how ﬁnancial and institutional development affects ﬁnancing of large and small ﬁrms. Our database is not limited to large ﬁrms but includes small and medium-size ﬁrms and data on a broad spectrum of ﬁnancing sources, including leasing, supplier, development, and informal ﬁnance. Small ﬁrms and ﬁrms in countries with poor institutions use less external ﬁnance, especially bank ﬁnance. Protection of property rights increases external ﬁnancing of small ﬁrms signiﬁcantly more than of large ﬁrms, mainly due to its effect on bank ﬁnance. Small ﬁrms do not use disproportionately more leasing or trade ﬁnance compared with larger ﬁrms, so these ﬁnancing sources do not compensate for lower access to bank ﬁnancing of small ﬁrms. We also ﬁnd that larger ﬁrms more easily expand external ﬁnancing when they are constrained than small ﬁrms. Finally, we ﬁnd suggestive evidence that the pecking order holds across countries.","container-title":"Journal of Financial Economics","language":"en","page":"467-487","source":"Zotero","title":"Financing patterns around the world: Are small ﬁrms different?","volume":"89","author":[{"family":"Beck","given":"Thorsten"}],"issued":{"date-parts":[["2008"]]}},"locator":"467"},{"id":215,"uris":["http://zotero.org/users/7233606/items/TCV98JNH"],"uri":["http://zotero.org/users/7233606/items/TCV98JNH"],"itemData":{"id":215,"type":"article-journal","abstract":"We analyse the leasing decision of more than 3000 UK quoted and unquoted companies over the sample period 1982–1996. We show that, for the sample as a whole, companies that use leasing are more likely to have tax losses, high fixed capital investment, high debt-to-equity ratio and to be larger than companies that do not use leasing. We show, however, that the determinants of leasing are not homogeneous across firms of different size. For large companies, leasing, profitability, leverage and taxation are positively correlated. In contrast, for small companies, the leasing decision is not driven by taxation or by profitability, but by growth opportunities. We show that small firms with high Tobin’s q and those that are less profitable are more likely to use leasing.","container-title":"European Financial Management","DOI":"10.1111/1468-036X.00062","ISSN":"1354-7798, 1468-036X","issue":"2","journalAbbreviation":"European Financial Management","language":"en","page":"159-184","source":"DOI.org (Crossref)","title":"The Determinants of the Leasing Decision of Small and Large Companies","volume":"4","author":[{"family":"Lasfer","given":"M.Ameziane"},{"family":"Levis","given":"Mario"}],"issued":{"date-parts":[["1998",7]]}},"locator":"160 ff"}],"schema":"https://github.com/citation-style-language/schema/raw/master/csl-citation.json"} </w:instrText>
      </w:r>
      <w:r>
        <w:fldChar w:fldCharType="separate"/>
      </w:r>
      <w:r w:rsidRPr="00574C04">
        <w:rPr>
          <w:rFonts w:cs="Times New Roman"/>
          <w:lang w:val="en-US"/>
        </w:rPr>
        <w:t>Beck (2008), S. 467;</w:t>
      </w:r>
      <w:r w:rsidR="00383CF4">
        <w:rPr>
          <w:rFonts w:cs="Times New Roman"/>
          <w:lang w:val="en-US"/>
        </w:rPr>
        <w:t xml:space="preserve"> vgl.</w:t>
      </w:r>
      <w:r w:rsidRPr="00574C04">
        <w:rPr>
          <w:rFonts w:cs="Times New Roman"/>
          <w:lang w:val="en-US"/>
        </w:rPr>
        <w:t xml:space="preserve"> Lasfer / Levis (1998), S. 160 ff.</w:t>
      </w:r>
      <w:r>
        <w:fldChar w:fldCharType="end"/>
      </w:r>
    </w:p>
  </w:footnote>
  <w:footnote w:id="102">
    <w:p w14:paraId="3EF71967" w14:textId="1595A378" w:rsidR="00E44A17" w:rsidRPr="0003126D" w:rsidRDefault="00E44A17">
      <w:pPr>
        <w:pStyle w:val="Funotentext"/>
        <w:rPr>
          <w:lang w:val="en-US"/>
        </w:rPr>
      </w:pPr>
      <w:r>
        <w:rPr>
          <w:rStyle w:val="Funotenzeichen"/>
        </w:rPr>
        <w:footnoteRef/>
      </w:r>
      <w:r w:rsidRPr="0003126D">
        <w:rPr>
          <w:lang w:val="en-US"/>
        </w:rPr>
        <w:t xml:space="preserve"> </w:t>
      </w:r>
      <w:r w:rsidR="00383CF4" w:rsidRPr="00383CF4">
        <w:rPr>
          <w:lang w:val="en-US"/>
        </w:rPr>
        <w:t xml:space="preserve">Vgl. </w:t>
      </w:r>
      <w:r>
        <w:fldChar w:fldCharType="begin"/>
      </w:r>
      <w:r w:rsidR="00FD5E8B">
        <w:rPr>
          <w:lang w:val="en-US"/>
        </w:rPr>
        <w:instrText xml:space="preserve"> ADDIN ZOTERO_ITEM CSL_CITATION {"citationID":"WKvNBnF4","properties":{"formattedCitation":"Soufani, K. (2002), S. 243.","plainCitation":"Soufani, K. (2002), S. 243.","noteIndex":102},"citationItems":[{"id":219,"uris":["http://zotero.org/users/7233606/items/DMCCP4SV"],"uri":["http://zotero.org/users/7233606/items/DMCCP4SV"],"itemData":{"id":219,"type":"article-journal","abstract":"This paper develops and tests hypotheses that explain the choice of factoring as a ﬁnancing source and the type of businesses using it in the UK. The tests focus on establishing a proﬁle of borrowers, based on ﬁrm’s demographic characteristics such as age, turnover, industry, and type of legal ownership. In addition to that we extend the analysis to test whether there exist any association between the use of factoring and the availability of credit to ﬁrms, the collateral requirements by banks and its value, the value of the ﬁrm’s debt, and also whether the business is experiencing ﬁnancial difﬁculties. The analysis refers to a survey of 3805 companies of which 212 were using factoring services. We ﬁnd evidence that each is an important determinant in ﬁrms’ choice of factoring as a source of ﬁnance for working capital and an instrument to cash-ﬂow improvement but it is a ﬁnancial option that is not universally available. © 2002 Elsevier Science Inc. All rights reserved.","container-title":"Journal of Economics and Business","DOI":"10.1016/S0148-6195(01)00064-9","ISSN":"01486195","issue":"2","journalAbbreviation":"Journal of Economics and Business","language":"en","page":"239-252","source":"DOI.org (Crossref)","title":"On the determinants of factoring as a financing choice: evidence from the UK","title-short":"On the determinants of factoring as a financing choice","volume":"54","author":[{"family":"Soufani","given":"Khaled"}],"issued":{"date-parts":[["2002",3]]}},"locator":"243"}],"schema":"https://github.com/citation-style-language/schema/raw/master/csl-citation.json"} </w:instrText>
      </w:r>
      <w:r>
        <w:fldChar w:fldCharType="separate"/>
      </w:r>
      <w:r w:rsidR="003E7CDD" w:rsidRPr="0003126D">
        <w:rPr>
          <w:rFonts w:cs="Times New Roman"/>
          <w:lang w:val="en-US"/>
        </w:rPr>
        <w:t>Soufani (2002), S. 243.</w:t>
      </w:r>
      <w:r>
        <w:fldChar w:fldCharType="end"/>
      </w:r>
    </w:p>
  </w:footnote>
  <w:footnote w:id="103">
    <w:p w14:paraId="256BD965" w14:textId="4B43FD9E" w:rsidR="003E7CDD" w:rsidRPr="003E232A" w:rsidRDefault="003E7CDD">
      <w:pPr>
        <w:pStyle w:val="Funotentext"/>
      </w:pPr>
      <w:r>
        <w:rPr>
          <w:rStyle w:val="Funotenzeichen"/>
        </w:rPr>
        <w:footnoteRef/>
      </w:r>
      <w:r w:rsidRPr="003E232A">
        <w:t xml:space="preserve"> </w:t>
      </w:r>
      <w:r w:rsidR="00383CF4" w:rsidRPr="003E232A">
        <w:t xml:space="preserve">Vgl. </w:t>
      </w:r>
      <w:r>
        <w:fldChar w:fldCharType="begin"/>
      </w:r>
      <w:r w:rsidR="00FD5E8B" w:rsidRPr="003E232A">
        <w:instrText xml:space="preserve"> ADDIN ZOTERO_ITEM CSL_CITATION {"citationID":"hTHxrnZw","properties":{"formattedCitation":"Soufani, K. (2002), S. 247.","plainCitation":"Soufani, K. (2002), S. 247.","noteIndex":103},"citationItems":[{"id":219,"uris":["http://zotero.org/users/7233606/items/DMCCP4SV"],"uri":["http://zotero.org/users/7233606/items/DMCCP4SV"],"itemData":{"id":219,"type":"article-journal","abstract":"This paper develops and tests hypotheses that explain the choice of factoring as a </w:instrText>
      </w:r>
      <w:r w:rsidR="00FD5E8B">
        <w:rPr>
          <w:lang w:val="en-US"/>
        </w:rPr>
        <w:instrText>ﬁ</w:instrText>
      </w:r>
      <w:r w:rsidR="00FD5E8B" w:rsidRPr="003E232A">
        <w:instrText>nancing source and the type of businesses using it in the UK. The tests focus on establishing a pro</w:instrText>
      </w:r>
      <w:r w:rsidR="00FD5E8B">
        <w:rPr>
          <w:lang w:val="en-US"/>
        </w:rPr>
        <w:instrText>ﬁ</w:instrText>
      </w:r>
      <w:r w:rsidR="00FD5E8B" w:rsidRPr="003E232A">
        <w:instrText xml:space="preserve">le of borrowers, based on </w:instrText>
      </w:r>
      <w:r w:rsidR="00FD5E8B">
        <w:rPr>
          <w:lang w:val="en-US"/>
        </w:rPr>
        <w:instrText>ﬁ</w:instrText>
      </w:r>
      <w:r w:rsidR="00FD5E8B" w:rsidRPr="003E232A">
        <w:instrText xml:space="preserve">rm’s demographic characteristics such as age, turnover, industry, and type of legal ownership. In addition to that we extend the analysis to test whether there exist any association between the use of factoring and the availability of credit to </w:instrText>
      </w:r>
      <w:r w:rsidR="00FD5E8B">
        <w:rPr>
          <w:lang w:val="en-US"/>
        </w:rPr>
        <w:instrText>ﬁ</w:instrText>
      </w:r>
      <w:r w:rsidR="00FD5E8B" w:rsidRPr="003E232A">
        <w:instrText xml:space="preserve">rms, the collateral requirements by banks and its value, the value of the </w:instrText>
      </w:r>
      <w:r w:rsidR="00FD5E8B">
        <w:rPr>
          <w:lang w:val="en-US"/>
        </w:rPr>
        <w:instrText>ﬁ</w:instrText>
      </w:r>
      <w:r w:rsidR="00FD5E8B" w:rsidRPr="003E232A">
        <w:instrText xml:space="preserve">rm’s debt, and also whether the business is experiencing </w:instrText>
      </w:r>
      <w:r w:rsidR="00FD5E8B">
        <w:rPr>
          <w:lang w:val="en-US"/>
        </w:rPr>
        <w:instrText>ﬁ</w:instrText>
      </w:r>
      <w:r w:rsidR="00FD5E8B" w:rsidRPr="003E232A">
        <w:instrText>nancial dif</w:instrText>
      </w:r>
      <w:r w:rsidR="00FD5E8B">
        <w:rPr>
          <w:lang w:val="en-US"/>
        </w:rPr>
        <w:instrText>ﬁ</w:instrText>
      </w:r>
      <w:r w:rsidR="00FD5E8B" w:rsidRPr="003E232A">
        <w:instrText xml:space="preserve">culties. The analysis refers to a survey of 3805 companies of which 212 were using factoring services. We </w:instrText>
      </w:r>
      <w:r w:rsidR="00FD5E8B">
        <w:rPr>
          <w:lang w:val="en-US"/>
        </w:rPr>
        <w:instrText>ﬁ</w:instrText>
      </w:r>
      <w:r w:rsidR="00FD5E8B" w:rsidRPr="003E232A">
        <w:instrText xml:space="preserve">nd evidence that each is an important determinant in </w:instrText>
      </w:r>
      <w:r w:rsidR="00FD5E8B">
        <w:rPr>
          <w:lang w:val="en-US"/>
        </w:rPr>
        <w:instrText>ﬁ</w:instrText>
      </w:r>
      <w:r w:rsidR="00FD5E8B" w:rsidRPr="003E232A">
        <w:instrText xml:space="preserve">rms’ choice of factoring as a source of </w:instrText>
      </w:r>
      <w:r w:rsidR="00FD5E8B">
        <w:rPr>
          <w:lang w:val="en-US"/>
        </w:rPr>
        <w:instrText>ﬁ</w:instrText>
      </w:r>
      <w:r w:rsidR="00FD5E8B" w:rsidRPr="003E232A">
        <w:instrText>nance for working capital and an instrument to cash-</w:instrText>
      </w:r>
      <w:r w:rsidR="00FD5E8B">
        <w:rPr>
          <w:lang w:val="en-US"/>
        </w:rPr>
        <w:instrText>ﬂ</w:instrText>
      </w:r>
      <w:r w:rsidR="00FD5E8B" w:rsidRPr="003E232A">
        <w:instrText xml:space="preserve">ow improvement but it is a </w:instrText>
      </w:r>
      <w:r w:rsidR="00FD5E8B">
        <w:rPr>
          <w:lang w:val="en-US"/>
        </w:rPr>
        <w:instrText>ﬁ</w:instrText>
      </w:r>
      <w:r w:rsidR="00FD5E8B" w:rsidRPr="003E232A">
        <w:instrText xml:space="preserve">nancial option that is not universally available. © 2002 Elsevier Science Inc. All rights reserved.","container-title":"Journal of Economics and Business","DOI":"10.1016/S0148-6195(01)00064-9","ISSN":"01486195","issue":"2","journalAbbreviation":"Journal of Economics and Business","language":"en","page":"239-252","source":"DOI.org (Crossref)","title":"On the determinants of factoring as a financing choice: evidence from the UK","title-short":"On the determinants of factoring as a financing choice","volume":"54","author":[{"family":"Soufani","given":"Khaled"}],"issued":{"date-parts":[["2002",3]]}},"locator":"247"}],"schema":"https://github.com/citation-style-language/schema/raw/master/csl-citation.json"} </w:instrText>
      </w:r>
      <w:r>
        <w:fldChar w:fldCharType="separate"/>
      </w:r>
      <w:r w:rsidR="00383CF4" w:rsidRPr="003E232A">
        <w:rPr>
          <w:rFonts w:cs="Times New Roman"/>
        </w:rPr>
        <w:t>ebenda,</w:t>
      </w:r>
      <w:r w:rsidRPr="003E232A">
        <w:rPr>
          <w:rFonts w:cs="Times New Roman"/>
        </w:rPr>
        <w:t xml:space="preserve"> S. 247.</w:t>
      </w:r>
      <w:r>
        <w:fldChar w:fldCharType="end"/>
      </w:r>
    </w:p>
  </w:footnote>
  <w:footnote w:id="104">
    <w:p w14:paraId="54E7A678" w14:textId="22FC493F" w:rsidR="007F6DED" w:rsidRDefault="007F6DED">
      <w:pPr>
        <w:pStyle w:val="Funotentext"/>
      </w:pPr>
      <w:r>
        <w:rPr>
          <w:rStyle w:val="Funotenzeichen"/>
        </w:rPr>
        <w:footnoteRef/>
      </w:r>
      <w:r>
        <w:t xml:space="preserve"> Um die </w:t>
      </w:r>
      <m:oMath>
        <m:r>
          <w:rPr>
            <w:rFonts w:ascii="Cambria Math" w:hAnsi="Cambria Math"/>
          </w:rPr>
          <m:t>p</m:t>
        </m:r>
      </m:oMath>
      <w:r>
        <w:t xml:space="preserve">-Werte des </w:t>
      </w:r>
      <m:oMath>
        <m:r>
          <w:rPr>
            <w:rFonts w:ascii="Cambria Math" w:hAnsi="Cambria Math"/>
          </w:rPr>
          <m:t>t</m:t>
        </m:r>
      </m:oMath>
      <w:r>
        <w:t>-Tests mit denen der Regressionskoeffizienten zu unterscheiden werden die Indizes</w:t>
      </w:r>
      <w:r w:rsidRPr="007F6DED">
        <w:rPr>
          <w:rFonts w:ascii="Cambria Math" w:hAnsi="Cambria Math"/>
          <w:i/>
        </w:rPr>
        <w:t xml:space="preserve"> </w:t>
      </w:r>
      <m:oMath>
        <m:r>
          <w:rPr>
            <w:rFonts w:ascii="Cambria Math" w:hAnsi="Cambria Math"/>
          </w:rPr>
          <m:t>t</m:t>
        </m:r>
      </m:oMath>
      <w:r>
        <w:t xml:space="preserve"> und </w:t>
      </w:r>
      <m:oMath>
        <m:r>
          <w:rPr>
            <w:rFonts w:ascii="Cambria Math" w:hAnsi="Cambria Math"/>
          </w:rPr>
          <m:t>β</m:t>
        </m:r>
      </m:oMath>
      <w:r>
        <w:t xml:space="preserve"> verwendet.</w:t>
      </w:r>
    </w:p>
  </w:footnote>
  <w:footnote w:id="105">
    <w:p w14:paraId="36178402" w14:textId="17B32702" w:rsidR="002952BB" w:rsidRDefault="002952BB">
      <w:pPr>
        <w:pStyle w:val="Funotentext"/>
      </w:pPr>
      <w:r>
        <w:rPr>
          <w:rStyle w:val="Funotenzeichen"/>
        </w:rPr>
        <w:footnoteRef/>
      </w:r>
      <w:r>
        <w:t xml:space="preserve"> Vgl. Abschnitt 2.2 und Abschnitt 4.2</w:t>
      </w:r>
    </w:p>
  </w:footnote>
  <w:footnote w:id="106">
    <w:p w14:paraId="4417EC2A" w14:textId="5FCA54A4" w:rsidR="00EB641B" w:rsidRPr="0003126D" w:rsidRDefault="00EB641B">
      <w:pPr>
        <w:pStyle w:val="Funotentext"/>
      </w:pPr>
      <w:r>
        <w:rPr>
          <w:rStyle w:val="Funotenzeichen"/>
        </w:rPr>
        <w:footnoteRef/>
      </w:r>
      <w:r w:rsidRPr="0003126D">
        <w:t xml:space="preserve"> </w:t>
      </w:r>
      <w:r w:rsidR="002C316D">
        <w:t xml:space="preserve">Vgl. </w:t>
      </w:r>
      <w:r>
        <w:fldChar w:fldCharType="begin"/>
      </w:r>
      <w:r w:rsidR="00FD5E8B">
        <w:instrText xml:space="preserve"> ADDIN ZOTERO_ITEM CSL_CITATION {"citationID":"QgkmUb2B","properties":{"formattedCitation":"Masiak, C. et al. (2019), S. 305.","plainCitation":"Masiak, C. et al. (2019), S. 305.","noteIndex":106},"citationItems":[{"id":7,"uris":["http://zotero.org/users/7233606/items/SKPECCJE"],"uri":["http://zotero.org/users/7233606/items/SKPECCJE"],"itemData":{"id":7,"type":"article-journal","abstract":"The vast majority of ﬁrms in Europe are micro ﬁrms. Still, we know little about their ﬁnancing patterns. Our paper aims to close this gap. Based on a large European ﬁrm-level data set, we ﬁnd that micro ﬁrms diﬀer in their ﬁnancing patterns from larger SMEs. Our empirical results show that micro ﬁrms are more likely to use internal ﬁnancing instruments, whereas they are less likely to use state subsidies, trade credit or asset-based ﬁnancing instruments. Furthermore, micro ﬁrms diﬀer from larger SMEs by using more short-term debt ﬁnancing instruments such as credit card overdrafts, credit lines and bank overdrafts. The implications of these ﬁndings for micro ﬁrms and policy makers are discussed.","container-title":"Venture Capital","DOI":"10.1080/13691066.2019.1569333","ISSN":"1369-1066, 1464-5343","issue":"4","journalAbbreviation":"Venture Capital","language":"en","page":"301-325","source":"DOI.org (Crossref)","title":"How do micro firms differ in their financing patterns from larger SMEs?","volume":"21","author":[{"family":"Masiak","given":"Christian"},{"family":"Block","given":"Joern H."},{"family":"Moritz","given":"Alexandra"},{"family":"Lang","given":"Frank"},{"family":"Kraemer-Eis","given":"Helmut"}],"issued":{"date-parts":[["2019",10,2]]}},"locator":"305"}],"schema":"https://github.com/citation-style-language/schema/raw/master/csl-citation.json"} </w:instrText>
      </w:r>
      <w:r>
        <w:fldChar w:fldCharType="separate"/>
      </w:r>
      <w:r w:rsidRPr="0003126D">
        <w:rPr>
          <w:rFonts w:cs="Times New Roman"/>
        </w:rPr>
        <w:t>Masiak et al. (2019), S. 305.</w:t>
      </w:r>
      <w:r>
        <w:fldChar w:fldCharType="end"/>
      </w:r>
    </w:p>
  </w:footnote>
  <w:footnote w:id="107">
    <w:p w14:paraId="72457FDE" w14:textId="48750E49" w:rsidR="00574E25" w:rsidRPr="002C316D" w:rsidRDefault="00574E25">
      <w:pPr>
        <w:pStyle w:val="Funotentext"/>
      </w:pPr>
      <w:r>
        <w:rPr>
          <w:rStyle w:val="Funotenzeichen"/>
        </w:rPr>
        <w:footnoteRef/>
      </w:r>
      <w:r w:rsidRPr="0003126D">
        <w:t xml:space="preserve"> </w:t>
      </w:r>
      <w:r w:rsidR="002C316D">
        <w:t xml:space="preserve">Vgl. </w:t>
      </w:r>
      <w:r>
        <w:fldChar w:fldCharType="begin"/>
      </w:r>
      <w:r w:rsidR="00FD5E8B">
        <w:instrText xml:space="preserve"> ADDIN ZOTERO_ITEM CSL_CITATION {"citationID":"PfWanB3v","properties":{"formattedCitation":"Daskalakis, N. et al. (2013), S. 97; Holton, S. et al. (2014), S. 207; Moritz, A. et al. (2016), S. 140.","plainCitation":"Daskalakis, N. et al. (2013), S. 97; Holton, S. et al. (2014), S. 207; Moritz, A. et al. (2016), S. 140.","noteIndex":107},"citationItems":[{"id":180,"uris":["http://zotero.org/users/7233606/items/CPWQEIVL"],"uri":["http://zotero.org/users/7233606/items/CPWQEIVL"],"itemData":{"id":180,"type":"article-journal","abstract":"Purpose – The aims of the paper are three-fold: ﬁrst, to analyse how small and micro ﬁrms ﬁnance themselves; second, to investigate what their ﬁnancing preferences are; and third, to explore their opinions on how they evaluate the ﬁnancing sources and the various obstacles they face in accessing those sources.","container-title":"Journal of Small Business and Enterprise Development","DOI":"10.1108/14626001311298420","ISSN":"1462-6004","issue":"1","journalAbbreviation":"Jrnl of Small Bus Ente Dev","language":"en","page":"80-101","source":"DOI.org (Crossref)","title":"Financing practices and preferences for micro and small firms","volume":"20","author":[{"family":"Daskalakis","given":"Nikolaos"},{"family":"Jarvis","given":"Robin"},{"family":"Schizas","given":"Emmanouil"}],"issued":{"date-parts":[["2013",2,15]]}},"locator":"97"},{"id":184,"uris":["http://zotero.org/users/7233606/items/PBHUNJXQ"],"uri":["http://zotero.org/users/7233606/items/PBHUNJXQ"],"itemData":{"id":184,"type":"article-journal","container-title":"Applied Economics","DOI":"10.1080/00036846.2013.824547","ISSN":"0003-6846, 1466-4283","issue":"2","journalAbbreviation":"Applied Economics","language":"en","page":"190-211","source":"DOI.org (Crossref)","title":"Firm credit in the euro area: a tale of three crises","title-short":"Firm credit in the euro area","volume":"46","author":[{"family":"Holton","given":"Sarah"},{"family":"Lawless","given":"Martina"},{"family":"McCann","given":"Fergal"}],"issued":{"date-parts":[["2014",1,12]]}},"locator":"207"},{"id":68,"uris":["http://zotero.org/users/7233606/items/37357BSK"],"uri":["http://zotero.org/users/7233606/items/37357BSK"],"itemData":{"id":68,"type":"article-journal","abstract":"This paper develops an empirical taxonomy of SME financing patterns in Europe by performing a cluster analysis including 12,726 SMEs in 28 European countries. The results reveal that SME financing in Europe is not homogenous but that different financing patterns exist. The cluster analysis identifies six distinct SME financing types: mixed-financed SMEs, state-subsidised SMEs, debt-financed SMEs, flexible-debt-financed SMEs, trade-financed SMEs and internally financed SMEs. These SME financing types differ according to the number of financing instruments used and the combinations thereof. Furthermore, the SME financing types can be profiled according to their firm-, product-, industry- and country-specific characteristics. Our findings support policy-makers in assessing the impact of policy changes on SME financing and in designing financing programmes tailored to the specific needs of SMEs.","container-title":"Venture Capital","DOI":"10.1080/13691066.2016.1145900","ISSN":"1369-1066, 1464-5343","issue":"2","journalAbbreviation":"Venture Capital","language":"en","page":"115-148","source":"DOI.org (Crossref)","title":"Financing patterns of European SMEs – an empirical taxonomy","volume":"18","author":[{"family":"Moritz","given":"Alexandra"},{"family":"Block","given":"Joern H."},{"family":"Heinz","given":"Andreas"}],"issued":{"date-parts":[["2016",4,2]]}},"locator":"140"}],"schema":"https://github.com/citation-style-language/schema/raw/master/csl-citation.json"} </w:instrText>
      </w:r>
      <w:r>
        <w:fldChar w:fldCharType="separate"/>
      </w:r>
      <w:r w:rsidRPr="0003126D">
        <w:rPr>
          <w:rFonts w:cs="Times New Roman"/>
        </w:rPr>
        <w:t>Daskalakis et al. (2013), S. 97;</w:t>
      </w:r>
      <w:r w:rsidR="002C316D">
        <w:rPr>
          <w:rFonts w:cs="Times New Roman"/>
        </w:rPr>
        <w:t xml:space="preserve"> vgl.</w:t>
      </w:r>
      <w:r w:rsidRPr="0003126D">
        <w:rPr>
          <w:rFonts w:cs="Times New Roman"/>
        </w:rPr>
        <w:t xml:space="preserve"> Holton et al. </w:t>
      </w:r>
      <w:r w:rsidRPr="002C316D">
        <w:rPr>
          <w:rFonts w:cs="Times New Roman"/>
        </w:rPr>
        <w:t>(2014), S. 207;</w:t>
      </w:r>
      <w:r w:rsidR="002C316D">
        <w:rPr>
          <w:rFonts w:cs="Times New Roman"/>
        </w:rPr>
        <w:t xml:space="preserve"> vgl.</w:t>
      </w:r>
      <w:r w:rsidRPr="002C316D">
        <w:rPr>
          <w:rFonts w:cs="Times New Roman"/>
        </w:rPr>
        <w:t xml:space="preserve"> Moritz et al. (2016), S. 140.</w:t>
      </w:r>
      <w:r>
        <w:fldChar w:fldCharType="end"/>
      </w:r>
    </w:p>
  </w:footnote>
  <w:footnote w:id="108">
    <w:p w14:paraId="4F62CD48" w14:textId="1889D57A" w:rsidR="00BF648D" w:rsidRDefault="00BF648D" w:rsidP="00BF648D">
      <w:pPr>
        <w:pStyle w:val="Funotentext"/>
      </w:pPr>
      <w:r>
        <w:rPr>
          <w:rStyle w:val="Funotenzeichen"/>
        </w:rPr>
        <w:footnoteRef/>
      </w:r>
      <w:r w:rsidR="00C72392">
        <w:t xml:space="preserve">Vgl. </w:t>
      </w:r>
      <w:r>
        <w:t xml:space="preserve"> </w:t>
      </w:r>
      <w:r>
        <w:fldChar w:fldCharType="begin"/>
      </w:r>
      <w:r w:rsidR="00FD5E8B">
        <w:instrText xml:space="preserve"> ADDIN ZOTERO_ITEM CSL_CITATION {"citationID":"C8fSsz3g","properties":{"formattedCitation":"Chittenden, F. et al. (1996), S. 61; L\\uc0\\u243{}pez-Gracia, J. / Sogorb-Mira, F. (2008), S. 122; Myers, S.C. / Majluf, N.S. (1984), S. 187 ff.","plainCitation":"Chittenden, F. et al. (1996), S. 61; López-Gracia, J. / Sogorb-Mira, F. (2008), S. 122; Myers, S.C. / Majluf, N.S. (1984), S. 187 ff.","noteIndex":108},"citationItems":[{"id":165,"uris":["http://zotero.org/users/7233606/items/AG6G46BD"],"uri":["http://zotero.org/users/7233606/items/AG6G46BD"],"itemData":{"id":165,"type":"article-journal","abstract":"This article investigates the financial structure of small firms with an emphasis on growth and access to capital markets. Neo-classical economic, life cycle, pecking order and agency theory perspectives are reviewed in order to formulate testable propositions concerning levels of longterm, short-term and total debt, and liquidity. Up-to-date financial data were collected from the U.K. Private+ database for a large sample comprising of both listed and unlisted small firms. Regression results indicate significant relationships between financial structure and profitability, asset structure, size, age and stock market flotation but not growth except when rapid and combined with lack of stock market flotation. Analysis of stock market flotation as an interactive dummy reveals major differences between listed and unlisted small firms. The results indicate that the variety of financial structures observed in practice may reflect rational trade-offs of various costs on the part of small firm owner-managers but that the over-reliance on internally available funds and the importance of collateral, in the case of unlisted small finns, are likely to be major constraints on economic growth.","container-title":"Small Business Economics","DOI":"10.1007/BF00391976","ISSN":"0921-898X, 1573-0913","issue":"1","journalAbbreviation":"Small Bus Econ","language":"en","page":"59-67","source":"DOI.org (Crossref)","title":"Small firm growth, access to capital markets and financial structure: Review of issues and an empirical investigation","title-short":"Small firm growth, access to capital markets and financial structure","volume":"8","author":[{"family":"Chittenden","given":"Francis"},{"family":"Hall","given":"Graham"},{"family":"Hutchinson","given":"Patrick"}],"issued":{"date-parts":[["1996",2]]}},"locator":"61"},{"id":191,"uris":["http://zotero.org/users/7233606/items/BKDX7AJB"],"uri":["http://zotero.org/users/7233606/items/BKDX7AJB"],"itemData":{"id":191,"type":"article-journal","container-title":"Small Business Economics","DOI":"10.1007/s11187-007-9088-4","ISSN":"0921-898X, 1573-0913","issue":"2","journalAbbreviation":"Small Bus Econ","language":"en","page":"117-136","source":"DOI.org (Crossref)","title":"Testing trade-off and pecking order theories financing SMEs","volume":"31","author":[{"family":"López-Gracia","given":"José"},{"family":"Sogorb-Mira","given":"Francisco"}],"issued":{"date-parts":[["2008",8]]}},"locator":"122"},{"id":201,"uris":["http://zotero.org/users/7233606/items/NT4TUI65"],"uri":["http://zotero.org/users/7233606/items/NT4TUI65"],"itemData":{"id":201,"type":"article-journal","abstract":"This paper considers a firm that must issue common stock to raise cash to undertake a valuable investment opportunity. Management is assumed to know more about the firm's value than potential investors. Investors interpret the firm's actions rationally. An equilibrium model of the issue-invest decision is developed under these assumptions. The model shows that firms may refuse to issue stock, and therefore may pass up valuable investment opportunities. The model suggests explanations for several aspects of corporate financing behavior, including the tendency to rely on internal sources of funds, and to prefer debt to equity if external financing is required. Extensions and applications of the model are discussed.","container-title":"Journal of Financial Economics","DOI":"10.1016/0304-405X(84)90023-0","ISSN":"0304-405X","issue":"2","journalAbbreviation":"Journal of Financial Economics","page":"187-221","title":"Corporate financing and investment decisions when firms have information that investors do not have","volume":"13","author":[{"family":"Myers","given":"Stewart C."},{"family":"Majluf","given":"Nicholas S."}],"issued":{"date-parts":[["1984",6,1]]}},"locator":"187 ff"}],"schema":"https://github.com/citation-style-language/schema/raw/master/csl-citation.json"} </w:instrText>
      </w:r>
      <w:r>
        <w:fldChar w:fldCharType="separate"/>
      </w:r>
      <w:r w:rsidRPr="00DB6FC9">
        <w:rPr>
          <w:rFonts w:cs="Times New Roman"/>
          <w:szCs w:val="24"/>
        </w:rPr>
        <w:t>Chittenden et al. (1996), S. 61;</w:t>
      </w:r>
      <w:r w:rsidR="00F455A1" w:rsidRPr="00F455A1">
        <w:rPr>
          <w:rFonts w:cs="Times New Roman"/>
          <w:szCs w:val="24"/>
        </w:rPr>
        <w:t xml:space="preserve"> vgl.</w:t>
      </w:r>
      <w:r w:rsidRPr="00DB6FC9">
        <w:rPr>
          <w:rFonts w:cs="Times New Roman"/>
          <w:szCs w:val="24"/>
        </w:rPr>
        <w:t xml:space="preserve"> López-Gracia / Sogorb-Mira (2008), S. 122;</w:t>
      </w:r>
      <w:r w:rsidR="002B0B77" w:rsidRPr="002B0B77">
        <w:rPr>
          <w:rFonts w:cs="Times New Roman"/>
          <w:szCs w:val="24"/>
        </w:rPr>
        <w:t xml:space="preserve"> vgl.</w:t>
      </w:r>
      <w:r w:rsidRPr="00DB6FC9">
        <w:rPr>
          <w:rFonts w:cs="Times New Roman"/>
          <w:szCs w:val="24"/>
        </w:rPr>
        <w:t xml:space="preserve"> Myers / Majluf (1984), S. 187 ff.</w:t>
      </w:r>
      <w:r>
        <w:fldChar w:fldCharType="end"/>
      </w:r>
    </w:p>
  </w:footnote>
  <w:footnote w:id="109">
    <w:p w14:paraId="36C9707D" w14:textId="170036CC" w:rsidR="002154EC" w:rsidRPr="006354CC" w:rsidRDefault="002154EC" w:rsidP="002154EC">
      <w:pPr>
        <w:pStyle w:val="Funotentext"/>
      </w:pPr>
      <w:r>
        <w:rPr>
          <w:rStyle w:val="Funotenzeichen"/>
        </w:rPr>
        <w:footnoteRef/>
      </w:r>
      <w:r w:rsidRPr="006354CC">
        <w:t xml:space="preserve"> </w:t>
      </w:r>
      <w:r w:rsidR="00C72392">
        <w:t xml:space="preserve">Vgl. </w:t>
      </w:r>
      <w:r>
        <w:fldChar w:fldCharType="begin"/>
      </w:r>
      <w:r w:rsidR="00FD5E8B">
        <w:instrText xml:space="preserve"> ADDIN ZOTERO_ITEM CSL_CITATION {"citationID":"0uqeUGxj","properties":{"formattedCitation":"Daskalakis, N. et al. (2013), S. 97.","plainCitation":"Daskalakis, N. et al. (2013), S. 97.","noteIndex":109},"citationItems":[{"id":180,"uris":["http://zotero.org/users/7233606/items/CPWQEIVL"],"uri":["http://zotero.org/users/7233606/items/CPWQEIVL"],"itemData":{"id":180,"type":"article-journal","abstract":"Purpose – The aims of the paper are three-fold: ﬁrst, to analyse how small and micro ﬁrms ﬁnance themselves; second, to investigate what their ﬁnancing preferences are; and third, to explore their opinions on how they evaluate the ﬁnancing sources and the various obstacles they face in accessing those sources.","container-title":"Journal of Small Business and Enterprise Development","DOI":"10.1108/14626001311298420","ISSN":"1462-6004","issue":"1","journalAbbreviation":"Jrnl of Small Bus Ente Dev","language":"en","page":"80-101","source":"DOI.org (Crossref)","title":"Financing practices and preferences for micro and small firms","volume":"20","author":[{"family":"Daskalakis","given":"Nikolaos"},{"family":"Jarvis","given":"Robin"},{"family":"Schizas","given":"Emmanouil"}],"issued":{"date-parts":[["2013",2,15]]}},"locator":"97"}],"schema":"https://github.com/citation-style-language/schema/raw/master/csl-citation.json"} </w:instrText>
      </w:r>
      <w:r>
        <w:fldChar w:fldCharType="separate"/>
      </w:r>
      <w:r w:rsidRPr="006354CC">
        <w:rPr>
          <w:rFonts w:cs="Times New Roman"/>
        </w:rPr>
        <w:t>Daskalakis et al. (2013), S. 97.</w:t>
      </w:r>
      <w:r>
        <w:fldChar w:fldCharType="end"/>
      </w:r>
    </w:p>
  </w:footnote>
  <w:footnote w:id="110">
    <w:p w14:paraId="752EFEAC" w14:textId="76E4222A" w:rsidR="00937340" w:rsidRPr="0003126D" w:rsidRDefault="00937340">
      <w:pPr>
        <w:pStyle w:val="Funotentext"/>
        <w:rPr>
          <w:lang w:val="en-US"/>
        </w:rPr>
      </w:pPr>
      <w:r>
        <w:rPr>
          <w:rStyle w:val="Funotenzeichen"/>
        </w:rPr>
        <w:footnoteRef/>
      </w:r>
      <w:r>
        <w:t xml:space="preserve"> </w:t>
      </w:r>
      <w:r w:rsidR="00C72392">
        <w:t xml:space="preserve">Vgl. </w:t>
      </w:r>
      <w:r>
        <w:fldChar w:fldCharType="begin"/>
      </w:r>
      <w:r w:rsidR="00FD5E8B">
        <w:instrText xml:space="preserve"> ADDIN ZOTERO_ITEM CSL_CITATION {"citationID":"idoSkddk","properties":{"formattedCitation":"Casey, E. / O\\uc0\\u8217{}Toole, C.M. (2014), S. 173 ff; Daskalakis, N. et al. (2013), S. 97; Holton, S. et al. (2014), S. 207; L\\uc0\\u243{}pez-Gracia, J. / Sogorb-Mira, F. (2008), S. 122; Moritz, A. et al. (2016), S. 116 ff.","plainCitation":"Casey, E. / O’Toole, C.M. (2014), S. 173 ff; Daskalakis, N. et al. (2013), S. 97; Holton, S. et al. (2014), S. 207; López-Gracia, J. / Sogorb-Mira, F. (2008), S. 122; Moritz, A. et al. (2016), S. 116 ff.","noteIndex":110},"citationItems":[{"id":182,"uris":["http://zotero.org/users/7233606/items/6TMXD2VI"],"uri":["http://zotero.org/users/7233606/items/6TMXD2VI"],"itemData":{"id":182,"type":"article-journal","abstract":"Using euro area firm-level data since the recent financial crisis, we test whether bank lending constrained small- and medium-sized enterprises (SMEs) are more likely to use or apply for alternative external finance including trade credit, informal lending, loans from other companies, market financing (issued debt or equity) and state grants. Our constraint indicators identify both credit-rationed firms and firms that self-ration due to high lending costs. We find that creditrationed firms are more likely to use, and apply for, trade credit. This increases with firm size and age. We also find that constrained firms are more likely to use informal lending or loans from other companies but find no evidence that bank-constrained SMEs apply for, or use, market finance. Smaller, self-rationing borrowers are more likely to apply for grant finance. Finally, we find that firms denied credit for working capital tend to turn to trade credit, while informal and intercompany lending tends to act as a substitute for bank investment loans.","container-title":"Journal of Corporate Finance","DOI":"10.1016/j.jcorpfin.2014.05.001","ISSN":"09291199","journalAbbreviation":"Journal of Corporate Finance","language":"en","page":"173-193","source":"DOI.org (Crossref)","title":"Bank lending constraints, trade credit and alternative financing during the financial crisis: Evidence from European SMEs","title-short":"Bank lending constraints, trade credit and alternative financing during the financial crisis","volume":"27","author":[{"family":"Casey","given":"Eddie"},{"family":"O'Toole","given":"Conor M."}],"issued":{"date-parts":[["2014",8]]}},"locator":"173 ff"},{"id":180,"uris":["http://zotero.org/users/7233606/items/CPWQEIVL"],"uri":["http://zotero.org/users/7233606/items/CPWQEIVL"],"itemData":{"id":180,"type":"article-journal","abstract":"Purpose – The aims of the paper are three-fold: ﬁrst, to analyse how small and micro ﬁrms ﬁnance themselves; second, to investigate what their ﬁnancing preferences are; and third, to explore their opinions on how they evaluate the ﬁnancing sources and the various obstacles they face in accessing those sources.","container-title":"Journal of Small Business and Enterprise Development","DOI":"10.1108/14626001311298420","ISSN":"1462-6004","issue":"1","journalAbbreviation":"Jrnl of Small Bus Ente Dev","language":"en","page":"80-101","source":"DOI.org (Crossref)","title":"Financing practices and preferences for micro and small firms","volume":"20","author":[{"family":"Daskalakis","given":"Nikolaos"},{"family":"Jarvis","given":"Robin"},{"family":"Schizas","given":"Emmanouil"}],"issued":{"date-parts":[["2013",2,15]]}},"locator":"97"},{"id":184,"uris":["http://zotero.org/users/7233606/items/PBHUNJXQ"],"uri":["http://zotero.org/users/7233606/items/PBHUNJXQ"],"itemData":{"id":184,"type":"article-journal","container-title":"Applied Economics","DOI":"10.1080/00036846.2013.824547","ISSN":"0003-6846, 1466-4283","issue":"2","journalAbbreviation":"Applied Economics","language":"en","page":"190-211","source":"DOI.org (Crossref)","title":"Firm credit in the euro area: a tale of three crises","title-short":"Firm credit in the euro area","volume":"46","author":[{"family":"Holton","given":"Sarah"},{"family":"Lawless","given":"Martina"},{"family":"McCann","given":"Fergal"}],"issued":{"date-parts":[["2014",1,12]]}},"locator":"207"},{"id":191,"uris":["http://zotero.org/users/7233606/items/BKDX7AJB"],"uri":["http://zotero.org/users/7233606/items/BKDX7AJB"],"itemData":{"id":191,"type":"article-journal","container-title":"Small Business Economics","DOI":"10.1007/s11187-007-9088-4","ISSN":"0921-898X, 1573-0913","issue":"2","journalAbbreviation":"Small Bus Econ","language":"en","page":"117-136","source":"DOI.org (Crossref)","title":"Testing trade-off and pecking order theories financing SMEs","volume":"31","author":[{"family":"López-Gracia","given":"José"},{"family":"Sogorb-Mira","given":"Francisco"}],"issued":{"date-parts":[["2008",8]]}},"locator":"122"},{"id":68,"uris":["http://zotero.org/users/7233606/items/37357BSK"],"uri":["http://zotero.org/users/7233606/items/37357BSK"],"itemData":{"id":68,"type":"article-journal",</w:instrText>
      </w:r>
      <w:r w:rsidR="00FD5E8B" w:rsidRPr="00FD5E8B">
        <w:rPr>
          <w:lang w:val="en-US"/>
        </w:rPr>
        <w:instrText xml:space="preserve">"abstract":"This paper develops an empirical taxonomy of SME financing patterns in Europe by performing a cluster analysis including 12,726 SMEs in 28 European countries. The results reveal that SME financing in Europe is not homogenous but that different financing patterns exist. The cluster analysis identifies six distinct SME financing types: mixed-financed SMEs, state-subsidised SMEs, debt-financed SMEs, flexible-debt-financed SMEs, trade-financed SMEs and internally financed SMEs. These SME financing types differ according to the number of financing instruments used and the combinations thereof. Furthermore, the SME financing types can be profiled according to their firm-, product-, industry- and country-specific characteristics. Our findings support policy-makers in assessing the impact of policy changes on SME financing and in designing financing programmes tailored to the specific needs of SMEs.","container-title":"Venture Capital","DOI":"10.1080/13691066.2016.1145900","ISSN":"1369-1066, 1464-5343","issue":"2","journalAbbreviation":"Venture Capital","language":"en","page":"115-148","source":"DOI.org (Crossref)","title":"Financing patterns of European SMEs – an empirical taxonomy","volume":"18","author":[{"family":"Moritz","given":"Alexandra"},{"family":"Block","given":"Joern H."},{"family":"Heinz","given":"Andreas"}],"issued":{"date-parts":[["2016",4,2]]}},"locator":"116 ff"}],"schema":"https://github.com/citation-style-language/schema/raw/master/csl-citation.json"} </w:instrText>
      </w:r>
      <w:r>
        <w:fldChar w:fldCharType="separate"/>
      </w:r>
      <w:r w:rsidRPr="00937340">
        <w:rPr>
          <w:rFonts w:cs="Times New Roman"/>
          <w:szCs w:val="24"/>
          <w:lang w:val="en-US"/>
        </w:rPr>
        <w:t>Casey / O’Toole (2014), S. 173 ff;</w:t>
      </w:r>
      <w:r w:rsidR="00C72392">
        <w:rPr>
          <w:rFonts w:cs="Times New Roman"/>
          <w:szCs w:val="24"/>
          <w:lang w:val="en-US"/>
        </w:rPr>
        <w:t xml:space="preserve"> vgl.</w:t>
      </w:r>
      <w:r w:rsidRPr="00937340">
        <w:rPr>
          <w:rFonts w:cs="Times New Roman"/>
          <w:szCs w:val="24"/>
          <w:lang w:val="en-US"/>
        </w:rPr>
        <w:t xml:space="preserve"> Daskalakis et al. </w:t>
      </w:r>
      <w:r w:rsidRPr="0003126D">
        <w:rPr>
          <w:rFonts w:cs="Times New Roman"/>
          <w:szCs w:val="24"/>
          <w:lang w:val="en-US"/>
        </w:rPr>
        <w:t>(2013), S. 97;</w:t>
      </w:r>
      <w:r w:rsidR="00C72392">
        <w:rPr>
          <w:rFonts w:cs="Times New Roman"/>
          <w:szCs w:val="24"/>
          <w:lang w:val="en-US"/>
        </w:rPr>
        <w:t xml:space="preserve"> vgl.</w:t>
      </w:r>
      <w:r w:rsidRPr="0003126D">
        <w:rPr>
          <w:rFonts w:cs="Times New Roman"/>
          <w:szCs w:val="24"/>
          <w:lang w:val="en-US"/>
        </w:rPr>
        <w:t xml:space="preserve"> Holton et al. (2014), S. 207;</w:t>
      </w:r>
      <w:r w:rsidR="00C72392">
        <w:rPr>
          <w:rFonts w:cs="Times New Roman"/>
          <w:szCs w:val="24"/>
          <w:lang w:val="en-US"/>
        </w:rPr>
        <w:t xml:space="preserve"> vgl.</w:t>
      </w:r>
      <w:r w:rsidRPr="0003126D">
        <w:rPr>
          <w:rFonts w:cs="Times New Roman"/>
          <w:szCs w:val="24"/>
          <w:lang w:val="en-US"/>
        </w:rPr>
        <w:t xml:space="preserve"> López-Gracia / Sogorb-Mira (2008), S. 122;</w:t>
      </w:r>
      <w:r w:rsidR="00C72392">
        <w:rPr>
          <w:rFonts w:cs="Times New Roman"/>
          <w:szCs w:val="24"/>
          <w:lang w:val="en-US"/>
        </w:rPr>
        <w:t xml:space="preserve"> vgl.</w:t>
      </w:r>
      <w:r w:rsidRPr="0003126D">
        <w:rPr>
          <w:rFonts w:cs="Times New Roman"/>
          <w:szCs w:val="24"/>
          <w:lang w:val="en-US"/>
        </w:rPr>
        <w:t xml:space="preserve"> Moritz et al. (2016), S. 116 ff.</w:t>
      </w:r>
      <w:r>
        <w:fldChar w:fldCharType="end"/>
      </w:r>
    </w:p>
  </w:footnote>
  <w:footnote w:id="111">
    <w:p w14:paraId="78F8189A" w14:textId="050EDC59" w:rsidR="004E37B3" w:rsidRPr="003E232A" w:rsidRDefault="004E37B3" w:rsidP="004E37B3">
      <w:pPr>
        <w:pStyle w:val="Funotentext"/>
        <w:rPr>
          <w:lang w:val="en-US"/>
        </w:rPr>
      </w:pPr>
      <w:r>
        <w:rPr>
          <w:rStyle w:val="Funotenzeichen"/>
        </w:rPr>
        <w:footnoteRef/>
      </w:r>
      <w:r w:rsidRPr="004339F9">
        <w:rPr>
          <w:lang w:val="en-US"/>
        </w:rPr>
        <w:t xml:space="preserve"> </w:t>
      </w:r>
      <w:r w:rsidR="00C72392" w:rsidRPr="00C72392">
        <w:rPr>
          <w:lang w:val="en-US"/>
        </w:rPr>
        <w:t xml:space="preserve">Vgl. </w:t>
      </w:r>
      <w:r>
        <w:fldChar w:fldCharType="begin"/>
      </w:r>
      <w:r w:rsidR="00FD5E8B">
        <w:rPr>
          <w:lang w:val="en-US"/>
        </w:rPr>
        <w:instrText xml:space="preserve"> ADDIN ZOTERO_ITEM CSL_CITATION {"citationID":"u8q3RpDx","properties":{"formattedCitation":"Chavis, L.W. et al. (2011), S. 488.","plainCitation":"Chavis, L.W. et al. (2011), S. 488.","noteIndex":111},"citationItems":[{"id":178,"uris":["http://zotero.org/users/7233606/items/K8YYGKLY"],"uri":["http://zotero.org/users/7233606/items/K8YYGKLY"],"itemData":{"id":178,"type":"article-journal","container-title":"The World Bank Economic Review","DOI":"10.1093/wber/lhr045","ISSN":"1564-698X, 0258-6770","issue":"3","language":"en","page":"486-507","source":"DOI.org (Crossref)","title":"The Impact of the Business Environment on Young Firm Financing","volume":"25","author":[{"family":"Chavis","given":"Larry W."},{"family":"Klapper","given":"Leora F."},{"family":"Love","given":"Inessa"}],"issued":{"date-parts":[["2011",1,1]]}},"locator":"488"}],"schema":"https://github.com/citation-style-language/schema/raw/master/csl-citation.json"} </w:instrText>
      </w:r>
      <w:r>
        <w:fldChar w:fldCharType="separate"/>
      </w:r>
      <w:r w:rsidRPr="004339F9">
        <w:rPr>
          <w:rFonts w:cs="Times New Roman"/>
          <w:lang w:val="en-US"/>
        </w:rPr>
        <w:t xml:space="preserve">Chavis et al. </w:t>
      </w:r>
      <w:r w:rsidRPr="003E232A">
        <w:rPr>
          <w:rFonts w:cs="Times New Roman"/>
          <w:lang w:val="en-US"/>
        </w:rPr>
        <w:t>(2011), S. 488.</w:t>
      </w:r>
      <w:r>
        <w:fldChar w:fldCharType="end"/>
      </w:r>
    </w:p>
  </w:footnote>
  <w:footnote w:id="112">
    <w:p w14:paraId="47E88300" w14:textId="27B64CC0" w:rsidR="00C74FDC" w:rsidRPr="003E232A" w:rsidRDefault="00C74FDC">
      <w:pPr>
        <w:pStyle w:val="Funotentext"/>
      </w:pPr>
      <w:r>
        <w:rPr>
          <w:rStyle w:val="Funotenzeichen"/>
        </w:rPr>
        <w:footnoteRef/>
      </w:r>
      <w:r w:rsidRPr="003E232A">
        <w:t xml:space="preserve"> </w:t>
      </w:r>
      <w:r w:rsidR="00ED3928" w:rsidRPr="003E232A">
        <w:t xml:space="preserve">Vgl. </w:t>
      </w:r>
      <w:r>
        <w:fldChar w:fldCharType="begin"/>
      </w:r>
      <w:r w:rsidR="00FD5E8B" w:rsidRPr="003E232A">
        <w:instrText xml:space="preserve"> ADDIN ZOTERO_ITEM CSL_CITATION {"citationID":"XrMlnYYN","properties":{"formattedCitation":"Howell, S.T. (2017), S. 1136.","plainCitation":"Howell, S.T. (2017), S. 1136.","noteIndex":112},"citationItems":[{"id":221,"uris":["http://zotero.org/users/7233606/items/BCB3H3ZE"],"uri":["http://zotero.org/users/7233606/items/BCB3H3ZE"],"itemData":{"id":221,"type":"article-journal","abstract":"Governments regularly subsidize new ventures to spur innovation. This paper conducts the first large-sample, quasi-experimental evaluation of R&amp;D subsidies. I use data on ranked applicants to the US Department of Energy's SBIR grant program. An early-stage award approximately doubles the probability that a firm receives subsequent venture capital and has large, positive impacts on patenting and revenue. These effects are stronger for more financially constrained firms. Certification, where the award contains information about firm quality, likely does not explain the grant effect. Instead, the grants are useful because they fund technology prototyping.(JEL D22, G24, G32, L53, O31, O34, O38)","container-title":"American Economic Review","DOI":"10.1257/aer.20150808","ISSN":"0002-8282","issue":"4","journalAbbreviation":"American Economic Review","language":"en","page":"1136-1164","source":"DOI.org (Crossref)","title":"Financing Innovation: Evidence from R&amp;D Grants","title-short":"Financing Innovation","volume":"107","author":[{"family":"Howell","given":"Sabrina T."}],"issued":{"date-parts":[["2017",4,1]]}},"locator":"1136"}],"schema":"https://github.com/citation-style-language/schema/raw/master/csl-citation.json"} </w:instrText>
      </w:r>
      <w:r>
        <w:fldChar w:fldCharType="separate"/>
      </w:r>
      <w:r w:rsidRPr="003E232A">
        <w:rPr>
          <w:rFonts w:cs="Times New Roman"/>
        </w:rPr>
        <w:t>Howell (2017), S. 1136.</w:t>
      </w:r>
      <w:r>
        <w:fldChar w:fldCharType="end"/>
      </w:r>
    </w:p>
  </w:footnote>
  <w:footnote w:id="113">
    <w:p w14:paraId="692B753C" w14:textId="77777777" w:rsidR="00A42B91" w:rsidRPr="002952BB" w:rsidRDefault="00A42B91" w:rsidP="00A42B91">
      <w:pPr>
        <w:pStyle w:val="Funotentext"/>
      </w:pPr>
      <w:r>
        <w:rPr>
          <w:rStyle w:val="Funotenzeichen"/>
        </w:rPr>
        <w:footnoteRef/>
      </w:r>
      <w:r w:rsidRPr="002952BB">
        <w:t xml:space="preserve"> Vgl. Abschnitt 3.2.1</w:t>
      </w:r>
    </w:p>
  </w:footnote>
  <w:footnote w:id="114">
    <w:p w14:paraId="7CD91264" w14:textId="2D16ADC8" w:rsidR="006D29FB" w:rsidRPr="003E232A" w:rsidRDefault="006D29FB">
      <w:pPr>
        <w:pStyle w:val="Funotentext"/>
      </w:pPr>
      <w:r>
        <w:rPr>
          <w:rStyle w:val="Funotenzeichen"/>
        </w:rPr>
        <w:footnoteRef/>
      </w:r>
      <w:r w:rsidR="00845044" w:rsidRPr="003E232A">
        <w:t xml:space="preserve">Vgl. </w:t>
      </w:r>
      <w:r w:rsidRPr="003E232A">
        <w:t xml:space="preserve"> </w:t>
      </w:r>
      <w:r>
        <w:fldChar w:fldCharType="begin"/>
      </w:r>
      <w:r w:rsidR="00FD5E8B" w:rsidRPr="003E232A">
        <w:instrText xml:space="preserve"> ADDIN ZOTERO_ITEM CSL_CITATION {"citationID":"UOPxstUu","properties":{"formattedCitation":"Forcella, D. / Hudon, M. (2016), S. 445.","plainCitation":"Forcella, D. / Hudon, M. (2016), S. 445.","noteIndex":114},"citationItems":[{"id":205,"uris":["http://zotero.org/users/7233606/items/MVR5SM7G"],"uri":["http://zotero.org/users/7233606/items/MVR5SM7G"],"itemData":{"id":205,"type":"article-journal","abstract":"Micro</w:instrText>
      </w:r>
      <w:r w:rsidR="00FD5E8B">
        <w:instrText>ﬁ</w:instrText>
      </w:r>
      <w:r w:rsidR="00FD5E8B" w:rsidRPr="003E232A">
        <w:instrText xml:space="preserve">nance institutions (MFIs) are alternative </w:instrText>
      </w:r>
      <w:r w:rsidR="00FD5E8B">
        <w:instrText>ﬁ</w:instrText>
      </w:r>
      <w:r w:rsidR="00FD5E8B" w:rsidRPr="003E232A">
        <w:instrText xml:space="preserve">nancial providers offering </w:instrText>
      </w:r>
      <w:r w:rsidR="00FD5E8B">
        <w:instrText>ﬁ</w:instrText>
      </w:r>
      <w:r w:rsidR="00FD5E8B" w:rsidRPr="003E232A">
        <w:instrText>nancial services to people typically excluded from the standard banking sector. While most MFIs are active in developing countries, there is also a young and developing micro</w:instrText>
      </w:r>
      <w:r w:rsidR="00FD5E8B">
        <w:instrText>ﬁ</w:instrText>
      </w:r>
      <w:r w:rsidR="00FD5E8B" w:rsidRPr="003E232A">
        <w:instrText>nance sector in Europe; however, very little literature exists on this MFI segment. In this paper, we analyze the environmental performance of 58 European MFIs. Our results suggest that the size of the MFI, investor concern for environmental performance and, to a lesser extent, donor interest, are closely related to the institution’s environmental performance. Moreover, providing loans larger than microcredits is linked to better environmental performance. This could suggest that the additional revenues generated from these loans, also called cross-subsidies, could help MFIs to strengthen their environmental bottom line. Finally, no evidence suggests that pro</w:instrText>
      </w:r>
      <w:r w:rsidR="00FD5E8B">
        <w:instrText>ﬁ</w:instrText>
      </w:r>
      <w:r w:rsidR="00FD5E8B" w:rsidRPr="003E232A">
        <w:instrText xml:space="preserve">t status explains environmental performance.","container-title":"Journal of Business Ethics","DOI":"10.1007/s10551-014-2452-9","ISSN":"0167-4544, 1573-0697","issue":"3","journalAbbreviation":"J Bus Ethics","language":"en","page":"445-459","source":"DOI.org (Crossref)","title":"Green Microfinance in Europe","volume":"135","author":[{"family":"Forcella","given":"Davide"},{"family":"Hudon","given":"Marek"}],"issued":{"date-parts":[["2016",5]]}},"locator":"445"}],"schema":"https://github.com/citation-style-language/schema/raw/master/csl-citation.json"} </w:instrText>
      </w:r>
      <w:r>
        <w:fldChar w:fldCharType="separate"/>
      </w:r>
      <w:r w:rsidRPr="003E232A">
        <w:rPr>
          <w:rFonts w:cs="Times New Roman"/>
        </w:rPr>
        <w:t>Forcella / Hudon (2016), S. 445.</w:t>
      </w:r>
      <w:r>
        <w:fldChar w:fldCharType="end"/>
      </w:r>
    </w:p>
  </w:footnote>
  <w:footnote w:id="115">
    <w:p w14:paraId="433D7A47" w14:textId="04CCD2D4" w:rsidR="00A42B91" w:rsidRDefault="00A42B91" w:rsidP="00A42B91">
      <w:pPr>
        <w:pStyle w:val="Funotentext"/>
      </w:pPr>
      <w:r>
        <w:rPr>
          <w:rStyle w:val="Funotenzeichen"/>
        </w:rPr>
        <w:footnoteRef/>
      </w:r>
      <w:r>
        <w:t xml:space="preserve"> Siehe dazu </w:t>
      </w:r>
    </w:p>
  </w:footnote>
  <w:footnote w:id="116">
    <w:p w14:paraId="2888DCD2" w14:textId="2C6A952A" w:rsidR="00A42B91" w:rsidRDefault="00A42B91" w:rsidP="00A42B91">
      <w:pPr>
        <w:pStyle w:val="Funotentext"/>
      </w:pPr>
      <w:r>
        <w:rPr>
          <w:rStyle w:val="Funotenzeichen"/>
        </w:rPr>
        <w:footnoteRef/>
      </w:r>
      <w:r>
        <w:t xml:space="preserve"> </w:t>
      </w:r>
      <w:r w:rsidR="00845044" w:rsidRPr="00ED3928">
        <w:rPr>
          <w:lang w:val="en-US"/>
        </w:rPr>
        <w:t>Vgl.</w:t>
      </w:r>
      <w:r w:rsidR="00845044">
        <w:rPr>
          <w:lang w:val="en-US"/>
        </w:rPr>
        <w:t xml:space="preserve"> </w:t>
      </w:r>
      <w:r>
        <w:fldChar w:fldCharType="begin"/>
      </w:r>
      <w:r w:rsidR="00FD5E8B">
        <w:instrText xml:space="preserve"> ADDIN ZOTERO_ITEM CSL_CITATION {"citationID":"dF0VaNbl","properties":{"formattedCitation":"Didier, T. et al. (2021), S. 4.","plainCitation":"Didier, T. et al. (2021), S. 4.","noteIndex":116},"citationItems":[{"id":157,"uris":["http://zotero.org/users/7233606/items/ZTEDMH9U"],"uri":["http://zotero.org/users/7233606/items/ZTEDMH9U"],"itemData":{"id":157,"type":"article-journal","container-title":"Journal of Financial Stability","DOI":"10.1016/j.jfs.2020.100837","ISSN":"15723089","journalAbbreviation":"Journal of Financial Stability","language":"en","page":"100837","source":"DOI.org (Crossref)","title":"Financing firms in hibernation during the COVID-19 pandemic","volume":"53","author":[{"family":"Didier","given":"Tatiana"},{"family":"Huneeus","given":"Federico"},{"family":"Larrain","given":"Mauricio"},{"family":"Schmukler","given":"Sergio L."}],"issued":{"date-parts":[["2021",4]]}},"locator":"4"}],"schema":"https://github.com/citation-style-language/schema/raw/master/csl-citation.json"} </w:instrText>
      </w:r>
      <w:r>
        <w:fldChar w:fldCharType="separate"/>
      </w:r>
      <w:r>
        <w:rPr>
          <w:rFonts w:cs="Times New Roman"/>
        </w:rPr>
        <w:t>Didier et al. (2021), S. 4.</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502283"/>
      <w:docPartObj>
        <w:docPartGallery w:val="Page Numbers (Margins)"/>
        <w:docPartUnique/>
      </w:docPartObj>
    </w:sdtPr>
    <w:sdtEndPr/>
    <w:sdtContent>
      <w:p w14:paraId="210EE69B" w14:textId="081AC8E5" w:rsidR="004C304A" w:rsidRDefault="004F311F">
        <w:pPr>
          <w:pStyle w:val="Kopfzeile"/>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E3F"/>
    <w:multiLevelType w:val="hybridMultilevel"/>
    <w:tmpl w:val="B89835CE"/>
    <w:lvl w:ilvl="0" w:tplc="05E09D40">
      <w:start w:val="1"/>
      <w:numFmt w:val="bullet"/>
      <w:lvlText w:val=""/>
      <w:lvlJc w:val="left"/>
      <w:pPr>
        <w:ind w:left="720" w:hanging="360"/>
      </w:pPr>
      <w:rPr>
        <w:rFonts w:ascii="Symbol" w:hAnsi="Symbol" w:hint="default"/>
        <w:color w:val="FFFFFF" w:themeColor="background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AA529F4"/>
    <w:multiLevelType w:val="multilevel"/>
    <w:tmpl w:val="86EA52E6"/>
    <w:lvl w:ilvl="0">
      <w:start w:val="1"/>
      <w:numFmt w:val="upperLetter"/>
      <w:lvlText w:val="%1"/>
      <w:lvlJc w:val="left"/>
      <w:pPr>
        <w:ind w:left="360" w:hanging="360"/>
      </w:pPr>
      <w:rPr>
        <w:rFonts w:hint="default"/>
      </w:rPr>
    </w:lvl>
    <w:lvl w:ilvl="1">
      <w:start w:val="1"/>
      <w:numFmt w:val="decimal"/>
      <w:lvlText w:val="B.%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C25537"/>
    <w:multiLevelType w:val="multilevel"/>
    <w:tmpl w:val="2998F4B0"/>
    <w:lvl w:ilvl="0">
      <w:start w:val="1"/>
      <w:numFmt w:val="decimal"/>
      <w:lvlText w:val="%1."/>
      <w:lvlJc w:val="left"/>
      <w:pPr>
        <w:ind w:left="360" w:hanging="360"/>
      </w:pPr>
    </w:lvl>
    <w:lvl w:ilvl="1">
      <w:start w:val="1"/>
      <w:numFmt w:val="decimal"/>
      <w:lvlText w:val="7.%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975132"/>
    <w:multiLevelType w:val="multilevel"/>
    <w:tmpl w:val="89BC67AE"/>
    <w:lvl w:ilvl="0">
      <w:start w:val="1"/>
      <w:numFmt w:val="decimal"/>
      <w:lvlText w:val="B.%1"/>
      <w:lvlJc w:val="left"/>
      <w:pPr>
        <w:ind w:left="360" w:hanging="360"/>
      </w:pPr>
      <w:rPr>
        <w:rFonts w:hint="default"/>
      </w:rPr>
    </w:lvl>
    <w:lvl w:ilvl="1">
      <w:start w:val="1"/>
      <w:numFmt w:val="decimal"/>
      <w:lvlText w:val="B.%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D11585D"/>
    <w:multiLevelType w:val="multilevel"/>
    <w:tmpl w:val="2E225002"/>
    <w:lvl w:ilvl="0">
      <w:start w:val="1"/>
      <w:numFmt w:val="decimal"/>
      <w:lvlText w:val="3.3.%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FB00E4"/>
    <w:multiLevelType w:val="multilevel"/>
    <w:tmpl w:val="49A6C82E"/>
    <w:lvl w:ilvl="0">
      <w:start w:val="1"/>
      <w:numFmt w:val="decimal"/>
      <w:lvlText w:val="5.%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190D4A"/>
    <w:multiLevelType w:val="multilevel"/>
    <w:tmpl w:val="8304A604"/>
    <w:lvl w:ilvl="0">
      <w:start w:val="1"/>
      <w:numFmt w:val="decimal"/>
      <w:pStyle w:val="Anhang1"/>
      <w:lvlText w:val="A.%1"/>
      <w:lvlJc w:val="left"/>
      <w:pPr>
        <w:ind w:left="360" w:hanging="360"/>
      </w:pPr>
      <w:rPr>
        <w:rFonts w:hint="default"/>
      </w:rPr>
    </w:lvl>
    <w:lvl w:ilvl="1">
      <w:start w:val="1"/>
      <w:numFmt w:val="decimal"/>
      <w:lvlText w:val="B.%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BEE09DD"/>
    <w:multiLevelType w:val="hybridMultilevel"/>
    <w:tmpl w:val="1FFC75B4"/>
    <w:lvl w:ilvl="0" w:tplc="1F52ED26">
      <w:start w:val="1"/>
      <w:numFmt w:val="decimal"/>
      <w:pStyle w:val="Formatvorlage1"/>
      <w:lvlText w:val="3.1.%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5F447A2C"/>
    <w:multiLevelType w:val="multilevel"/>
    <w:tmpl w:val="F2183DA6"/>
    <w:lvl w:ilvl="0">
      <w:start w:val="1"/>
      <w:numFmt w:val="decimal"/>
      <w:lvlText w:val="3.3.%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AF4A42"/>
    <w:multiLevelType w:val="multilevel"/>
    <w:tmpl w:val="79FC5FCE"/>
    <w:lvl w:ilvl="0">
      <w:start w:val="1"/>
      <w:numFmt w:val="decimal"/>
      <w:pStyle w:val="berschrift1"/>
      <w:suff w:val="space"/>
      <w:lvlText w:val="Kapitel %1"/>
      <w:lvlJc w:val="left"/>
      <w:pPr>
        <w:ind w:left="0" w:firstLine="0"/>
      </w:pPr>
      <w:rPr>
        <w:rFonts w:hint="default"/>
      </w:rPr>
    </w:lvl>
    <w:lvl w:ilvl="1">
      <w:start w:val="1"/>
      <w:numFmt w:val="decimal"/>
      <w:lvlText w:val="2.%2"/>
      <w:lvlJc w:val="left"/>
      <w:pPr>
        <w:ind w:left="0" w:firstLine="0"/>
      </w:pPr>
      <w:rPr>
        <w:rFonts w:hint="default"/>
      </w:rPr>
    </w:lvl>
    <w:lvl w:ilvl="2">
      <w:start w:val="1"/>
      <w:numFmt w:val="none"/>
      <w:pStyle w:val="berschrift3"/>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10" w15:restartNumberingAfterBreak="0">
    <w:nsid w:val="693E4329"/>
    <w:multiLevelType w:val="multilevel"/>
    <w:tmpl w:val="63284A0C"/>
    <w:lvl w:ilvl="0">
      <w:start w:val="1"/>
      <w:numFmt w:val="decimal"/>
      <w:lvlText w:val="%1."/>
      <w:lvlJc w:val="left"/>
      <w:pPr>
        <w:ind w:left="360" w:hanging="360"/>
      </w:pPr>
    </w:lvl>
    <w:lvl w:ilvl="1">
      <w:start w:val="1"/>
      <w:numFmt w:val="decimal"/>
      <w:lvlText w:val="4.%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C83440"/>
    <w:multiLevelType w:val="multilevel"/>
    <w:tmpl w:val="0C36D0A8"/>
    <w:lvl w:ilvl="0">
      <w:start w:val="1"/>
      <w:numFmt w:val="decimal"/>
      <w:suff w:val="space"/>
      <w:lvlText w:val="Kapitel %1"/>
      <w:lvlJc w:val="left"/>
      <w:pPr>
        <w:ind w:left="0" w:firstLine="0"/>
      </w:pPr>
      <w:rPr>
        <w:rFonts w:hint="default"/>
      </w:rPr>
    </w:lvl>
    <w:lvl w:ilvl="1">
      <w:start w:val="1"/>
      <w:numFmt w:val="decimal"/>
      <w:lvlText w:val="3.1.%2"/>
      <w:lvlJc w:val="left"/>
      <w:pPr>
        <w:ind w:left="0" w:firstLine="0"/>
      </w:pPr>
      <w:rPr>
        <w:rFonts w:hint="default"/>
      </w:rPr>
    </w:lvl>
    <w:lvl w:ilvl="2">
      <w:start w:val="1"/>
      <w:numFmt w:val="decimal"/>
      <w:lvlText w:val="3.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7383441B"/>
    <w:multiLevelType w:val="multilevel"/>
    <w:tmpl w:val="1CF4FF42"/>
    <w:lvl w:ilvl="0">
      <w:start w:val="1"/>
      <w:numFmt w:val="decimal"/>
      <w:lvlText w:val="6.%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8"/>
  </w:num>
  <w:num w:numId="4">
    <w:abstractNumId w:val="10"/>
  </w:num>
  <w:num w:numId="5">
    <w:abstractNumId w:val="12"/>
  </w:num>
  <w:num w:numId="6">
    <w:abstractNumId w:val="5"/>
  </w:num>
  <w:num w:numId="7">
    <w:abstractNumId w:val="7"/>
  </w:num>
  <w:num w:numId="8">
    <w:abstractNumId w:val="4"/>
  </w:num>
  <w:num w:numId="9">
    <w:abstractNumId w:val="6"/>
  </w:num>
  <w:num w:numId="10">
    <w:abstractNumId w:val="0"/>
  </w:num>
  <w:num w:numId="11">
    <w:abstractNumId w:val="11"/>
  </w:num>
  <w:num w:numId="12">
    <w:abstractNumId w:val="1"/>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76A5"/>
    <w:rsid w:val="00001CD5"/>
    <w:rsid w:val="0000256D"/>
    <w:rsid w:val="00002964"/>
    <w:rsid w:val="00004200"/>
    <w:rsid w:val="00005CD2"/>
    <w:rsid w:val="000060D9"/>
    <w:rsid w:val="00006603"/>
    <w:rsid w:val="000102D9"/>
    <w:rsid w:val="0001149C"/>
    <w:rsid w:val="00011CBE"/>
    <w:rsid w:val="0001386F"/>
    <w:rsid w:val="00015FE5"/>
    <w:rsid w:val="000164BC"/>
    <w:rsid w:val="000164EF"/>
    <w:rsid w:val="00016B32"/>
    <w:rsid w:val="00016D25"/>
    <w:rsid w:val="0001720C"/>
    <w:rsid w:val="00017E6A"/>
    <w:rsid w:val="00020B4A"/>
    <w:rsid w:val="0002199F"/>
    <w:rsid w:val="000257B3"/>
    <w:rsid w:val="00025E74"/>
    <w:rsid w:val="000263A2"/>
    <w:rsid w:val="00027B11"/>
    <w:rsid w:val="0003126D"/>
    <w:rsid w:val="00033C16"/>
    <w:rsid w:val="00036E6B"/>
    <w:rsid w:val="000418D4"/>
    <w:rsid w:val="00041A49"/>
    <w:rsid w:val="00042028"/>
    <w:rsid w:val="000420EB"/>
    <w:rsid w:val="0004243A"/>
    <w:rsid w:val="000424EA"/>
    <w:rsid w:val="0004295E"/>
    <w:rsid w:val="00042BF8"/>
    <w:rsid w:val="00043864"/>
    <w:rsid w:val="00044F7D"/>
    <w:rsid w:val="000451EF"/>
    <w:rsid w:val="0004555E"/>
    <w:rsid w:val="000458E6"/>
    <w:rsid w:val="00046B07"/>
    <w:rsid w:val="00052397"/>
    <w:rsid w:val="00054190"/>
    <w:rsid w:val="00054E2B"/>
    <w:rsid w:val="00055432"/>
    <w:rsid w:val="0005763D"/>
    <w:rsid w:val="00057CB5"/>
    <w:rsid w:val="00057D9D"/>
    <w:rsid w:val="000602F9"/>
    <w:rsid w:val="00060D55"/>
    <w:rsid w:val="00063D11"/>
    <w:rsid w:val="000647BF"/>
    <w:rsid w:val="0006650C"/>
    <w:rsid w:val="0006652F"/>
    <w:rsid w:val="00067289"/>
    <w:rsid w:val="00067401"/>
    <w:rsid w:val="00067BA1"/>
    <w:rsid w:val="0007044B"/>
    <w:rsid w:val="00070C8D"/>
    <w:rsid w:val="0007121A"/>
    <w:rsid w:val="000717BA"/>
    <w:rsid w:val="0007284F"/>
    <w:rsid w:val="00072AEB"/>
    <w:rsid w:val="00072CC8"/>
    <w:rsid w:val="0007321F"/>
    <w:rsid w:val="000732DD"/>
    <w:rsid w:val="00075E2B"/>
    <w:rsid w:val="000802D1"/>
    <w:rsid w:val="0008096B"/>
    <w:rsid w:val="00080E52"/>
    <w:rsid w:val="00080F49"/>
    <w:rsid w:val="00081A20"/>
    <w:rsid w:val="00081B33"/>
    <w:rsid w:val="00082CCE"/>
    <w:rsid w:val="00082EB7"/>
    <w:rsid w:val="000832D1"/>
    <w:rsid w:val="0008394E"/>
    <w:rsid w:val="00084516"/>
    <w:rsid w:val="00084725"/>
    <w:rsid w:val="00085D4C"/>
    <w:rsid w:val="000874AD"/>
    <w:rsid w:val="00087892"/>
    <w:rsid w:val="0009024A"/>
    <w:rsid w:val="000918AF"/>
    <w:rsid w:val="0009202C"/>
    <w:rsid w:val="00092699"/>
    <w:rsid w:val="00094D04"/>
    <w:rsid w:val="00096254"/>
    <w:rsid w:val="00096982"/>
    <w:rsid w:val="00096F35"/>
    <w:rsid w:val="000A1545"/>
    <w:rsid w:val="000A1DCB"/>
    <w:rsid w:val="000A4006"/>
    <w:rsid w:val="000A6825"/>
    <w:rsid w:val="000A68F7"/>
    <w:rsid w:val="000A692B"/>
    <w:rsid w:val="000A79FD"/>
    <w:rsid w:val="000B0775"/>
    <w:rsid w:val="000B1FDD"/>
    <w:rsid w:val="000B2001"/>
    <w:rsid w:val="000B431F"/>
    <w:rsid w:val="000B4A21"/>
    <w:rsid w:val="000B4E25"/>
    <w:rsid w:val="000B6A0A"/>
    <w:rsid w:val="000B6DF5"/>
    <w:rsid w:val="000C04D0"/>
    <w:rsid w:val="000C531D"/>
    <w:rsid w:val="000C566C"/>
    <w:rsid w:val="000C66E4"/>
    <w:rsid w:val="000C738F"/>
    <w:rsid w:val="000C7702"/>
    <w:rsid w:val="000D005E"/>
    <w:rsid w:val="000D14C5"/>
    <w:rsid w:val="000D4650"/>
    <w:rsid w:val="000D487E"/>
    <w:rsid w:val="000D600F"/>
    <w:rsid w:val="000D685F"/>
    <w:rsid w:val="000D6F95"/>
    <w:rsid w:val="000D73A0"/>
    <w:rsid w:val="000D75B0"/>
    <w:rsid w:val="000D7896"/>
    <w:rsid w:val="000E136D"/>
    <w:rsid w:val="000E4CA2"/>
    <w:rsid w:val="000E52FE"/>
    <w:rsid w:val="000F082D"/>
    <w:rsid w:val="000F1971"/>
    <w:rsid w:val="000F1F1C"/>
    <w:rsid w:val="000F36CE"/>
    <w:rsid w:val="000F4490"/>
    <w:rsid w:val="000F506C"/>
    <w:rsid w:val="000F5649"/>
    <w:rsid w:val="000F6244"/>
    <w:rsid w:val="000F7D08"/>
    <w:rsid w:val="0010126E"/>
    <w:rsid w:val="00103411"/>
    <w:rsid w:val="00103BF8"/>
    <w:rsid w:val="00110273"/>
    <w:rsid w:val="001108D9"/>
    <w:rsid w:val="0011101D"/>
    <w:rsid w:val="00113479"/>
    <w:rsid w:val="00114E34"/>
    <w:rsid w:val="00116299"/>
    <w:rsid w:val="00120EEE"/>
    <w:rsid w:val="00121728"/>
    <w:rsid w:val="00121FBA"/>
    <w:rsid w:val="00126364"/>
    <w:rsid w:val="00130D4C"/>
    <w:rsid w:val="001318F2"/>
    <w:rsid w:val="00131EE0"/>
    <w:rsid w:val="0013233C"/>
    <w:rsid w:val="001328B0"/>
    <w:rsid w:val="00134994"/>
    <w:rsid w:val="00134F2C"/>
    <w:rsid w:val="00137D95"/>
    <w:rsid w:val="00140954"/>
    <w:rsid w:val="00140CE1"/>
    <w:rsid w:val="00141C99"/>
    <w:rsid w:val="00142030"/>
    <w:rsid w:val="00142137"/>
    <w:rsid w:val="001426B1"/>
    <w:rsid w:val="001432CD"/>
    <w:rsid w:val="00143BE7"/>
    <w:rsid w:val="00143CC9"/>
    <w:rsid w:val="00143D33"/>
    <w:rsid w:val="0014437B"/>
    <w:rsid w:val="00144B98"/>
    <w:rsid w:val="001463F3"/>
    <w:rsid w:val="0015016A"/>
    <w:rsid w:val="0015083C"/>
    <w:rsid w:val="001510B9"/>
    <w:rsid w:val="00153859"/>
    <w:rsid w:val="0015454B"/>
    <w:rsid w:val="00154CC5"/>
    <w:rsid w:val="001554E3"/>
    <w:rsid w:val="00155794"/>
    <w:rsid w:val="00155F2D"/>
    <w:rsid w:val="001564E0"/>
    <w:rsid w:val="00157066"/>
    <w:rsid w:val="00157116"/>
    <w:rsid w:val="00157BCE"/>
    <w:rsid w:val="00160159"/>
    <w:rsid w:val="00161F8D"/>
    <w:rsid w:val="00162D40"/>
    <w:rsid w:val="00162FD7"/>
    <w:rsid w:val="00163EEC"/>
    <w:rsid w:val="001654C8"/>
    <w:rsid w:val="00166107"/>
    <w:rsid w:val="00166855"/>
    <w:rsid w:val="00166B43"/>
    <w:rsid w:val="0016781F"/>
    <w:rsid w:val="00167FA6"/>
    <w:rsid w:val="00170DB8"/>
    <w:rsid w:val="0017261E"/>
    <w:rsid w:val="001726EE"/>
    <w:rsid w:val="00173874"/>
    <w:rsid w:val="00174657"/>
    <w:rsid w:val="001755DB"/>
    <w:rsid w:val="00176642"/>
    <w:rsid w:val="001773DA"/>
    <w:rsid w:val="0018035C"/>
    <w:rsid w:val="0018071F"/>
    <w:rsid w:val="00180C6F"/>
    <w:rsid w:val="00182519"/>
    <w:rsid w:val="00182837"/>
    <w:rsid w:val="00182A3F"/>
    <w:rsid w:val="00184210"/>
    <w:rsid w:val="00184E20"/>
    <w:rsid w:val="001855D1"/>
    <w:rsid w:val="00187731"/>
    <w:rsid w:val="00187F40"/>
    <w:rsid w:val="001907D9"/>
    <w:rsid w:val="001915EF"/>
    <w:rsid w:val="00192C35"/>
    <w:rsid w:val="00192E81"/>
    <w:rsid w:val="00195278"/>
    <w:rsid w:val="00196688"/>
    <w:rsid w:val="001A0BAE"/>
    <w:rsid w:val="001A167E"/>
    <w:rsid w:val="001A34B5"/>
    <w:rsid w:val="001A3787"/>
    <w:rsid w:val="001A4D05"/>
    <w:rsid w:val="001A4E15"/>
    <w:rsid w:val="001A78AC"/>
    <w:rsid w:val="001B0097"/>
    <w:rsid w:val="001B056E"/>
    <w:rsid w:val="001B09F9"/>
    <w:rsid w:val="001B16CB"/>
    <w:rsid w:val="001B2364"/>
    <w:rsid w:val="001B2654"/>
    <w:rsid w:val="001B3520"/>
    <w:rsid w:val="001B3F0A"/>
    <w:rsid w:val="001B42E9"/>
    <w:rsid w:val="001B4A51"/>
    <w:rsid w:val="001C01BE"/>
    <w:rsid w:val="001C20AC"/>
    <w:rsid w:val="001C2590"/>
    <w:rsid w:val="001C2CAA"/>
    <w:rsid w:val="001C37CF"/>
    <w:rsid w:val="001C3C86"/>
    <w:rsid w:val="001C4043"/>
    <w:rsid w:val="001C4D62"/>
    <w:rsid w:val="001C5567"/>
    <w:rsid w:val="001C75FA"/>
    <w:rsid w:val="001D1764"/>
    <w:rsid w:val="001D2ED8"/>
    <w:rsid w:val="001D3BAE"/>
    <w:rsid w:val="001D40F8"/>
    <w:rsid w:val="001D4906"/>
    <w:rsid w:val="001D5343"/>
    <w:rsid w:val="001D73F1"/>
    <w:rsid w:val="001D793D"/>
    <w:rsid w:val="001E0034"/>
    <w:rsid w:val="001E078A"/>
    <w:rsid w:val="001E2A60"/>
    <w:rsid w:val="001E69D6"/>
    <w:rsid w:val="001E766B"/>
    <w:rsid w:val="001E7B25"/>
    <w:rsid w:val="001F1191"/>
    <w:rsid w:val="001F1DFE"/>
    <w:rsid w:val="001F2AD5"/>
    <w:rsid w:val="001F35E4"/>
    <w:rsid w:val="001F571C"/>
    <w:rsid w:val="001F67C3"/>
    <w:rsid w:val="001F690D"/>
    <w:rsid w:val="001F7668"/>
    <w:rsid w:val="00200C11"/>
    <w:rsid w:val="00204F30"/>
    <w:rsid w:val="0021004D"/>
    <w:rsid w:val="002100AB"/>
    <w:rsid w:val="002103C9"/>
    <w:rsid w:val="00212E05"/>
    <w:rsid w:val="002136BF"/>
    <w:rsid w:val="002154EC"/>
    <w:rsid w:val="00216980"/>
    <w:rsid w:val="00217D33"/>
    <w:rsid w:val="0022067E"/>
    <w:rsid w:val="0022101E"/>
    <w:rsid w:val="00222347"/>
    <w:rsid w:val="00222FFE"/>
    <w:rsid w:val="0022411E"/>
    <w:rsid w:val="0022449B"/>
    <w:rsid w:val="00225E5C"/>
    <w:rsid w:val="0022725E"/>
    <w:rsid w:val="00227B67"/>
    <w:rsid w:val="00227B76"/>
    <w:rsid w:val="00230985"/>
    <w:rsid w:val="002311D6"/>
    <w:rsid w:val="00232F1B"/>
    <w:rsid w:val="00234455"/>
    <w:rsid w:val="002352E5"/>
    <w:rsid w:val="00235AA6"/>
    <w:rsid w:val="00241989"/>
    <w:rsid w:val="00242B43"/>
    <w:rsid w:val="00243C36"/>
    <w:rsid w:val="0024414E"/>
    <w:rsid w:val="00247A5A"/>
    <w:rsid w:val="00247EFB"/>
    <w:rsid w:val="002510C7"/>
    <w:rsid w:val="00251B96"/>
    <w:rsid w:val="00253D27"/>
    <w:rsid w:val="002547F3"/>
    <w:rsid w:val="00260949"/>
    <w:rsid w:val="00261787"/>
    <w:rsid w:val="00261966"/>
    <w:rsid w:val="00262DC0"/>
    <w:rsid w:val="00263DEA"/>
    <w:rsid w:val="00263F42"/>
    <w:rsid w:val="00266C3F"/>
    <w:rsid w:val="002672DE"/>
    <w:rsid w:val="002705C4"/>
    <w:rsid w:val="00270FA0"/>
    <w:rsid w:val="002721D8"/>
    <w:rsid w:val="002730BC"/>
    <w:rsid w:val="00273899"/>
    <w:rsid w:val="002765FD"/>
    <w:rsid w:val="00277637"/>
    <w:rsid w:val="002802BC"/>
    <w:rsid w:val="002838C3"/>
    <w:rsid w:val="00285390"/>
    <w:rsid w:val="00286978"/>
    <w:rsid w:val="002908C4"/>
    <w:rsid w:val="00292605"/>
    <w:rsid w:val="0029360A"/>
    <w:rsid w:val="0029460C"/>
    <w:rsid w:val="002952BB"/>
    <w:rsid w:val="002962C5"/>
    <w:rsid w:val="002A2E41"/>
    <w:rsid w:val="002A2F25"/>
    <w:rsid w:val="002A4369"/>
    <w:rsid w:val="002A495A"/>
    <w:rsid w:val="002A4ADD"/>
    <w:rsid w:val="002A5975"/>
    <w:rsid w:val="002B00C8"/>
    <w:rsid w:val="002B0B77"/>
    <w:rsid w:val="002B2307"/>
    <w:rsid w:val="002B34A2"/>
    <w:rsid w:val="002B3708"/>
    <w:rsid w:val="002B4877"/>
    <w:rsid w:val="002B4DE1"/>
    <w:rsid w:val="002B739D"/>
    <w:rsid w:val="002C0766"/>
    <w:rsid w:val="002C2C6F"/>
    <w:rsid w:val="002C2FA5"/>
    <w:rsid w:val="002C316D"/>
    <w:rsid w:val="002C34F9"/>
    <w:rsid w:val="002C38F0"/>
    <w:rsid w:val="002C67F7"/>
    <w:rsid w:val="002D11BF"/>
    <w:rsid w:val="002D1642"/>
    <w:rsid w:val="002D2010"/>
    <w:rsid w:val="002D3108"/>
    <w:rsid w:val="002D4F42"/>
    <w:rsid w:val="002D5110"/>
    <w:rsid w:val="002D5A77"/>
    <w:rsid w:val="002D6CE3"/>
    <w:rsid w:val="002D7C3C"/>
    <w:rsid w:val="002E0B15"/>
    <w:rsid w:val="002E23AD"/>
    <w:rsid w:val="002E3109"/>
    <w:rsid w:val="002E3893"/>
    <w:rsid w:val="002E3DE1"/>
    <w:rsid w:val="002E3DF9"/>
    <w:rsid w:val="002E6828"/>
    <w:rsid w:val="002E6BD9"/>
    <w:rsid w:val="002F0A52"/>
    <w:rsid w:val="002F0B00"/>
    <w:rsid w:val="002F1A16"/>
    <w:rsid w:val="002F268B"/>
    <w:rsid w:val="002F2B4D"/>
    <w:rsid w:val="002F46CA"/>
    <w:rsid w:val="002F4C10"/>
    <w:rsid w:val="002F5CA0"/>
    <w:rsid w:val="002F746C"/>
    <w:rsid w:val="002F7610"/>
    <w:rsid w:val="002F7676"/>
    <w:rsid w:val="0030023B"/>
    <w:rsid w:val="003009A1"/>
    <w:rsid w:val="00300CB2"/>
    <w:rsid w:val="00303758"/>
    <w:rsid w:val="00304106"/>
    <w:rsid w:val="00304652"/>
    <w:rsid w:val="00304888"/>
    <w:rsid w:val="00304A37"/>
    <w:rsid w:val="00305AB8"/>
    <w:rsid w:val="00305C11"/>
    <w:rsid w:val="00305D52"/>
    <w:rsid w:val="003100DE"/>
    <w:rsid w:val="00312167"/>
    <w:rsid w:val="003133EC"/>
    <w:rsid w:val="003144FE"/>
    <w:rsid w:val="00315FB9"/>
    <w:rsid w:val="003160CC"/>
    <w:rsid w:val="00317195"/>
    <w:rsid w:val="003173BC"/>
    <w:rsid w:val="0031781D"/>
    <w:rsid w:val="00321033"/>
    <w:rsid w:val="00322204"/>
    <w:rsid w:val="00322BC5"/>
    <w:rsid w:val="00322CE9"/>
    <w:rsid w:val="0032366C"/>
    <w:rsid w:val="00323EC7"/>
    <w:rsid w:val="003248B5"/>
    <w:rsid w:val="003260B2"/>
    <w:rsid w:val="00326AC4"/>
    <w:rsid w:val="003272DA"/>
    <w:rsid w:val="00331750"/>
    <w:rsid w:val="0033292A"/>
    <w:rsid w:val="003347CF"/>
    <w:rsid w:val="00334CA3"/>
    <w:rsid w:val="00334FC3"/>
    <w:rsid w:val="00336206"/>
    <w:rsid w:val="0033633B"/>
    <w:rsid w:val="0033670A"/>
    <w:rsid w:val="003402DD"/>
    <w:rsid w:val="00340844"/>
    <w:rsid w:val="00341A36"/>
    <w:rsid w:val="00341C50"/>
    <w:rsid w:val="00342184"/>
    <w:rsid w:val="003421A2"/>
    <w:rsid w:val="0034260C"/>
    <w:rsid w:val="00343C75"/>
    <w:rsid w:val="00344A22"/>
    <w:rsid w:val="003451C8"/>
    <w:rsid w:val="00345F6D"/>
    <w:rsid w:val="00347C06"/>
    <w:rsid w:val="00350A18"/>
    <w:rsid w:val="00352FA4"/>
    <w:rsid w:val="003539CD"/>
    <w:rsid w:val="003551D7"/>
    <w:rsid w:val="00355E2D"/>
    <w:rsid w:val="00356186"/>
    <w:rsid w:val="00356328"/>
    <w:rsid w:val="0035658A"/>
    <w:rsid w:val="00356E26"/>
    <w:rsid w:val="003572CF"/>
    <w:rsid w:val="00363BF1"/>
    <w:rsid w:val="00370A7E"/>
    <w:rsid w:val="00371441"/>
    <w:rsid w:val="003719A3"/>
    <w:rsid w:val="00372601"/>
    <w:rsid w:val="00372E39"/>
    <w:rsid w:val="00374DF4"/>
    <w:rsid w:val="00381DEA"/>
    <w:rsid w:val="003827FC"/>
    <w:rsid w:val="0038282F"/>
    <w:rsid w:val="00382EEE"/>
    <w:rsid w:val="00383CF4"/>
    <w:rsid w:val="003842C9"/>
    <w:rsid w:val="003850A8"/>
    <w:rsid w:val="00385454"/>
    <w:rsid w:val="0038545C"/>
    <w:rsid w:val="003862C4"/>
    <w:rsid w:val="00387AF9"/>
    <w:rsid w:val="00390753"/>
    <w:rsid w:val="00390D60"/>
    <w:rsid w:val="00391004"/>
    <w:rsid w:val="00391AC6"/>
    <w:rsid w:val="00393FD7"/>
    <w:rsid w:val="00394C30"/>
    <w:rsid w:val="00396090"/>
    <w:rsid w:val="00396964"/>
    <w:rsid w:val="00397DE6"/>
    <w:rsid w:val="003A068C"/>
    <w:rsid w:val="003A172C"/>
    <w:rsid w:val="003A21E4"/>
    <w:rsid w:val="003A295E"/>
    <w:rsid w:val="003A29A2"/>
    <w:rsid w:val="003A301B"/>
    <w:rsid w:val="003A4A3D"/>
    <w:rsid w:val="003A52AF"/>
    <w:rsid w:val="003A539F"/>
    <w:rsid w:val="003A5ED4"/>
    <w:rsid w:val="003A6841"/>
    <w:rsid w:val="003A782C"/>
    <w:rsid w:val="003B013D"/>
    <w:rsid w:val="003B08FF"/>
    <w:rsid w:val="003B2800"/>
    <w:rsid w:val="003B2B2C"/>
    <w:rsid w:val="003B3045"/>
    <w:rsid w:val="003B444D"/>
    <w:rsid w:val="003B4BD2"/>
    <w:rsid w:val="003B4F17"/>
    <w:rsid w:val="003B6C23"/>
    <w:rsid w:val="003B788B"/>
    <w:rsid w:val="003B7A3F"/>
    <w:rsid w:val="003C060A"/>
    <w:rsid w:val="003C12F6"/>
    <w:rsid w:val="003C15D8"/>
    <w:rsid w:val="003C2084"/>
    <w:rsid w:val="003C2F69"/>
    <w:rsid w:val="003C3BEC"/>
    <w:rsid w:val="003C515E"/>
    <w:rsid w:val="003C5E43"/>
    <w:rsid w:val="003C6EA8"/>
    <w:rsid w:val="003C728D"/>
    <w:rsid w:val="003D1990"/>
    <w:rsid w:val="003D2A1D"/>
    <w:rsid w:val="003D2C98"/>
    <w:rsid w:val="003D2FEB"/>
    <w:rsid w:val="003D3FCD"/>
    <w:rsid w:val="003D46AC"/>
    <w:rsid w:val="003D494F"/>
    <w:rsid w:val="003D4DA8"/>
    <w:rsid w:val="003D6B75"/>
    <w:rsid w:val="003D6DDE"/>
    <w:rsid w:val="003D7E7A"/>
    <w:rsid w:val="003E03B0"/>
    <w:rsid w:val="003E090C"/>
    <w:rsid w:val="003E0C28"/>
    <w:rsid w:val="003E232A"/>
    <w:rsid w:val="003E2717"/>
    <w:rsid w:val="003E29CB"/>
    <w:rsid w:val="003E4067"/>
    <w:rsid w:val="003E443D"/>
    <w:rsid w:val="003E640D"/>
    <w:rsid w:val="003E6422"/>
    <w:rsid w:val="003E7080"/>
    <w:rsid w:val="003E7CDD"/>
    <w:rsid w:val="003F1ABF"/>
    <w:rsid w:val="003F1E15"/>
    <w:rsid w:val="003F43C1"/>
    <w:rsid w:val="003F66A9"/>
    <w:rsid w:val="003F6D62"/>
    <w:rsid w:val="003F7101"/>
    <w:rsid w:val="003F7E36"/>
    <w:rsid w:val="00401199"/>
    <w:rsid w:val="004018F7"/>
    <w:rsid w:val="00402957"/>
    <w:rsid w:val="0040330F"/>
    <w:rsid w:val="004034AF"/>
    <w:rsid w:val="00407B6C"/>
    <w:rsid w:val="004126FB"/>
    <w:rsid w:val="004140A0"/>
    <w:rsid w:val="004141D9"/>
    <w:rsid w:val="00414F6A"/>
    <w:rsid w:val="004175B2"/>
    <w:rsid w:val="00417DD6"/>
    <w:rsid w:val="00421B99"/>
    <w:rsid w:val="00422133"/>
    <w:rsid w:val="0042267F"/>
    <w:rsid w:val="00422FBE"/>
    <w:rsid w:val="00425B52"/>
    <w:rsid w:val="0042625E"/>
    <w:rsid w:val="00426FFD"/>
    <w:rsid w:val="00427C9E"/>
    <w:rsid w:val="00427E99"/>
    <w:rsid w:val="00431030"/>
    <w:rsid w:val="004339F9"/>
    <w:rsid w:val="00435AFB"/>
    <w:rsid w:val="0043635E"/>
    <w:rsid w:val="00437133"/>
    <w:rsid w:val="004371FB"/>
    <w:rsid w:val="004405B7"/>
    <w:rsid w:val="00441168"/>
    <w:rsid w:val="00441CC9"/>
    <w:rsid w:val="00442050"/>
    <w:rsid w:val="00445D2E"/>
    <w:rsid w:val="004472E0"/>
    <w:rsid w:val="00447C01"/>
    <w:rsid w:val="00451110"/>
    <w:rsid w:val="00451F36"/>
    <w:rsid w:val="0045465F"/>
    <w:rsid w:val="00454E26"/>
    <w:rsid w:val="00455094"/>
    <w:rsid w:val="0045586D"/>
    <w:rsid w:val="004574FF"/>
    <w:rsid w:val="00460590"/>
    <w:rsid w:val="004605D6"/>
    <w:rsid w:val="00461E46"/>
    <w:rsid w:val="00466A6F"/>
    <w:rsid w:val="004671A4"/>
    <w:rsid w:val="00467585"/>
    <w:rsid w:val="0047085B"/>
    <w:rsid w:val="00470C60"/>
    <w:rsid w:val="004713C5"/>
    <w:rsid w:val="00471D6D"/>
    <w:rsid w:val="0047261F"/>
    <w:rsid w:val="00472BC2"/>
    <w:rsid w:val="00474FA2"/>
    <w:rsid w:val="00475789"/>
    <w:rsid w:val="00476468"/>
    <w:rsid w:val="0048074E"/>
    <w:rsid w:val="004826A7"/>
    <w:rsid w:val="00483F38"/>
    <w:rsid w:val="00484187"/>
    <w:rsid w:val="00484752"/>
    <w:rsid w:val="00485743"/>
    <w:rsid w:val="00485A6E"/>
    <w:rsid w:val="004862AA"/>
    <w:rsid w:val="00486C93"/>
    <w:rsid w:val="004874B8"/>
    <w:rsid w:val="00487693"/>
    <w:rsid w:val="00490C93"/>
    <w:rsid w:val="004911D6"/>
    <w:rsid w:val="0049193B"/>
    <w:rsid w:val="00491AB1"/>
    <w:rsid w:val="00493943"/>
    <w:rsid w:val="00493F0F"/>
    <w:rsid w:val="004959A4"/>
    <w:rsid w:val="004960F9"/>
    <w:rsid w:val="00496EAE"/>
    <w:rsid w:val="004975A4"/>
    <w:rsid w:val="004A03E1"/>
    <w:rsid w:val="004A1663"/>
    <w:rsid w:val="004A2DA7"/>
    <w:rsid w:val="004A3151"/>
    <w:rsid w:val="004A4F17"/>
    <w:rsid w:val="004A772B"/>
    <w:rsid w:val="004A7C10"/>
    <w:rsid w:val="004B05B4"/>
    <w:rsid w:val="004B1A6C"/>
    <w:rsid w:val="004B4205"/>
    <w:rsid w:val="004B4CEF"/>
    <w:rsid w:val="004B5B5D"/>
    <w:rsid w:val="004B6F72"/>
    <w:rsid w:val="004B7B8E"/>
    <w:rsid w:val="004C1759"/>
    <w:rsid w:val="004C304A"/>
    <w:rsid w:val="004C3C6E"/>
    <w:rsid w:val="004C4BF9"/>
    <w:rsid w:val="004C5C84"/>
    <w:rsid w:val="004C60CF"/>
    <w:rsid w:val="004C60E5"/>
    <w:rsid w:val="004C7F77"/>
    <w:rsid w:val="004D0811"/>
    <w:rsid w:val="004D3B31"/>
    <w:rsid w:val="004D3B7F"/>
    <w:rsid w:val="004D3C37"/>
    <w:rsid w:val="004D4284"/>
    <w:rsid w:val="004D45BD"/>
    <w:rsid w:val="004D4FDA"/>
    <w:rsid w:val="004D6AF1"/>
    <w:rsid w:val="004D7EBC"/>
    <w:rsid w:val="004E0773"/>
    <w:rsid w:val="004E2C2E"/>
    <w:rsid w:val="004E37B3"/>
    <w:rsid w:val="004E54C1"/>
    <w:rsid w:val="004E5D52"/>
    <w:rsid w:val="004E6871"/>
    <w:rsid w:val="004E6BAF"/>
    <w:rsid w:val="004F02E4"/>
    <w:rsid w:val="004F209B"/>
    <w:rsid w:val="004F245B"/>
    <w:rsid w:val="004F311F"/>
    <w:rsid w:val="004F3BAA"/>
    <w:rsid w:val="004F55B7"/>
    <w:rsid w:val="004F6F58"/>
    <w:rsid w:val="0050234C"/>
    <w:rsid w:val="00502B76"/>
    <w:rsid w:val="00502CDD"/>
    <w:rsid w:val="00503951"/>
    <w:rsid w:val="00504048"/>
    <w:rsid w:val="00504C09"/>
    <w:rsid w:val="005056A9"/>
    <w:rsid w:val="00505B59"/>
    <w:rsid w:val="005100D0"/>
    <w:rsid w:val="005116B5"/>
    <w:rsid w:val="00513D70"/>
    <w:rsid w:val="00514717"/>
    <w:rsid w:val="00514CE6"/>
    <w:rsid w:val="00516293"/>
    <w:rsid w:val="00516AB0"/>
    <w:rsid w:val="0052218C"/>
    <w:rsid w:val="00522EA3"/>
    <w:rsid w:val="00523450"/>
    <w:rsid w:val="00524226"/>
    <w:rsid w:val="00526C1E"/>
    <w:rsid w:val="005312DD"/>
    <w:rsid w:val="00532825"/>
    <w:rsid w:val="00535B3D"/>
    <w:rsid w:val="00535FDB"/>
    <w:rsid w:val="00536039"/>
    <w:rsid w:val="00536666"/>
    <w:rsid w:val="00536CD9"/>
    <w:rsid w:val="005403D9"/>
    <w:rsid w:val="0054116D"/>
    <w:rsid w:val="005411B4"/>
    <w:rsid w:val="00541C1F"/>
    <w:rsid w:val="0054318E"/>
    <w:rsid w:val="00543D1F"/>
    <w:rsid w:val="00545183"/>
    <w:rsid w:val="00546901"/>
    <w:rsid w:val="0054780E"/>
    <w:rsid w:val="00547E13"/>
    <w:rsid w:val="00551A71"/>
    <w:rsid w:val="0055224C"/>
    <w:rsid w:val="00552809"/>
    <w:rsid w:val="00552824"/>
    <w:rsid w:val="00553F85"/>
    <w:rsid w:val="005557F2"/>
    <w:rsid w:val="005572F3"/>
    <w:rsid w:val="0055743B"/>
    <w:rsid w:val="005575EA"/>
    <w:rsid w:val="00560E5F"/>
    <w:rsid w:val="00561550"/>
    <w:rsid w:val="005637E8"/>
    <w:rsid w:val="005672E9"/>
    <w:rsid w:val="005676FC"/>
    <w:rsid w:val="005707DD"/>
    <w:rsid w:val="0057166B"/>
    <w:rsid w:val="00571996"/>
    <w:rsid w:val="00572F85"/>
    <w:rsid w:val="00574C04"/>
    <w:rsid w:val="00574E25"/>
    <w:rsid w:val="00575B1F"/>
    <w:rsid w:val="00576376"/>
    <w:rsid w:val="005770F1"/>
    <w:rsid w:val="005800D6"/>
    <w:rsid w:val="005806C1"/>
    <w:rsid w:val="00581693"/>
    <w:rsid w:val="00581BC5"/>
    <w:rsid w:val="00581DAA"/>
    <w:rsid w:val="0058363D"/>
    <w:rsid w:val="00583FE5"/>
    <w:rsid w:val="00584020"/>
    <w:rsid w:val="005858A8"/>
    <w:rsid w:val="00586297"/>
    <w:rsid w:val="0058649C"/>
    <w:rsid w:val="005865B6"/>
    <w:rsid w:val="005870CC"/>
    <w:rsid w:val="00590874"/>
    <w:rsid w:val="00590D1D"/>
    <w:rsid w:val="0059291E"/>
    <w:rsid w:val="00593295"/>
    <w:rsid w:val="00593D01"/>
    <w:rsid w:val="00596BBF"/>
    <w:rsid w:val="00597709"/>
    <w:rsid w:val="00597F5E"/>
    <w:rsid w:val="005A0E73"/>
    <w:rsid w:val="005A0FBB"/>
    <w:rsid w:val="005A301C"/>
    <w:rsid w:val="005A399F"/>
    <w:rsid w:val="005A4ABC"/>
    <w:rsid w:val="005A4F57"/>
    <w:rsid w:val="005A5C63"/>
    <w:rsid w:val="005A5D09"/>
    <w:rsid w:val="005A67E2"/>
    <w:rsid w:val="005A6DFB"/>
    <w:rsid w:val="005A6F4D"/>
    <w:rsid w:val="005B0EBB"/>
    <w:rsid w:val="005B4DA9"/>
    <w:rsid w:val="005B6918"/>
    <w:rsid w:val="005B6BF6"/>
    <w:rsid w:val="005B754D"/>
    <w:rsid w:val="005C01ED"/>
    <w:rsid w:val="005C0B61"/>
    <w:rsid w:val="005C0C92"/>
    <w:rsid w:val="005C2F24"/>
    <w:rsid w:val="005C356F"/>
    <w:rsid w:val="005C36ED"/>
    <w:rsid w:val="005C3BF2"/>
    <w:rsid w:val="005C3F46"/>
    <w:rsid w:val="005C40E1"/>
    <w:rsid w:val="005C430E"/>
    <w:rsid w:val="005C441D"/>
    <w:rsid w:val="005C6B7B"/>
    <w:rsid w:val="005D139F"/>
    <w:rsid w:val="005D1430"/>
    <w:rsid w:val="005D2806"/>
    <w:rsid w:val="005D3DC4"/>
    <w:rsid w:val="005D3FEF"/>
    <w:rsid w:val="005D65CB"/>
    <w:rsid w:val="005D6D73"/>
    <w:rsid w:val="005D71DE"/>
    <w:rsid w:val="005E0EE5"/>
    <w:rsid w:val="005E0FC3"/>
    <w:rsid w:val="005E1C89"/>
    <w:rsid w:val="005E2E83"/>
    <w:rsid w:val="005E3B8F"/>
    <w:rsid w:val="005E3D18"/>
    <w:rsid w:val="005E55CB"/>
    <w:rsid w:val="005E7F83"/>
    <w:rsid w:val="005F0240"/>
    <w:rsid w:val="005F0A24"/>
    <w:rsid w:val="005F1807"/>
    <w:rsid w:val="005F21A9"/>
    <w:rsid w:val="005F323B"/>
    <w:rsid w:val="005F3311"/>
    <w:rsid w:val="005F3500"/>
    <w:rsid w:val="005F4B41"/>
    <w:rsid w:val="005F53DA"/>
    <w:rsid w:val="005F677E"/>
    <w:rsid w:val="005F68E1"/>
    <w:rsid w:val="005F6B43"/>
    <w:rsid w:val="005F743F"/>
    <w:rsid w:val="00600608"/>
    <w:rsid w:val="006008D0"/>
    <w:rsid w:val="00600BCF"/>
    <w:rsid w:val="00602349"/>
    <w:rsid w:val="00602AEF"/>
    <w:rsid w:val="00602E53"/>
    <w:rsid w:val="0060363F"/>
    <w:rsid w:val="0060445A"/>
    <w:rsid w:val="00605954"/>
    <w:rsid w:val="00605A3D"/>
    <w:rsid w:val="00606971"/>
    <w:rsid w:val="00606C1D"/>
    <w:rsid w:val="00607054"/>
    <w:rsid w:val="00607B89"/>
    <w:rsid w:val="00611AE0"/>
    <w:rsid w:val="006122BA"/>
    <w:rsid w:val="0061258F"/>
    <w:rsid w:val="00612722"/>
    <w:rsid w:val="006156DB"/>
    <w:rsid w:val="00615995"/>
    <w:rsid w:val="006159F4"/>
    <w:rsid w:val="00616DFE"/>
    <w:rsid w:val="00617683"/>
    <w:rsid w:val="006178EE"/>
    <w:rsid w:val="006179A3"/>
    <w:rsid w:val="00617BA1"/>
    <w:rsid w:val="00617FD3"/>
    <w:rsid w:val="00620E33"/>
    <w:rsid w:val="00625B77"/>
    <w:rsid w:val="00625F84"/>
    <w:rsid w:val="006261A6"/>
    <w:rsid w:val="0062687F"/>
    <w:rsid w:val="00626AA0"/>
    <w:rsid w:val="00626FA7"/>
    <w:rsid w:val="0062710A"/>
    <w:rsid w:val="00627648"/>
    <w:rsid w:val="00630C60"/>
    <w:rsid w:val="0063143A"/>
    <w:rsid w:val="00632000"/>
    <w:rsid w:val="00633CE1"/>
    <w:rsid w:val="006354CC"/>
    <w:rsid w:val="00635889"/>
    <w:rsid w:val="00635DD3"/>
    <w:rsid w:val="0063617B"/>
    <w:rsid w:val="006361BA"/>
    <w:rsid w:val="00636BEA"/>
    <w:rsid w:val="00641B25"/>
    <w:rsid w:val="00641F81"/>
    <w:rsid w:val="00643252"/>
    <w:rsid w:val="006444ED"/>
    <w:rsid w:val="00644E2E"/>
    <w:rsid w:val="00645F8C"/>
    <w:rsid w:val="00646562"/>
    <w:rsid w:val="00650491"/>
    <w:rsid w:val="006525F3"/>
    <w:rsid w:val="00653D77"/>
    <w:rsid w:val="006552B5"/>
    <w:rsid w:val="006556F5"/>
    <w:rsid w:val="006605EF"/>
    <w:rsid w:val="00660D7E"/>
    <w:rsid w:val="0066221A"/>
    <w:rsid w:val="00663D10"/>
    <w:rsid w:val="00665044"/>
    <w:rsid w:val="00665A1E"/>
    <w:rsid w:val="006676AC"/>
    <w:rsid w:val="00667A05"/>
    <w:rsid w:val="00667DD8"/>
    <w:rsid w:val="0067060E"/>
    <w:rsid w:val="0067394E"/>
    <w:rsid w:val="00673BB0"/>
    <w:rsid w:val="00674238"/>
    <w:rsid w:val="00674BE8"/>
    <w:rsid w:val="0067698F"/>
    <w:rsid w:val="00676F73"/>
    <w:rsid w:val="006771E2"/>
    <w:rsid w:val="00677A13"/>
    <w:rsid w:val="0068266D"/>
    <w:rsid w:val="00682727"/>
    <w:rsid w:val="006836CC"/>
    <w:rsid w:val="0068378C"/>
    <w:rsid w:val="00683EE9"/>
    <w:rsid w:val="006843B3"/>
    <w:rsid w:val="006856D1"/>
    <w:rsid w:val="00687768"/>
    <w:rsid w:val="00692CC6"/>
    <w:rsid w:val="006937CA"/>
    <w:rsid w:val="0069465C"/>
    <w:rsid w:val="006947C6"/>
    <w:rsid w:val="00694C51"/>
    <w:rsid w:val="00695E7F"/>
    <w:rsid w:val="0069602D"/>
    <w:rsid w:val="006A2F40"/>
    <w:rsid w:val="006A31A0"/>
    <w:rsid w:val="006A3D49"/>
    <w:rsid w:val="006A49A1"/>
    <w:rsid w:val="006A4CC8"/>
    <w:rsid w:val="006A4DEB"/>
    <w:rsid w:val="006A7F5B"/>
    <w:rsid w:val="006B0B27"/>
    <w:rsid w:val="006B65D6"/>
    <w:rsid w:val="006B700E"/>
    <w:rsid w:val="006C0067"/>
    <w:rsid w:val="006C0526"/>
    <w:rsid w:val="006C0EEB"/>
    <w:rsid w:val="006C1F27"/>
    <w:rsid w:val="006C3548"/>
    <w:rsid w:val="006C3E31"/>
    <w:rsid w:val="006C4916"/>
    <w:rsid w:val="006C6D60"/>
    <w:rsid w:val="006D01B2"/>
    <w:rsid w:val="006D0E45"/>
    <w:rsid w:val="006D134B"/>
    <w:rsid w:val="006D2169"/>
    <w:rsid w:val="006D219B"/>
    <w:rsid w:val="006D2847"/>
    <w:rsid w:val="006D29FB"/>
    <w:rsid w:val="006D2B91"/>
    <w:rsid w:val="006D5208"/>
    <w:rsid w:val="006D6456"/>
    <w:rsid w:val="006D70DC"/>
    <w:rsid w:val="006D732F"/>
    <w:rsid w:val="006E05D3"/>
    <w:rsid w:val="006E0A2E"/>
    <w:rsid w:val="006E0B46"/>
    <w:rsid w:val="006E0C7B"/>
    <w:rsid w:val="006E188A"/>
    <w:rsid w:val="006E1988"/>
    <w:rsid w:val="006E1AA7"/>
    <w:rsid w:val="006E1E98"/>
    <w:rsid w:val="006E4C14"/>
    <w:rsid w:val="006E7509"/>
    <w:rsid w:val="006F0C5A"/>
    <w:rsid w:val="006F0CCE"/>
    <w:rsid w:val="006F1FAE"/>
    <w:rsid w:val="006F200D"/>
    <w:rsid w:val="006F2618"/>
    <w:rsid w:val="006F3625"/>
    <w:rsid w:val="006F375B"/>
    <w:rsid w:val="006F503F"/>
    <w:rsid w:val="006F5C4B"/>
    <w:rsid w:val="006F61CF"/>
    <w:rsid w:val="006F762D"/>
    <w:rsid w:val="006F7A2B"/>
    <w:rsid w:val="00702521"/>
    <w:rsid w:val="00702D9D"/>
    <w:rsid w:val="0070468F"/>
    <w:rsid w:val="007048C9"/>
    <w:rsid w:val="00707E43"/>
    <w:rsid w:val="00710136"/>
    <w:rsid w:val="00710D0C"/>
    <w:rsid w:val="007145B2"/>
    <w:rsid w:val="00715926"/>
    <w:rsid w:val="00715AA9"/>
    <w:rsid w:val="00715E07"/>
    <w:rsid w:val="00717D7E"/>
    <w:rsid w:val="00720081"/>
    <w:rsid w:val="00720B2E"/>
    <w:rsid w:val="007223FF"/>
    <w:rsid w:val="0072291F"/>
    <w:rsid w:val="00723C87"/>
    <w:rsid w:val="00726046"/>
    <w:rsid w:val="00726AD8"/>
    <w:rsid w:val="00726C9B"/>
    <w:rsid w:val="00727E92"/>
    <w:rsid w:val="00727F8D"/>
    <w:rsid w:val="007308E5"/>
    <w:rsid w:val="00731D89"/>
    <w:rsid w:val="00735C93"/>
    <w:rsid w:val="00736CF4"/>
    <w:rsid w:val="00736D0C"/>
    <w:rsid w:val="00737A0E"/>
    <w:rsid w:val="007404CE"/>
    <w:rsid w:val="007405A1"/>
    <w:rsid w:val="00742D9F"/>
    <w:rsid w:val="007436CF"/>
    <w:rsid w:val="00743E38"/>
    <w:rsid w:val="00745104"/>
    <w:rsid w:val="007453A5"/>
    <w:rsid w:val="0074575A"/>
    <w:rsid w:val="00745FF9"/>
    <w:rsid w:val="00746D0A"/>
    <w:rsid w:val="00747A25"/>
    <w:rsid w:val="00751998"/>
    <w:rsid w:val="0075272C"/>
    <w:rsid w:val="007551C9"/>
    <w:rsid w:val="00755813"/>
    <w:rsid w:val="00755A56"/>
    <w:rsid w:val="00755B07"/>
    <w:rsid w:val="00755FCF"/>
    <w:rsid w:val="007564F2"/>
    <w:rsid w:val="0075717B"/>
    <w:rsid w:val="00760CB2"/>
    <w:rsid w:val="00760CC8"/>
    <w:rsid w:val="0076113D"/>
    <w:rsid w:val="00765524"/>
    <w:rsid w:val="007659FC"/>
    <w:rsid w:val="00766197"/>
    <w:rsid w:val="00766EA2"/>
    <w:rsid w:val="00767E21"/>
    <w:rsid w:val="007712E5"/>
    <w:rsid w:val="00771324"/>
    <w:rsid w:val="00771FCF"/>
    <w:rsid w:val="007742F4"/>
    <w:rsid w:val="00774F94"/>
    <w:rsid w:val="00776647"/>
    <w:rsid w:val="0077704B"/>
    <w:rsid w:val="00777319"/>
    <w:rsid w:val="007808F6"/>
    <w:rsid w:val="00781972"/>
    <w:rsid w:val="00781A45"/>
    <w:rsid w:val="00781CF7"/>
    <w:rsid w:val="00782FD8"/>
    <w:rsid w:val="007836ED"/>
    <w:rsid w:val="00785EF2"/>
    <w:rsid w:val="007923D9"/>
    <w:rsid w:val="00792BD6"/>
    <w:rsid w:val="00792C51"/>
    <w:rsid w:val="007947BF"/>
    <w:rsid w:val="00795FA3"/>
    <w:rsid w:val="0079705E"/>
    <w:rsid w:val="007A13E9"/>
    <w:rsid w:val="007A24F3"/>
    <w:rsid w:val="007A27B1"/>
    <w:rsid w:val="007A2D27"/>
    <w:rsid w:val="007A3C4B"/>
    <w:rsid w:val="007A3E17"/>
    <w:rsid w:val="007A5325"/>
    <w:rsid w:val="007A55B8"/>
    <w:rsid w:val="007A6BF9"/>
    <w:rsid w:val="007A6DE6"/>
    <w:rsid w:val="007B1FF1"/>
    <w:rsid w:val="007B3838"/>
    <w:rsid w:val="007B4A01"/>
    <w:rsid w:val="007B5B41"/>
    <w:rsid w:val="007B6155"/>
    <w:rsid w:val="007B6322"/>
    <w:rsid w:val="007B67CA"/>
    <w:rsid w:val="007B7604"/>
    <w:rsid w:val="007B7E8B"/>
    <w:rsid w:val="007C0CDE"/>
    <w:rsid w:val="007C21DE"/>
    <w:rsid w:val="007C28A1"/>
    <w:rsid w:val="007C28B1"/>
    <w:rsid w:val="007C3A1B"/>
    <w:rsid w:val="007C5430"/>
    <w:rsid w:val="007C54F3"/>
    <w:rsid w:val="007C552D"/>
    <w:rsid w:val="007C61FC"/>
    <w:rsid w:val="007C6589"/>
    <w:rsid w:val="007D483F"/>
    <w:rsid w:val="007D4D75"/>
    <w:rsid w:val="007D56FD"/>
    <w:rsid w:val="007D6E8A"/>
    <w:rsid w:val="007E0EED"/>
    <w:rsid w:val="007E10B7"/>
    <w:rsid w:val="007E1E17"/>
    <w:rsid w:val="007E2F25"/>
    <w:rsid w:val="007E4054"/>
    <w:rsid w:val="007F1C08"/>
    <w:rsid w:val="007F1C49"/>
    <w:rsid w:val="007F260B"/>
    <w:rsid w:val="007F2E4E"/>
    <w:rsid w:val="007F2FC9"/>
    <w:rsid w:val="007F30FB"/>
    <w:rsid w:val="007F4F1D"/>
    <w:rsid w:val="007F4FDF"/>
    <w:rsid w:val="007F6DED"/>
    <w:rsid w:val="00801886"/>
    <w:rsid w:val="008023A9"/>
    <w:rsid w:val="008028D1"/>
    <w:rsid w:val="00803F58"/>
    <w:rsid w:val="00804762"/>
    <w:rsid w:val="00810663"/>
    <w:rsid w:val="00810BB1"/>
    <w:rsid w:val="008124BE"/>
    <w:rsid w:val="008133EC"/>
    <w:rsid w:val="008140F4"/>
    <w:rsid w:val="0081448E"/>
    <w:rsid w:val="00815F02"/>
    <w:rsid w:val="00817D71"/>
    <w:rsid w:val="00820280"/>
    <w:rsid w:val="00820D96"/>
    <w:rsid w:val="00821626"/>
    <w:rsid w:val="00821628"/>
    <w:rsid w:val="008216DC"/>
    <w:rsid w:val="008217F7"/>
    <w:rsid w:val="008230E2"/>
    <w:rsid w:val="00823928"/>
    <w:rsid w:val="00823AA6"/>
    <w:rsid w:val="00825A48"/>
    <w:rsid w:val="008264DC"/>
    <w:rsid w:val="008264DD"/>
    <w:rsid w:val="00827C4D"/>
    <w:rsid w:val="00831AD5"/>
    <w:rsid w:val="008332AD"/>
    <w:rsid w:val="008350BE"/>
    <w:rsid w:val="00835C58"/>
    <w:rsid w:val="00836BC1"/>
    <w:rsid w:val="00837BA9"/>
    <w:rsid w:val="008401E9"/>
    <w:rsid w:val="00840F10"/>
    <w:rsid w:val="00842757"/>
    <w:rsid w:val="00844330"/>
    <w:rsid w:val="00844936"/>
    <w:rsid w:val="00845044"/>
    <w:rsid w:val="00850CF4"/>
    <w:rsid w:val="0085298E"/>
    <w:rsid w:val="00855E43"/>
    <w:rsid w:val="0085644D"/>
    <w:rsid w:val="00857040"/>
    <w:rsid w:val="00857069"/>
    <w:rsid w:val="00857708"/>
    <w:rsid w:val="008602D6"/>
    <w:rsid w:val="00860D54"/>
    <w:rsid w:val="00860EB5"/>
    <w:rsid w:val="00863960"/>
    <w:rsid w:val="00863ED4"/>
    <w:rsid w:val="00864142"/>
    <w:rsid w:val="00866AB4"/>
    <w:rsid w:val="00867442"/>
    <w:rsid w:val="00867AD0"/>
    <w:rsid w:val="008741B3"/>
    <w:rsid w:val="008750C9"/>
    <w:rsid w:val="008757A5"/>
    <w:rsid w:val="00875AB9"/>
    <w:rsid w:val="0087683B"/>
    <w:rsid w:val="00876951"/>
    <w:rsid w:val="00876BD0"/>
    <w:rsid w:val="00877936"/>
    <w:rsid w:val="00880616"/>
    <w:rsid w:val="008809C8"/>
    <w:rsid w:val="0088187F"/>
    <w:rsid w:val="0088248F"/>
    <w:rsid w:val="00885603"/>
    <w:rsid w:val="00890487"/>
    <w:rsid w:val="0089107F"/>
    <w:rsid w:val="00892210"/>
    <w:rsid w:val="008924F4"/>
    <w:rsid w:val="0089287B"/>
    <w:rsid w:val="008928BE"/>
    <w:rsid w:val="00893416"/>
    <w:rsid w:val="00895734"/>
    <w:rsid w:val="00896870"/>
    <w:rsid w:val="008A1E26"/>
    <w:rsid w:val="008A35C7"/>
    <w:rsid w:val="008A3E7D"/>
    <w:rsid w:val="008A4036"/>
    <w:rsid w:val="008A4724"/>
    <w:rsid w:val="008A4976"/>
    <w:rsid w:val="008A4B41"/>
    <w:rsid w:val="008A4CE4"/>
    <w:rsid w:val="008A4FF6"/>
    <w:rsid w:val="008A7FDD"/>
    <w:rsid w:val="008B17A0"/>
    <w:rsid w:val="008B28FE"/>
    <w:rsid w:val="008B2F39"/>
    <w:rsid w:val="008B4223"/>
    <w:rsid w:val="008B5EF4"/>
    <w:rsid w:val="008B6499"/>
    <w:rsid w:val="008B6A95"/>
    <w:rsid w:val="008B6D7E"/>
    <w:rsid w:val="008B6D85"/>
    <w:rsid w:val="008B7C80"/>
    <w:rsid w:val="008C1F3B"/>
    <w:rsid w:val="008C2456"/>
    <w:rsid w:val="008C2ABB"/>
    <w:rsid w:val="008C306A"/>
    <w:rsid w:val="008C5337"/>
    <w:rsid w:val="008C56BA"/>
    <w:rsid w:val="008C5EFF"/>
    <w:rsid w:val="008C7148"/>
    <w:rsid w:val="008C7403"/>
    <w:rsid w:val="008C7681"/>
    <w:rsid w:val="008D0349"/>
    <w:rsid w:val="008D0C88"/>
    <w:rsid w:val="008D0E57"/>
    <w:rsid w:val="008D1F40"/>
    <w:rsid w:val="008D2C97"/>
    <w:rsid w:val="008D490F"/>
    <w:rsid w:val="008D64B2"/>
    <w:rsid w:val="008D6ABE"/>
    <w:rsid w:val="008D6C83"/>
    <w:rsid w:val="008E0BA8"/>
    <w:rsid w:val="008E2A70"/>
    <w:rsid w:val="008E3666"/>
    <w:rsid w:val="008F1E22"/>
    <w:rsid w:val="008F2789"/>
    <w:rsid w:val="008F3D22"/>
    <w:rsid w:val="008F3D9A"/>
    <w:rsid w:val="008F5500"/>
    <w:rsid w:val="008F61A3"/>
    <w:rsid w:val="008F67ED"/>
    <w:rsid w:val="008F698E"/>
    <w:rsid w:val="008F71DD"/>
    <w:rsid w:val="009023DB"/>
    <w:rsid w:val="00902500"/>
    <w:rsid w:val="00902E24"/>
    <w:rsid w:val="009053A2"/>
    <w:rsid w:val="009053CB"/>
    <w:rsid w:val="00905EAA"/>
    <w:rsid w:val="009064BC"/>
    <w:rsid w:val="009102F6"/>
    <w:rsid w:val="009103E3"/>
    <w:rsid w:val="00910859"/>
    <w:rsid w:val="00910A47"/>
    <w:rsid w:val="00910AD2"/>
    <w:rsid w:val="0091146A"/>
    <w:rsid w:val="009119BA"/>
    <w:rsid w:val="009136B7"/>
    <w:rsid w:val="009154C6"/>
    <w:rsid w:val="0092115E"/>
    <w:rsid w:val="0092197F"/>
    <w:rsid w:val="0092429D"/>
    <w:rsid w:val="009243F3"/>
    <w:rsid w:val="00924492"/>
    <w:rsid w:val="00924B4E"/>
    <w:rsid w:val="00925102"/>
    <w:rsid w:val="0092515C"/>
    <w:rsid w:val="0093256A"/>
    <w:rsid w:val="009326CD"/>
    <w:rsid w:val="009333DB"/>
    <w:rsid w:val="00933A11"/>
    <w:rsid w:val="00933A1E"/>
    <w:rsid w:val="00935200"/>
    <w:rsid w:val="00935671"/>
    <w:rsid w:val="00935B5C"/>
    <w:rsid w:val="00935D70"/>
    <w:rsid w:val="00936202"/>
    <w:rsid w:val="00937340"/>
    <w:rsid w:val="00937ECA"/>
    <w:rsid w:val="00940448"/>
    <w:rsid w:val="00942352"/>
    <w:rsid w:val="009435A7"/>
    <w:rsid w:val="009437BA"/>
    <w:rsid w:val="00944D34"/>
    <w:rsid w:val="00944E42"/>
    <w:rsid w:val="00945A04"/>
    <w:rsid w:val="00945DC5"/>
    <w:rsid w:val="0094628F"/>
    <w:rsid w:val="00946391"/>
    <w:rsid w:val="009464F4"/>
    <w:rsid w:val="009468C8"/>
    <w:rsid w:val="00950764"/>
    <w:rsid w:val="0095084A"/>
    <w:rsid w:val="00950B10"/>
    <w:rsid w:val="009534E0"/>
    <w:rsid w:val="009553DC"/>
    <w:rsid w:val="00956B63"/>
    <w:rsid w:val="00957DFD"/>
    <w:rsid w:val="00960C77"/>
    <w:rsid w:val="00960ED3"/>
    <w:rsid w:val="0096365D"/>
    <w:rsid w:val="00965003"/>
    <w:rsid w:val="00965DEB"/>
    <w:rsid w:val="00965EA3"/>
    <w:rsid w:val="009666DC"/>
    <w:rsid w:val="009667EB"/>
    <w:rsid w:val="00973EA3"/>
    <w:rsid w:val="00974D4A"/>
    <w:rsid w:val="00974EBE"/>
    <w:rsid w:val="00975519"/>
    <w:rsid w:val="009760D5"/>
    <w:rsid w:val="0097654D"/>
    <w:rsid w:val="00976D42"/>
    <w:rsid w:val="00980652"/>
    <w:rsid w:val="009807EC"/>
    <w:rsid w:val="009832EC"/>
    <w:rsid w:val="00984470"/>
    <w:rsid w:val="009855C5"/>
    <w:rsid w:val="009875CE"/>
    <w:rsid w:val="00987E7B"/>
    <w:rsid w:val="0099184B"/>
    <w:rsid w:val="009932CC"/>
    <w:rsid w:val="0099443A"/>
    <w:rsid w:val="0099490F"/>
    <w:rsid w:val="00995683"/>
    <w:rsid w:val="0099568D"/>
    <w:rsid w:val="00996A2E"/>
    <w:rsid w:val="00996DC5"/>
    <w:rsid w:val="00996F83"/>
    <w:rsid w:val="009A0673"/>
    <w:rsid w:val="009A1226"/>
    <w:rsid w:val="009A21D1"/>
    <w:rsid w:val="009A44B6"/>
    <w:rsid w:val="009A4594"/>
    <w:rsid w:val="009A4928"/>
    <w:rsid w:val="009A4B6F"/>
    <w:rsid w:val="009A6193"/>
    <w:rsid w:val="009A6B5A"/>
    <w:rsid w:val="009A744A"/>
    <w:rsid w:val="009B02EC"/>
    <w:rsid w:val="009B08E4"/>
    <w:rsid w:val="009B535C"/>
    <w:rsid w:val="009C09DC"/>
    <w:rsid w:val="009C0C1E"/>
    <w:rsid w:val="009C4805"/>
    <w:rsid w:val="009C6328"/>
    <w:rsid w:val="009C6680"/>
    <w:rsid w:val="009C77BC"/>
    <w:rsid w:val="009C78DA"/>
    <w:rsid w:val="009D0AFF"/>
    <w:rsid w:val="009D26AC"/>
    <w:rsid w:val="009D3669"/>
    <w:rsid w:val="009D5337"/>
    <w:rsid w:val="009D6724"/>
    <w:rsid w:val="009D68A7"/>
    <w:rsid w:val="009D696C"/>
    <w:rsid w:val="009D7750"/>
    <w:rsid w:val="009E0126"/>
    <w:rsid w:val="009E099A"/>
    <w:rsid w:val="009E1A0E"/>
    <w:rsid w:val="009E1DD6"/>
    <w:rsid w:val="009E1FF8"/>
    <w:rsid w:val="009E2D6D"/>
    <w:rsid w:val="009E3660"/>
    <w:rsid w:val="009E51F7"/>
    <w:rsid w:val="009E599A"/>
    <w:rsid w:val="009E7730"/>
    <w:rsid w:val="009F1A19"/>
    <w:rsid w:val="009F1C7D"/>
    <w:rsid w:val="009F221A"/>
    <w:rsid w:val="009F2578"/>
    <w:rsid w:val="009F44D2"/>
    <w:rsid w:val="009F53F4"/>
    <w:rsid w:val="009F5EA7"/>
    <w:rsid w:val="009F72AD"/>
    <w:rsid w:val="009F7CB8"/>
    <w:rsid w:val="00A010A9"/>
    <w:rsid w:val="00A01652"/>
    <w:rsid w:val="00A01EAE"/>
    <w:rsid w:val="00A01FA6"/>
    <w:rsid w:val="00A03EE6"/>
    <w:rsid w:val="00A0430F"/>
    <w:rsid w:val="00A059B7"/>
    <w:rsid w:val="00A05ACB"/>
    <w:rsid w:val="00A06A8D"/>
    <w:rsid w:val="00A100DD"/>
    <w:rsid w:val="00A11DFA"/>
    <w:rsid w:val="00A120FA"/>
    <w:rsid w:val="00A1274E"/>
    <w:rsid w:val="00A1311E"/>
    <w:rsid w:val="00A15829"/>
    <w:rsid w:val="00A15982"/>
    <w:rsid w:val="00A17783"/>
    <w:rsid w:val="00A207A9"/>
    <w:rsid w:val="00A2094F"/>
    <w:rsid w:val="00A2275F"/>
    <w:rsid w:val="00A24ADA"/>
    <w:rsid w:val="00A254EA"/>
    <w:rsid w:val="00A25C5C"/>
    <w:rsid w:val="00A26D39"/>
    <w:rsid w:val="00A26E8F"/>
    <w:rsid w:val="00A271BA"/>
    <w:rsid w:val="00A275EF"/>
    <w:rsid w:val="00A31BCB"/>
    <w:rsid w:val="00A31F8D"/>
    <w:rsid w:val="00A323B5"/>
    <w:rsid w:val="00A32FD4"/>
    <w:rsid w:val="00A34A72"/>
    <w:rsid w:val="00A34B03"/>
    <w:rsid w:val="00A356F2"/>
    <w:rsid w:val="00A361B4"/>
    <w:rsid w:val="00A370D5"/>
    <w:rsid w:val="00A400A4"/>
    <w:rsid w:val="00A4064A"/>
    <w:rsid w:val="00A409DC"/>
    <w:rsid w:val="00A409FB"/>
    <w:rsid w:val="00A40E0D"/>
    <w:rsid w:val="00A416DE"/>
    <w:rsid w:val="00A42560"/>
    <w:rsid w:val="00A427CB"/>
    <w:rsid w:val="00A42B91"/>
    <w:rsid w:val="00A44B7B"/>
    <w:rsid w:val="00A45099"/>
    <w:rsid w:val="00A5034A"/>
    <w:rsid w:val="00A51102"/>
    <w:rsid w:val="00A51DFF"/>
    <w:rsid w:val="00A52BED"/>
    <w:rsid w:val="00A5326E"/>
    <w:rsid w:val="00A54257"/>
    <w:rsid w:val="00A544DC"/>
    <w:rsid w:val="00A565E0"/>
    <w:rsid w:val="00A566D9"/>
    <w:rsid w:val="00A61DBA"/>
    <w:rsid w:val="00A62A05"/>
    <w:rsid w:val="00A64BD8"/>
    <w:rsid w:val="00A65628"/>
    <w:rsid w:val="00A65F04"/>
    <w:rsid w:val="00A66655"/>
    <w:rsid w:val="00A67358"/>
    <w:rsid w:val="00A70B64"/>
    <w:rsid w:val="00A728E4"/>
    <w:rsid w:val="00A731C2"/>
    <w:rsid w:val="00A74E05"/>
    <w:rsid w:val="00A753DB"/>
    <w:rsid w:val="00A75B6B"/>
    <w:rsid w:val="00A75BAB"/>
    <w:rsid w:val="00A75FEF"/>
    <w:rsid w:val="00A76756"/>
    <w:rsid w:val="00A77094"/>
    <w:rsid w:val="00A8013F"/>
    <w:rsid w:val="00A80363"/>
    <w:rsid w:val="00A823EE"/>
    <w:rsid w:val="00A84AA6"/>
    <w:rsid w:val="00A85CB0"/>
    <w:rsid w:val="00A867D0"/>
    <w:rsid w:val="00A86B82"/>
    <w:rsid w:val="00A875EA"/>
    <w:rsid w:val="00A87FBB"/>
    <w:rsid w:val="00A906BA"/>
    <w:rsid w:val="00A91032"/>
    <w:rsid w:val="00A924F1"/>
    <w:rsid w:val="00A92570"/>
    <w:rsid w:val="00A92C9E"/>
    <w:rsid w:val="00A93922"/>
    <w:rsid w:val="00A955B9"/>
    <w:rsid w:val="00A965AE"/>
    <w:rsid w:val="00A967E0"/>
    <w:rsid w:val="00AA0DA8"/>
    <w:rsid w:val="00AA2510"/>
    <w:rsid w:val="00AA3212"/>
    <w:rsid w:val="00AA32E8"/>
    <w:rsid w:val="00AA7444"/>
    <w:rsid w:val="00AB0973"/>
    <w:rsid w:val="00AB0B99"/>
    <w:rsid w:val="00AB2F67"/>
    <w:rsid w:val="00AB327E"/>
    <w:rsid w:val="00AB3E84"/>
    <w:rsid w:val="00AB4926"/>
    <w:rsid w:val="00AB6F0A"/>
    <w:rsid w:val="00AB769B"/>
    <w:rsid w:val="00AC0913"/>
    <w:rsid w:val="00AC148F"/>
    <w:rsid w:val="00AC218E"/>
    <w:rsid w:val="00AC3113"/>
    <w:rsid w:val="00AC3B39"/>
    <w:rsid w:val="00AC3CAC"/>
    <w:rsid w:val="00AC4931"/>
    <w:rsid w:val="00AC51A6"/>
    <w:rsid w:val="00AC577B"/>
    <w:rsid w:val="00AC745D"/>
    <w:rsid w:val="00AD02CF"/>
    <w:rsid w:val="00AD03F4"/>
    <w:rsid w:val="00AD08E4"/>
    <w:rsid w:val="00AD14ED"/>
    <w:rsid w:val="00AD16F9"/>
    <w:rsid w:val="00AD3543"/>
    <w:rsid w:val="00AD3740"/>
    <w:rsid w:val="00AD4193"/>
    <w:rsid w:val="00AE2999"/>
    <w:rsid w:val="00AE2B76"/>
    <w:rsid w:val="00AE356C"/>
    <w:rsid w:val="00AE6E04"/>
    <w:rsid w:val="00AF3A65"/>
    <w:rsid w:val="00AF3CDE"/>
    <w:rsid w:val="00AF4963"/>
    <w:rsid w:val="00AF6447"/>
    <w:rsid w:val="00AF7912"/>
    <w:rsid w:val="00B00121"/>
    <w:rsid w:val="00B00DE8"/>
    <w:rsid w:val="00B04919"/>
    <w:rsid w:val="00B060EB"/>
    <w:rsid w:val="00B072C5"/>
    <w:rsid w:val="00B07BF4"/>
    <w:rsid w:val="00B11C93"/>
    <w:rsid w:val="00B11E10"/>
    <w:rsid w:val="00B12487"/>
    <w:rsid w:val="00B12F27"/>
    <w:rsid w:val="00B130B2"/>
    <w:rsid w:val="00B1386B"/>
    <w:rsid w:val="00B1584C"/>
    <w:rsid w:val="00B1787F"/>
    <w:rsid w:val="00B20DE5"/>
    <w:rsid w:val="00B2279C"/>
    <w:rsid w:val="00B22F24"/>
    <w:rsid w:val="00B239B6"/>
    <w:rsid w:val="00B25FFF"/>
    <w:rsid w:val="00B30596"/>
    <w:rsid w:val="00B3108B"/>
    <w:rsid w:val="00B31521"/>
    <w:rsid w:val="00B31874"/>
    <w:rsid w:val="00B31951"/>
    <w:rsid w:val="00B31E5A"/>
    <w:rsid w:val="00B32E7D"/>
    <w:rsid w:val="00B330A8"/>
    <w:rsid w:val="00B35A50"/>
    <w:rsid w:val="00B35C95"/>
    <w:rsid w:val="00B35EBF"/>
    <w:rsid w:val="00B362E3"/>
    <w:rsid w:val="00B364EA"/>
    <w:rsid w:val="00B36CE0"/>
    <w:rsid w:val="00B37B1F"/>
    <w:rsid w:val="00B40526"/>
    <w:rsid w:val="00B40AA8"/>
    <w:rsid w:val="00B42234"/>
    <w:rsid w:val="00B446A2"/>
    <w:rsid w:val="00B44994"/>
    <w:rsid w:val="00B44ECE"/>
    <w:rsid w:val="00B45C47"/>
    <w:rsid w:val="00B46264"/>
    <w:rsid w:val="00B463EC"/>
    <w:rsid w:val="00B477BA"/>
    <w:rsid w:val="00B47CF0"/>
    <w:rsid w:val="00B513BC"/>
    <w:rsid w:val="00B51B8E"/>
    <w:rsid w:val="00B532EB"/>
    <w:rsid w:val="00B5332D"/>
    <w:rsid w:val="00B551E5"/>
    <w:rsid w:val="00B5633B"/>
    <w:rsid w:val="00B56AD1"/>
    <w:rsid w:val="00B5761A"/>
    <w:rsid w:val="00B60184"/>
    <w:rsid w:val="00B60732"/>
    <w:rsid w:val="00B60830"/>
    <w:rsid w:val="00B61609"/>
    <w:rsid w:val="00B61E59"/>
    <w:rsid w:val="00B6241E"/>
    <w:rsid w:val="00B62C9E"/>
    <w:rsid w:val="00B652ED"/>
    <w:rsid w:val="00B654BB"/>
    <w:rsid w:val="00B66318"/>
    <w:rsid w:val="00B667AC"/>
    <w:rsid w:val="00B67720"/>
    <w:rsid w:val="00B678EF"/>
    <w:rsid w:val="00B67C85"/>
    <w:rsid w:val="00B719DB"/>
    <w:rsid w:val="00B73806"/>
    <w:rsid w:val="00B77060"/>
    <w:rsid w:val="00B8125E"/>
    <w:rsid w:val="00B827A7"/>
    <w:rsid w:val="00B84204"/>
    <w:rsid w:val="00B85392"/>
    <w:rsid w:val="00B85B05"/>
    <w:rsid w:val="00B86972"/>
    <w:rsid w:val="00B87131"/>
    <w:rsid w:val="00B90DE5"/>
    <w:rsid w:val="00B92180"/>
    <w:rsid w:val="00B95AD6"/>
    <w:rsid w:val="00BA06AA"/>
    <w:rsid w:val="00BA0A17"/>
    <w:rsid w:val="00BA0F9C"/>
    <w:rsid w:val="00BA404F"/>
    <w:rsid w:val="00BA46C1"/>
    <w:rsid w:val="00BA4866"/>
    <w:rsid w:val="00BA580E"/>
    <w:rsid w:val="00BA5A00"/>
    <w:rsid w:val="00BA6F61"/>
    <w:rsid w:val="00BB1F97"/>
    <w:rsid w:val="00BB342B"/>
    <w:rsid w:val="00BB3C36"/>
    <w:rsid w:val="00BB525C"/>
    <w:rsid w:val="00BB6318"/>
    <w:rsid w:val="00BB6DD2"/>
    <w:rsid w:val="00BB7665"/>
    <w:rsid w:val="00BB7CCA"/>
    <w:rsid w:val="00BC013D"/>
    <w:rsid w:val="00BC0AE9"/>
    <w:rsid w:val="00BC29B1"/>
    <w:rsid w:val="00BC2D4E"/>
    <w:rsid w:val="00BC4175"/>
    <w:rsid w:val="00BC4B02"/>
    <w:rsid w:val="00BC56DA"/>
    <w:rsid w:val="00BC584C"/>
    <w:rsid w:val="00BC625E"/>
    <w:rsid w:val="00BC6723"/>
    <w:rsid w:val="00BD0018"/>
    <w:rsid w:val="00BD0E88"/>
    <w:rsid w:val="00BD2AD9"/>
    <w:rsid w:val="00BD2C51"/>
    <w:rsid w:val="00BD2CB6"/>
    <w:rsid w:val="00BD5473"/>
    <w:rsid w:val="00BD5DFB"/>
    <w:rsid w:val="00BD604C"/>
    <w:rsid w:val="00BD60D1"/>
    <w:rsid w:val="00BD764F"/>
    <w:rsid w:val="00BE075C"/>
    <w:rsid w:val="00BE0F4C"/>
    <w:rsid w:val="00BE0FDA"/>
    <w:rsid w:val="00BE26D1"/>
    <w:rsid w:val="00BE32B7"/>
    <w:rsid w:val="00BE37B6"/>
    <w:rsid w:val="00BE3CCE"/>
    <w:rsid w:val="00BE3D74"/>
    <w:rsid w:val="00BE4DD2"/>
    <w:rsid w:val="00BE4EFD"/>
    <w:rsid w:val="00BE52BB"/>
    <w:rsid w:val="00BE5DC9"/>
    <w:rsid w:val="00BE7FCE"/>
    <w:rsid w:val="00BF0E31"/>
    <w:rsid w:val="00BF2EF5"/>
    <w:rsid w:val="00BF3F1F"/>
    <w:rsid w:val="00BF464F"/>
    <w:rsid w:val="00BF4806"/>
    <w:rsid w:val="00BF4965"/>
    <w:rsid w:val="00BF4D7F"/>
    <w:rsid w:val="00BF4FEF"/>
    <w:rsid w:val="00BF52A3"/>
    <w:rsid w:val="00BF54FE"/>
    <w:rsid w:val="00BF648D"/>
    <w:rsid w:val="00BF72F4"/>
    <w:rsid w:val="00BF7980"/>
    <w:rsid w:val="00C011EB"/>
    <w:rsid w:val="00C01C94"/>
    <w:rsid w:val="00C02F8A"/>
    <w:rsid w:val="00C04519"/>
    <w:rsid w:val="00C046A2"/>
    <w:rsid w:val="00C050DD"/>
    <w:rsid w:val="00C050E9"/>
    <w:rsid w:val="00C059A7"/>
    <w:rsid w:val="00C06722"/>
    <w:rsid w:val="00C107A3"/>
    <w:rsid w:val="00C111CF"/>
    <w:rsid w:val="00C12221"/>
    <w:rsid w:val="00C1316C"/>
    <w:rsid w:val="00C13551"/>
    <w:rsid w:val="00C1414B"/>
    <w:rsid w:val="00C166FA"/>
    <w:rsid w:val="00C17FBC"/>
    <w:rsid w:val="00C2018A"/>
    <w:rsid w:val="00C20A23"/>
    <w:rsid w:val="00C226C8"/>
    <w:rsid w:val="00C22704"/>
    <w:rsid w:val="00C245B4"/>
    <w:rsid w:val="00C245FD"/>
    <w:rsid w:val="00C25A60"/>
    <w:rsid w:val="00C26E78"/>
    <w:rsid w:val="00C2732C"/>
    <w:rsid w:val="00C27D7D"/>
    <w:rsid w:val="00C31341"/>
    <w:rsid w:val="00C327F3"/>
    <w:rsid w:val="00C33023"/>
    <w:rsid w:val="00C33684"/>
    <w:rsid w:val="00C336DE"/>
    <w:rsid w:val="00C33CB1"/>
    <w:rsid w:val="00C37158"/>
    <w:rsid w:val="00C416C3"/>
    <w:rsid w:val="00C42DCC"/>
    <w:rsid w:val="00C4413D"/>
    <w:rsid w:val="00C44304"/>
    <w:rsid w:val="00C4451F"/>
    <w:rsid w:val="00C4547C"/>
    <w:rsid w:val="00C45F07"/>
    <w:rsid w:val="00C46B97"/>
    <w:rsid w:val="00C46C49"/>
    <w:rsid w:val="00C47994"/>
    <w:rsid w:val="00C47E85"/>
    <w:rsid w:val="00C506AF"/>
    <w:rsid w:val="00C50ADC"/>
    <w:rsid w:val="00C50EE3"/>
    <w:rsid w:val="00C56DD4"/>
    <w:rsid w:val="00C57207"/>
    <w:rsid w:val="00C60628"/>
    <w:rsid w:val="00C615BB"/>
    <w:rsid w:val="00C62090"/>
    <w:rsid w:val="00C6375E"/>
    <w:rsid w:val="00C6519B"/>
    <w:rsid w:val="00C65B41"/>
    <w:rsid w:val="00C6681F"/>
    <w:rsid w:val="00C669FD"/>
    <w:rsid w:val="00C66DD8"/>
    <w:rsid w:val="00C67A8C"/>
    <w:rsid w:val="00C71168"/>
    <w:rsid w:val="00C7145C"/>
    <w:rsid w:val="00C72392"/>
    <w:rsid w:val="00C74FDC"/>
    <w:rsid w:val="00C76C67"/>
    <w:rsid w:val="00C822DA"/>
    <w:rsid w:val="00C8395F"/>
    <w:rsid w:val="00C859BB"/>
    <w:rsid w:val="00C85DC4"/>
    <w:rsid w:val="00C86C78"/>
    <w:rsid w:val="00C86FDB"/>
    <w:rsid w:val="00C876A5"/>
    <w:rsid w:val="00C904FD"/>
    <w:rsid w:val="00C918DA"/>
    <w:rsid w:val="00C93F0C"/>
    <w:rsid w:val="00C95221"/>
    <w:rsid w:val="00C9533F"/>
    <w:rsid w:val="00CA10CE"/>
    <w:rsid w:val="00CA1146"/>
    <w:rsid w:val="00CA2CAA"/>
    <w:rsid w:val="00CA3BAE"/>
    <w:rsid w:val="00CA61D1"/>
    <w:rsid w:val="00CA69F4"/>
    <w:rsid w:val="00CA7075"/>
    <w:rsid w:val="00CA7536"/>
    <w:rsid w:val="00CB084A"/>
    <w:rsid w:val="00CB411D"/>
    <w:rsid w:val="00CB4544"/>
    <w:rsid w:val="00CB70A7"/>
    <w:rsid w:val="00CB75B2"/>
    <w:rsid w:val="00CC294E"/>
    <w:rsid w:val="00CC2E96"/>
    <w:rsid w:val="00CC325B"/>
    <w:rsid w:val="00CC4715"/>
    <w:rsid w:val="00CC54AB"/>
    <w:rsid w:val="00CC6255"/>
    <w:rsid w:val="00CC721D"/>
    <w:rsid w:val="00CC7575"/>
    <w:rsid w:val="00CC75FF"/>
    <w:rsid w:val="00CC7B4E"/>
    <w:rsid w:val="00CC7D35"/>
    <w:rsid w:val="00CC7F66"/>
    <w:rsid w:val="00CD2D39"/>
    <w:rsid w:val="00CD3B3A"/>
    <w:rsid w:val="00CD5565"/>
    <w:rsid w:val="00CD5E28"/>
    <w:rsid w:val="00CE084A"/>
    <w:rsid w:val="00CE09C8"/>
    <w:rsid w:val="00CE0DC5"/>
    <w:rsid w:val="00CE44F4"/>
    <w:rsid w:val="00CE5554"/>
    <w:rsid w:val="00CE661A"/>
    <w:rsid w:val="00CE6FAC"/>
    <w:rsid w:val="00CE727A"/>
    <w:rsid w:val="00CE792D"/>
    <w:rsid w:val="00CF13EC"/>
    <w:rsid w:val="00CF251C"/>
    <w:rsid w:val="00CF3B2D"/>
    <w:rsid w:val="00CF4538"/>
    <w:rsid w:val="00CF509D"/>
    <w:rsid w:val="00CF5E0B"/>
    <w:rsid w:val="00CF78A2"/>
    <w:rsid w:val="00D023E4"/>
    <w:rsid w:val="00D027DA"/>
    <w:rsid w:val="00D03E73"/>
    <w:rsid w:val="00D043DA"/>
    <w:rsid w:val="00D06326"/>
    <w:rsid w:val="00D1305C"/>
    <w:rsid w:val="00D1312E"/>
    <w:rsid w:val="00D156BC"/>
    <w:rsid w:val="00D15D50"/>
    <w:rsid w:val="00D16593"/>
    <w:rsid w:val="00D16A3C"/>
    <w:rsid w:val="00D172F3"/>
    <w:rsid w:val="00D22111"/>
    <w:rsid w:val="00D22789"/>
    <w:rsid w:val="00D22CE2"/>
    <w:rsid w:val="00D234A0"/>
    <w:rsid w:val="00D25CB6"/>
    <w:rsid w:val="00D25DFB"/>
    <w:rsid w:val="00D25E82"/>
    <w:rsid w:val="00D26DD1"/>
    <w:rsid w:val="00D27512"/>
    <w:rsid w:val="00D3073E"/>
    <w:rsid w:val="00D310B0"/>
    <w:rsid w:val="00D316AD"/>
    <w:rsid w:val="00D3347F"/>
    <w:rsid w:val="00D3398C"/>
    <w:rsid w:val="00D33FCF"/>
    <w:rsid w:val="00D37CFC"/>
    <w:rsid w:val="00D37DE1"/>
    <w:rsid w:val="00D40F52"/>
    <w:rsid w:val="00D42784"/>
    <w:rsid w:val="00D42EB6"/>
    <w:rsid w:val="00D435F4"/>
    <w:rsid w:val="00D43805"/>
    <w:rsid w:val="00D442C3"/>
    <w:rsid w:val="00D44CAE"/>
    <w:rsid w:val="00D4580B"/>
    <w:rsid w:val="00D45F1D"/>
    <w:rsid w:val="00D46A53"/>
    <w:rsid w:val="00D46D85"/>
    <w:rsid w:val="00D4714A"/>
    <w:rsid w:val="00D477EA"/>
    <w:rsid w:val="00D50237"/>
    <w:rsid w:val="00D5238A"/>
    <w:rsid w:val="00D527D7"/>
    <w:rsid w:val="00D53E36"/>
    <w:rsid w:val="00D54797"/>
    <w:rsid w:val="00D56730"/>
    <w:rsid w:val="00D60958"/>
    <w:rsid w:val="00D6144A"/>
    <w:rsid w:val="00D61BC2"/>
    <w:rsid w:val="00D64A2C"/>
    <w:rsid w:val="00D64F85"/>
    <w:rsid w:val="00D6517F"/>
    <w:rsid w:val="00D654A2"/>
    <w:rsid w:val="00D67F08"/>
    <w:rsid w:val="00D702A4"/>
    <w:rsid w:val="00D70ED1"/>
    <w:rsid w:val="00D726BF"/>
    <w:rsid w:val="00D72B38"/>
    <w:rsid w:val="00D73CD3"/>
    <w:rsid w:val="00D74DE8"/>
    <w:rsid w:val="00D762E1"/>
    <w:rsid w:val="00D822D6"/>
    <w:rsid w:val="00D837B8"/>
    <w:rsid w:val="00D83B80"/>
    <w:rsid w:val="00D84F3D"/>
    <w:rsid w:val="00D86769"/>
    <w:rsid w:val="00D86ABD"/>
    <w:rsid w:val="00D9032C"/>
    <w:rsid w:val="00D904F2"/>
    <w:rsid w:val="00D9145D"/>
    <w:rsid w:val="00D91A14"/>
    <w:rsid w:val="00D91A64"/>
    <w:rsid w:val="00D925CB"/>
    <w:rsid w:val="00D9634D"/>
    <w:rsid w:val="00DA26A2"/>
    <w:rsid w:val="00DA27D2"/>
    <w:rsid w:val="00DA3BBD"/>
    <w:rsid w:val="00DA3D1E"/>
    <w:rsid w:val="00DA4F04"/>
    <w:rsid w:val="00DA4FD0"/>
    <w:rsid w:val="00DA55AC"/>
    <w:rsid w:val="00DA64B9"/>
    <w:rsid w:val="00DA6F12"/>
    <w:rsid w:val="00DB1341"/>
    <w:rsid w:val="00DB19EA"/>
    <w:rsid w:val="00DB1DD7"/>
    <w:rsid w:val="00DB2E4E"/>
    <w:rsid w:val="00DB4C3D"/>
    <w:rsid w:val="00DB6BE3"/>
    <w:rsid w:val="00DB6FC9"/>
    <w:rsid w:val="00DB7DBE"/>
    <w:rsid w:val="00DC1636"/>
    <w:rsid w:val="00DC42AB"/>
    <w:rsid w:val="00DC5238"/>
    <w:rsid w:val="00DC543D"/>
    <w:rsid w:val="00DC555A"/>
    <w:rsid w:val="00DC5B2E"/>
    <w:rsid w:val="00DC74ED"/>
    <w:rsid w:val="00DD2260"/>
    <w:rsid w:val="00DD31DC"/>
    <w:rsid w:val="00DD32EA"/>
    <w:rsid w:val="00DD33D0"/>
    <w:rsid w:val="00DD5675"/>
    <w:rsid w:val="00DD6405"/>
    <w:rsid w:val="00DE0436"/>
    <w:rsid w:val="00DE09F7"/>
    <w:rsid w:val="00DE0A6D"/>
    <w:rsid w:val="00DE46F8"/>
    <w:rsid w:val="00DE4CC9"/>
    <w:rsid w:val="00DE5CA9"/>
    <w:rsid w:val="00DE6E03"/>
    <w:rsid w:val="00DF3210"/>
    <w:rsid w:val="00DF353E"/>
    <w:rsid w:val="00DF3AA3"/>
    <w:rsid w:val="00E0102D"/>
    <w:rsid w:val="00E0133F"/>
    <w:rsid w:val="00E062CE"/>
    <w:rsid w:val="00E069A0"/>
    <w:rsid w:val="00E108A9"/>
    <w:rsid w:val="00E10E5B"/>
    <w:rsid w:val="00E118FC"/>
    <w:rsid w:val="00E1232F"/>
    <w:rsid w:val="00E13FF1"/>
    <w:rsid w:val="00E14B15"/>
    <w:rsid w:val="00E152C3"/>
    <w:rsid w:val="00E1702B"/>
    <w:rsid w:val="00E17475"/>
    <w:rsid w:val="00E17725"/>
    <w:rsid w:val="00E179DF"/>
    <w:rsid w:val="00E212F2"/>
    <w:rsid w:val="00E22291"/>
    <w:rsid w:val="00E23DC0"/>
    <w:rsid w:val="00E24F45"/>
    <w:rsid w:val="00E26196"/>
    <w:rsid w:val="00E262A0"/>
    <w:rsid w:val="00E2664B"/>
    <w:rsid w:val="00E305C4"/>
    <w:rsid w:val="00E31557"/>
    <w:rsid w:val="00E321EB"/>
    <w:rsid w:val="00E3393B"/>
    <w:rsid w:val="00E34161"/>
    <w:rsid w:val="00E35887"/>
    <w:rsid w:val="00E36FF4"/>
    <w:rsid w:val="00E41089"/>
    <w:rsid w:val="00E421F8"/>
    <w:rsid w:val="00E427B2"/>
    <w:rsid w:val="00E4292B"/>
    <w:rsid w:val="00E445A2"/>
    <w:rsid w:val="00E44A17"/>
    <w:rsid w:val="00E452AF"/>
    <w:rsid w:val="00E46CED"/>
    <w:rsid w:val="00E51C84"/>
    <w:rsid w:val="00E5229F"/>
    <w:rsid w:val="00E528B6"/>
    <w:rsid w:val="00E528E4"/>
    <w:rsid w:val="00E5303C"/>
    <w:rsid w:val="00E543B8"/>
    <w:rsid w:val="00E54B8B"/>
    <w:rsid w:val="00E55631"/>
    <w:rsid w:val="00E57458"/>
    <w:rsid w:val="00E61220"/>
    <w:rsid w:val="00E6213A"/>
    <w:rsid w:val="00E6230B"/>
    <w:rsid w:val="00E6267D"/>
    <w:rsid w:val="00E63387"/>
    <w:rsid w:val="00E63859"/>
    <w:rsid w:val="00E65183"/>
    <w:rsid w:val="00E702E8"/>
    <w:rsid w:val="00E71917"/>
    <w:rsid w:val="00E72AF2"/>
    <w:rsid w:val="00E72F11"/>
    <w:rsid w:val="00E7499D"/>
    <w:rsid w:val="00E749F2"/>
    <w:rsid w:val="00E756A4"/>
    <w:rsid w:val="00E76CFB"/>
    <w:rsid w:val="00E7736A"/>
    <w:rsid w:val="00E8080E"/>
    <w:rsid w:val="00E80E78"/>
    <w:rsid w:val="00E834BA"/>
    <w:rsid w:val="00E83AAF"/>
    <w:rsid w:val="00E84003"/>
    <w:rsid w:val="00E85101"/>
    <w:rsid w:val="00E85BD5"/>
    <w:rsid w:val="00E8778A"/>
    <w:rsid w:val="00E8779C"/>
    <w:rsid w:val="00E87A76"/>
    <w:rsid w:val="00E87B03"/>
    <w:rsid w:val="00E90615"/>
    <w:rsid w:val="00E9067B"/>
    <w:rsid w:val="00E91A52"/>
    <w:rsid w:val="00E926EB"/>
    <w:rsid w:val="00E92C41"/>
    <w:rsid w:val="00E93B57"/>
    <w:rsid w:val="00E961BB"/>
    <w:rsid w:val="00EA2072"/>
    <w:rsid w:val="00EA447B"/>
    <w:rsid w:val="00EA47F2"/>
    <w:rsid w:val="00EA587D"/>
    <w:rsid w:val="00EA65FE"/>
    <w:rsid w:val="00EA7E73"/>
    <w:rsid w:val="00EB0B5A"/>
    <w:rsid w:val="00EB1007"/>
    <w:rsid w:val="00EB21BB"/>
    <w:rsid w:val="00EB2F3C"/>
    <w:rsid w:val="00EB6270"/>
    <w:rsid w:val="00EB641B"/>
    <w:rsid w:val="00EB6FB6"/>
    <w:rsid w:val="00EC1D94"/>
    <w:rsid w:val="00EC3653"/>
    <w:rsid w:val="00EC4BFB"/>
    <w:rsid w:val="00EC5CD1"/>
    <w:rsid w:val="00EC5EA0"/>
    <w:rsid w:val="00EC687C"/>
    <w:rsid w:val="00EC6DDA"/>
    <w:rsid w:val="00EC6EB8"/>
    <w:rsid w:val="00EC6F48"/>
    <w:rsid w:val="00ED146E"/>
    <w:rsid w:val="00ED15F2"/>
    <w:rsid w:val="00ED190C"/>
    <w:rsid w:val="00ED3928"/>
    <w:rsid w:val="00ED4829"/>
    <w:rsid w:val="00ED4BD0"/>
    <w:rsid w:val="00ED6068"/>
    <w:rsid w:val="00ED71DE"/>
    <w:rsid w:val="00ED7F41"/>
    <w:rsid w:val="00EE080B"/>
    <w:rsid w:val="00EE1410"/>
    <w:rsid w:val="00EE1DE8"/>
    <w:rsid w:val="00EE48EA"/>
    <w:rsid w:val="00EF094E"/>
    <w:rsid w:val="00EF148C"/>
    <w:rsid w:val="00EF1B70"/>
    <w:rsid w:val="00EF275A"/>
    <w:rsid w:val="00EF4B07"/>
    <w:rsid w:val="00EF5C38"/>
    <w:rsid w:val="00EF5D03"/>
    <w:rsid w:val="00EF72F5"/>
    <w:rsid w:val="00F01701"/>
    <w:rsid w:val="00F01B0A"/>
    <w:rsid w:val="00F024D5"/>
    <w:rsid w:val="00F02A24"/>
    <w:rsid w:val="00F02C77"/>
    <w:rsid w:val="00F043F1"/>
    <w:rsid w:val="00F0787C"/>
    <w:rsid w:val="00F11258"/>
    <w:rsid w:val="00F127B3"/>
    <w:rsid w:val="00F132BA"/>
    <w:rsid w:val="00F13FD3"/>
    <w:rsid w:val="00F14381"/>
    <w:rsid w:val="00F14A7D"/>
    <w:rsid w:val="00F14CDF"/>
    <w:rsid w:val="00F154B9"/>
    <w:rsid w:val="00F158FA"/>
    <w:rsid w:val="00F1678F"/>
    <w:rsid w:val="00F16B55"/>
    <w:rsid w:val="00F17B12"/>
    <w:rsid w:val="00F20459"/>
    <w:rsid w:val="00F20E38"/>
    <w:rsid w:val="00F2108C"/>
    <w:rsid w:val="00F22030"/>
    <w:rsid w:val="00F22C0A"/>
    <w:rsid w:val="00F2747D"/>
    <w:rsid w:val="00F30B5F"/>
    <w:rsid w:val="00F30CF6"/>
    <w:rsid w:val="00F3361B"/>
    <w:rsid w:val="00F348FA"/>
    <w:rsid w:val="00F35611"/>
    <w:rsid w:val="00F3600D"/>
    <w:rsid w:val="00F374E9"/>
    <w:rsid w:val="00F37836"/>
    <w:rsid w:val="00F40D2C"/>
    <w:rsid w:val="00F40DE2"/>
    <w:rsid w:val="00F4207A"/>
    <w:rsid w:val="00F4288B"/>
    <w:rsid w:val="00F4368C"/>
    <w:rsid w:val="00F4394C"/>
    <w:rsid w:val="00F44FAF"/>
    <w:rsid w:val="00F455A1"/>
    <w:rsid w:val="00F46821"/>
    <w:rsid w:val="00F46A0C"/>
    <w:rsid w:val="00F4710A"/>
    <w:rsid w:val="00F47753"/>
    <w:rsid w:val="00F47FCE"/>
    <w:rsid w:val="00F52329"/>
    <w:rsid w:val="00F524D6"/>
    <w:rsid w:val="00F52CF9"/>
    <w:rsid w:val="00F52FC9"/>
    <w:rsid w:val="00F53E7A"/>
    <w:rsid w:val="00F54429"/>
    <w:rsid w:val="00F55671"/>
    <w:rsid w:val="00F60156"/>
    <w:rsid w:val="00F605BD"/>
    <w:rsid w:val="00F618F7"/>
    <w:rsid w:val="00F6198D"/>
    <w:rsid w:val="00F62CC9"/>
    <w:rsid w:val="00F63917"/>
    <w:rsid w:val="00F639B0"/>
    <w:rsid w:val="00F646D0"/>
    <w:rsid w:val="00F65913"/>
    <w:rsid w:val="00F66469"/>
    <w:rsid w:val="00F6672E"/>
    <w:rsid w:val="00F67212"/>
    <w:rsid w:val="00F70AD8"/>
    <w:rsid w:val="00F711DF"/>
    <w:rsid w:val="00F718B6"/>
    <w:rsid w:val="00F71D78"/>
    <w:rsid w:val="00F7212F"/>
    <w:rsid w:val="00F72D50"/>
    <w:rsid w:val="00F72DFD"/>
    <w:rsid w:val="00F731E0"/>
    <w:rsid w:val="00F736E2"/>
    <w:rsid w:val="00F73ED3"/>
    <w:rsid w:val="00F7413F"/>
    <w:rsid w:val="00F7443A"/>
    <w:rsid w:val="00F75AE5"/>
    <w:rsid w:val="00F76A86"/>
    <w:rsid w:val="00F76FA7"/>
    <w:rsid w:val="00F81DCA"/>
    <w:rsid w:val="00F82041"/>
    <w:rsid w:val="00F827E8"/>
    <w:rsid w:val="00F836EC"/>
    <w:rsid w:val="00F8601C"/>
    <w:rsid w:val="00F86308"/>
    <w:rsid w:val="00F864E7"/>
    <w:rsid w:val="00F865A5"/>
    <w:rsid w:val="00F86AD2"/>
    <w:rsid w:val="00F876FB"/>
    <w:rsid w:val="00F905C9"/>
    <w:rsid w:val="00F906E9"/>
    <w:rsid w:val="00F91199"/>
    <w:rsid w:val="00F91A4B"/>
    <w:rsid w:val="00F96E37"/>
    <w:rsid w:val="00F97082"/>
    <w:rsid w:val="00FA037D"/>
    <w:rsid w:val="00FA07FB"/>
    <w:rsid w:val="00FA0D76"/>
    <w:rsid w:val="00FA16EC"/>
    <w:rsid w:val="00FA25C3"/>
    <w:rsid w:val="00FA279F"/>
    <w:rsid w:val="00FA2DBA"/>
    <w:rsid w:val="00FA52E2"/>
    <w:rsid w:val="00FA5BB7"/>
    <w:rsid w:val="00FA6B7E"/>
    <w:rsid w:val="00FA6F03"/>
    <w:rsid w:val="00FA7B31"/>
    <w:rsid w:val="00FA7D09"/>
    <w:rsid w:val="00FA7E74"/>
    <w:rsid w:val="00FB31ED"/>
    <w:rsid w:val="00FB376E"/>
    <w:rsid w:val="00FB3CFE"/>
    <w:rsid w:val="00FB692A"/>
    <w:rsid w:val="00FC2BA6"/>
    <w:rsid w:val="00FC49BE"/>
    <w:rsid w:val="00FC4EB7"/>
    <w:rsid w:val="00FC5BEC"/>
    <w:rsid w:val="00FC6CA2"/>
    <w:rsid w:val="00FC6E12"/>
    <w:rsid w:val="00FD0756"/>
    <w:rsid w:val="00FD1142"/>
    <w:rsid w:val="00FD11DD"/>
    <w:rsid w:val="00FD239B"/>
    <w:rsid w:val="00FD5C3E"/>
    <w:rsid w:val="00FD5E8B"/>
    <w:rsid w:val="00FD68B9"/>
    <w:rsid w:val="00FD7166"/>
    <w:rsid w:val="00FD735B"/>
    <w:rsid w:val="00FD7C8F"/>
    <w:rsid w:val="00FD7E42"/>
    <w:rsid w:val="00FE2D89"/>
    <w:rsid w:val="00FE38AC"/>
    <w:rsid w:val="00FE617F"/>
    <w:rsid w:val="00FE684A"/>
    <w:rsid w:val="00FE7673"/>
    <w:rsid w:val="00FF060D"/>
    <w:rsid w:val="00FF090E"/>
    <w:rsid w:val="00FF1A3C"/>
    <w:rsid w:val="00FF2D95"/>
    <w:rsid w:val="00FF32B3"/>
    <w:rsid w:val="00FF4370"/>
    <w:rsid w:val="00FF5B0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2B0E"/>
  <w15:chartTrackingRefBased/>
  <w15:docId w15:val="{23DCABE7-AD37-40EA-B2EF-DEE1294D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6DC5"/>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A566D9"/>
    <w:pPr>
      <w:keepNext/>
      <w:keepLines/>
      <w:numPr>
        <w:numId w:val="1"/>
      </w:numP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A566D9"/>
    <w:pPr>
      <w:keepNext/>
      <w:keepLines/>
      <w:spacing w:before="40" w:after="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676F73"/>
    <w:pPr>
      <w:keepNext/>
      <w:keepLines/>
      <w:numPr>
        <w:ilvl w:val="2"/>
        <w:numId w:val="1"/>
      </w:numPr>
      <w:spacing w:before="40" w:after="0"/>
      <w:outlineLvl w:val="2"/>
    </w:pPr>
    <w:rPr>
      <w:rFonts w:asciiTheme="majorHAnsi" w:eastAsiaTheme="majorEastAsia" w:hAnsiTheme="majorHAnsi" w:cstheme="majorBidi"/>
      <w:color w:val="243F60" w:themeColor="accent1" w:themeShade="7F"/>
      <w:szCs w:val="24"/>
    </w:rPr>
  </w:style>
  <w:style w:type="paragraph" w:styleId="berschrift4">
    <w:name w:val="heading 4"/>
    <w:basedOn w:val="Standard"/>
    <w:next w:val="Standard"/>
    <w:link w:val="berschrift4Zchn"/>
    <w:uiPriority w:val="9"/>
    <w:semiHidden/>
    <w:unhideWhenUsed/>
    <w:qFormat/>
    <w:rsid w:val="004F3BAA"/>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4F3BAA"/>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4F3BAA"/>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4F3BAA"/>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4F3BA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F3BA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446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46A2"/>
  </w:style>
  <w:style w:type="paragraph" w:styleId="Fuzeile">
    <w:name w:val="footer"/>
    <w:basedOn w:val="Standard"/>
    <w:link w:val="FuzeileZchn"/>
    <w:uiPriority w:val="99"/>
    <w:unhideWhenUsed/>
    <w:rsid w:val="00B446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46A2"/>
  </w:style>
  <w:style w:type="character" w:styleId="Hyperlink">
    <w:name w:val="Hyperlink"/>
    <w:basedOn w:val="Absatz-Standardschriftart"/>
    <w:uiPriority w:val="99"/>
    <w:unhideWhenUsed/>
    <w:rsid w:val="006D732F"/>
    <w:rPr>
      <w:color w:val="0000FF" w:themeColor="hyperlink"/>
      <w:u w:val="single"/>
    </w:rPr>
  </w:style>
  <w:style w:type="character" w:styleId="NichtaufgelsteErwhnung">
    <w:name w:val="Unresolved Mention"/>
    <w:basedOn w:val="Absatz-Standardschriftart"/>
    <w:uiPriority w:val="99"/>
    <w:semiHidden/>
    <w:unhideWhenUsed/>
    <w:rsid w:val="006D732F"/>
    <w:rPr>
      <w:color w:val="605E5C"/>
      <w:shd w:val="clear" w:color="auto" w:fill="E1DFDD"/>
    </w:rPr>
  </w:style>
  <w:style w:type="character" w:styleId="Hervorhebung">
    <w:name w:val="Emphasis"/>
    <w:basedOn w:val="Absatz-Standardschriftart"/>
    <w:uiPriority w:val="20"/>
    <w:qFormat/>
    <w:rsid w:val="00541C1F"/>
    <w:rPr>
      <w:i/>
      <w:iCs/>
    </w:rPr>
  </w:style>
  <w:style w:type="character" w:customStyle="1" w:styleId="berschrift1Zchn">
    <w:name w:val="Überschrift 1 Zchn"/>
    <w:basedOn w:val="Absatz-Standardschriftart"/>
    <w:link w:val="berschrift1"/>
    <w:uiPriority w:val="9"/>
    <w:rsid w:val="00A566D9"/>
    <w:rPr>
      <w:rFonts w:ascii="Times New Roman" w:eastAsiaTheme="majorEastAsia" w:hAnsi="Times New Roman" w:cstheme="majorBidi"/>
      <w:b/>
      <w:sz w:val="32"/>
      <w:szCs w:val="32"/>
    </w:rPr>
  </w:style>
  <w:style w:type="paragraph" w:styleId="Inhaltsverzeichnisberschrift">
    <w:name w:val="TOC Heading"/>
    <w:basedOn w:val="berschrift1"/>
    <w:next w:val="Standard"/>
    <w:uiPriority w:val="39"/>
    <w:unhideWhenUsed/>
    <w:qFormat/>
    <w:rsid w:val="00B35C95"/>
    <w:pPr>
      <w:spacing w:line="259" w:lineRule="auto"/>
      <w:outlineLvl w:val="9"/>
    </w:pPr>
  </w:style>
  <w:style w:type="paragraph" w:customStyle="1" w:styleId="1berschrift">
    <w:name w:val="1 Überschrift"/>
    <w:basedOn w:val="Standard"/>
    <w:link w:val="1berschriftZchn"/>
    <w:rsid w:val="00B532EB"/>
    <w:rPr>
      <w:rFonts w:cs="Times New Roman"/>
      <w:b/>
      <w:bCs/>
      <w:sz w:val="32"/>
      <w:szCs w:val="32"/>
    </w:rPr>
  </w:style>
  <w:style w:type="paragraph" w:customStyle="1" w:styleId="2berschrift">
    <w:name w:val="2 Überschrift"/>
    <w:basedOn w:val="1berschrift"/>
    <w:link w:val="2berschriftZchn"/>
    <w:rsid w:val="00B532EB"/>
    <w:rPr>
      <w:sz w:val="28"/>
      <w:szCs w:val="28"/>
    </w:rPr>
  </w:style>
  <w:style w:type="character" w:customStyle="1" w:styleId="1berschriftZchn">
    <w:name w:val="1 Überschrift Zchn"/>
    <w:basedOn w:val="Absatz-Standardschriftart"/>
    <w:link w:val="1berschrift"/>
    <w:rsid w:val="00B532EB"/>
    <w:rPr>
      <w:rFonts w:ascii="Times New Roman" w:hAnsi="Times New Roman" w:cs="Times New Roman"/>
      <w:b/>
      <w:bCs/>
      <w:sz w:val="32"/>
      <w:szCs w:val="32"/>
    </w:rPr>
  </w:style>
  <w:style w:type="paragraph" w:styleId="Verzeichnis2">
    <w:name w:val="toc 2"/>
    <w:basedOn w:val="Standard"/>
    <w:next w:val="Standard"/>
    <w:autoRedefine/>
    <w:uiPriority w:val="39"/>
    <w:unhideWhenUsed/>
    <w:rsid w:val="00B532EB"/>
    <w:pPr>
      <w:spacing w:after="100" w:line="259" w:lineRule="auto"/>
      <w:ind w:left="220"/>
    </w:pPr>
    <w:rPr>
      <w:rFonts w:cs="Times New Roman"/>
    </w:rPr>
  </w:style>
  <w:style w:type="character" w:customStyle="1" w:styleId="2berschriftZchn">
    <w:name w:val="2 Überschrift Zchn"/>
    <w:basedOn w:val="1berschriftZchn"/>
    <w:link w:val="2berschrift"/>
    <w:rsid w:val="00B532EB"/>
    <w:rPr>
      <w:rFonts w:ascii="Times New Roman" w:hAnsi="Times New Roman" w:cs="Times New Roman"/>
      <w:b/>
      <w:bCs/>
      <w:sz w:val="28"/>
      <w:szCs w:val="28"/>
    </w:rPr>
  </w:style>
  <w:style w:type="paragraph" w:styleId="Verzeichnis1">
    <w:name w:val="toc 1"/>
    <w:basedOn w:val="Standard"/>
    <w:next w:val="Standard"/>
    <w:autoRedefine/>
    <w:uiPriority w:val="39"/>
    <w:unhideWhenUsed/>
    <w:rsid w:val="004F3BAA"/>
    <w:pPr>
      <w:spacing w:after="100" w:line="259" w:lineRule="auto"/>
    </w:pPr>
    <w:rPr>
      <w:rFonts w:cs="Times New Roman"/>
      <w:b/>
    </w:rPr>
  </w:style>
  <w:style w:type="paragraph" w:styleId="Verzeichnis3">
    <w:name w:val="toc 3"/>
    <w:basedOn w:val="Standard"/>
    <w:next w:val="Standard"/>
    <w:autoRedefine/>
    <w:uiPriority w:val="39"/>
    <w:unhideWhenUsed/>
    <w:rsid w:val="00B532EB"/>
    <w:pPr>
      <w:spacing w:after="100" w:line="259" w:lineRule="auto"/>
      <w:ind w:left="440"/>
    </w:pPr>
    <w:rPr>
      <w:rFonts w:cs="Times New Roman"/>
    </w:rPr>
  </w:style>
  <w:style w:type="paragraph" w:customStyle="1" w:styleId="3berschrift">
    <w:name w:val="3 Überschrift"/>
    <w:basedOn w:val="2berschrift"/>
    <w:link w:val="3berschriftZchn"/>
    <w:rsid w:val="00B532EB"/>
    <w:rPr>
      <w:sz w:val="24"/>
      <w:szCs w:val="24"/>
    </w:rPr>
  </w:style>
  <w:style w:type="paragraph" w:styleId="KeinLeerraum">
    <w:name w:val="No Spacing"/>
    <w:uiPriority w:val="1"/>
    <w:qFormat/>
    <w:rsid w:val="002A4ADD"/>
    <w:pPr>
      <w:spacing w:after="0" w:line="240" w:lineRule="auto"/>
    </w:pPr>
  </w:style>
  <w:style w:type="character" w:customStyle="1" w:styleId="3berschriftZchn">
    <w:name w:val="3 Überschrift Zchn"/>
    <w:basedOn w:val="2berschriftZchn"/>
    <w:link w:val="3berschrift"/>
    <w:rsid w:val="00B532EB"/>
    <w:rPr>
      <w:rFonts w:ascii="Times New Roman" w:hAnsi="Times New Roman" w:cs="Times New Roman"/>
      <w:b/>
      <w:bCs/>
      <w:sz w:val="24"/>
      <w:szCs w:val="24"/>
    </w:rPr>
  </w:style>
  <w:style w:type="character" w:customStyle="1" w:styleId="berschrift2Zchn">
    <w:name w:val="Überschrift 2 Zchn"/>
    <w:basedOn w:val="Absatz-Standardschriftart"/>
    <w:link w:val="berschrift2"/>
    <w:uiPriority w:val="9"/>
    <w:rsid w:val="00A566D9"/>
    <w:rPr>
      <w:rFonts w:ascii="Times New Roman" w:eastAsiaTheme="majorEastAsia" w:hAnsi="Times New Roman" w:cstheme="majorBidi"/>
      <w:b/>
      <w:color w:val="000000" w:themeColor="text1"/>
      <w:sz w:val="28"/>
      <w:szCs w:val="26"/>
    </w:rPr>
  </w:style>
  <w:style w:type="character" w:customStyle="1" w:styleId="berschrift3Zchn">
    <w:name w:val="Überschrift 3 Zchn"/>
    <w:basedOn w:val="Absatz-Standardschriftart"/>
    <w:link w:val="berschrift3"/>
    <w:uiPriority w:val="9"/>
    <w:rsid w:val="00676F73"/>
    <w:rPr>
      <w:rFonts w:asciiTheme="majorHAnsi" w:eastAsiaTheme="majorEastAsia" w:hAnsiTheme="majorHAnsi" w:cstheme="majorBidi"/>
      <w:color w:val="243F60" w:themeColor="accent1" w:themeShade="7F"/>
      <w:sz w:val="24"/>
      <w:szCs w:val="24"/>
    </w:rPr>
  </w:style>
  <w:style w:type="paragraph" w:customStyle="1" w:styleId="Tabelle">
    <w:name w:val="Tabelle"/>
    <w:basedOn w:val="Standard"/>
    <w:link w:val="TabelleZchn"/>
    <w:qFormat/>
    <w:rsid w:val="00676F73"/>
  </w:style>
  <w:style w:type="character" w:customStyle="1" w:styleId="berschrift4Zchn">
    <w:name w:val="Überschrift 4 Zchn"/>
    <w:basedOn w:val="Absatz-Standardschriftart"/>
    <w:link w:val="berschrift4"/>
    <w:uiPriority w:val="9"/>
    <w:semiHidden/>
    <w:rsid w:val="004F3BAA"/>
    <w:rPr>
      <w:rFonts w:asciiTheme="majorHAnsi" w:eastAsiaTheme="majorEastAsia" w:hAnsiTheme="majorHAnsi" w:cstheme="majorBidi"/>
      <w:i/>
      <w:iCs/>
      <w:color w:val="365F91" w:themeColor="accent1" w:themeShade="BF"/>
      <w:sz w:val="24"/>
    </w:rPr>
  </w:style>
  <w:style w:type="character" w:customStyle="1" w:styleId="TabelleZchn">
    <w:name w:val="Tabelle Zchn"/>
    <w:basedOn w:val="Absatz-Standardschriftart"/>
    <w:link w:val="Tabelle"/>
    <w:rsid w:val="00676F73"/>
    <w:rPr>
      <w:rFonts w:ascii="Times New Roman" w:hAnsi="Times New Roman"/>
      <w:sz w:val="24"/>
    </w:rPr>
  </w:style>
  <w:style w:type="character" w:customStyle="1" w:styleId="berschrift5Zchn">
    <w:name w:val="Überschrift 5 Zchn"/>
    <w:basedOn w:val="Absatz-Standardschriftart"/>
    <w:link w:val="berschrift5"/>
    <w:uiPriority w:val="9"/>
    <w:semiHidden/>
    <w:rsid w:val="004F3BAA"/>
    <w:rPr>
      <w:rFonts w:asciiTheme="majorHAnsi" w:eastAsiaTheme="majorEastAsia" w:hAnsiTheme="majorHAnsi" w:cstheme="majorBidi"/>
      <w:color w:val="365F91" w:themeColor="accent1" w:themeShade="BF"/>
      <w:sz w:val="24"/>
    </w:rPr>
  </w:style>
  <w:style w:type="character" w:customStyle="1" w:styleId="berschrift6Zchn">
    <w:name w:val="Überschrift 6 Zchn"/>
    <w:basedOn w:val="Absatz-Standardschriftart"/>
    <w:link w:val="berschrift6"/>
    <w:uiPriority w:val="9"/>
    <w:semiHidden/>
    <w:rsid w:val="004F3BAA"/>
    <w:rPr>
      <w:rFonts w:asciiTheme="majorHAnsi" w:eastAsiaTheme="majorEastAsia" w:hAnsiTheme="majorHAnsi" w:cstheme="majorBidi"/>
      <w:color w:val="243F60" w:themeColor="accent1" w:themeShade="7F"/>
      <w:sz w:val="24"/>
    </w:rPr>
  </w:style>
  <w:style w:type="character" w:customStyle="1" w:styleId="berschrift7Zchn">
    <w:name w:val="Überschrift 7 Zchn"/>
    <w:basedOn w:val="Absatz-Standardschriftart"/>
    <w:link w:val="berschrift7"/>
    <w:uiPriority w:val="9"/>
    <w:semiHidden/>
    <w:rsid w:val="004F3BAA"/>
    <w:rPr>
      <w:rFonts w:asciiTheme="majorHAnsi" w:eastAsiaTheme="majorEastAsia" w:hAnsiTheme="majorHAnsi" w:cstheme="majorBidi"/>
      <w:i/>
      <w:iCs/>
      <w:color w:val="243F60" w:themeColor="accent1" w:themeShade="7F"/>
      <w:sz w:val="24"/>
    </w:rPr>
  </w:style>
  <w:style w:type="character" w:customStyle="1" w:styleId="berschrift8Zchn">
    <w:name w:val="Überschrift 8 Zchn"/>
    <w:basedOn w:val="Absatz-Standardschriftart"/>
    <w:link w:val="berschrift8"/>
    <w:uiPriority w:val="9"/>
    <w:semiHidden/>
    <w:rsid w:val="004F3BA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F3BAA"/>
    <w:rPr>
      <w:rFonts w:asciiTheme="majorHAnsi" w:eastAsiaTheme="majorEastAsia" w:hAnsiTheme="majorHAnsi" w:cstheme="majorBidi"/>
      <w:i/>
      <w:iCs/>
      <w:color w:val="272727" w:themeColor="text1" w:themeTint="D8"/>
      <w:sz w:val="21"/>
      <w:szCs w:val="21"/>
    </w:rPr>
  </w:style>
  <w:style w:type="paragraph" w:styleId="Funotentext">
    <w:name w:val="footnote text"/>
    <w:basedOn w:val="Standard"/>
    <w:link w:val="FunotentextZchn"/>
    <w:uiPriority w:val="99"/>
    <w:semiHidden/>
    <w:unhideWhenUsed/>
    <w:rsid w:val="007742F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42F4"/>
    <w:rPr>
      <w:rFonts w:ascii="Times New Roman" w:hAnsi="Times New Roman"/>
      <w:sz w:val="20"/>
      <w:szCs w:val="20"/>
    </w:rPr>
  </w:style>
  <w:style w:type="character" w:styleId="Funotenzeichen">
    <w:name w:val="footnote reference"/>
    <w:basedOn w:val="Absatz-Standardschriftart"/>
    <w:uiPriority w:val="99"/>
    <w:semiHidden/>
    <w:unhideWhenUsed/>
    <w:rsid w:val="007742F4"/>
    <w:rPr>
      <w:vertAlign w:val="superscript"/>
    </w:rPr>
  </w:style>
  <w:style w:type="paragraph" w:styleId="Literaturverzeichnis">
    <w:name w:val="Bibliography"/>
    <w:basedOn w:val="Standard"/>
    <w:next w:val="Standard"/>
    <w:uiPriority w:val="37"/>
    <w:unhideWhenUsed/>
    <w:rsid w:val="007742F4"/>
    <w:pPr>
      <w:spacing w:after="240" w:line="240" w:lineRule="auto"/>
    </w:pPr>
  </w:style>
  <w:style w:type="paragraph" w:styleId="Listenabsatz">
    <w:name w:val="List Paragraph"/>
    <w:basedOn w:val="Standard"/>
    <w:link w:val="ListenabsatzZchn"/>
    <w:uiPriority w:val="34"/>
    <w:qFormat/>
    <w:rsid w:val="008F61A3"/>
    <w:pPr>
      <w:ind w:left="720"/>
      <w:contextualSpacing/>
    </w:pPr>
  </w:style>
  <w:style w:type="character" w:customStyle="1" w:styleId="fontstyle01">
    <w:name w:val="fontstyle01"/>
    <w:basedOn w:val="Absatz-Standardschriftart"/>
    <w:rsid w:val="008F61A3"/>
    <w:rPr>
      <w:rFonts w:ascii="AdvOT46dcae81" w:hAnsi="AdvOT46dcae81" w:hint="default"/>
      <w:b w:val="0"/>
      <w:bCs w:val="0"/>
      <w:i w:val="0"/>
      <w:iCs w:val="0"/>
      <w:color w:val="000000"/>
      <w:sz w:val="20"/>
      <w:szCs w:val="20"/>
    </w:rPr>
  </w:style>
  <w:style w:type="character" w:customStyle="1" w:styleId="fontstyle21">
    <w:name w:val="fontstyle21"/>
    <w:basedOn w:val="Absatz-Standardschriftart"/>
    <w:rsid w:val="008F61A3"/>
    <w:rPr>
      <w:rFonts w:ascii="AdvOT46dcae81+fb" w:hAnsi="AdvOT46dcae81+fb" w:hint="default"/>
      <w:b w:val="0"/>
      <w:bCs w:val="0"/>
      <w:i w:val="0"/>
      <w:iCs w:val="0"/>
      <w:color w:val="000000"/>
      <w:sz w:val="20"/>
      <w:szCs w:val="20"/>
    </w:rPr>
  </w:style>
  <w:style w:type="paragraph" w:styleId="Endnotentext">
    <w:name w:val="endnote text"/>
    <w:basedOn w:val="Standard"/>
    <w:link w:val="EndnotentextZchn"/>
    <w:uiPriority w:val="99"/>
    <w:semiHidden/>
    <w:unhideWhenUsed/>
    <w:rsid w:val="00781CF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81CF7"/>
    <w:rPr>
      <w:rFonts w:ascii="Times New Roman" w:hAnsi="Times New Roman"/>
      <w:sz w:val="20"/>
      <w:szCs w:val="20"/>
    </w:rPr>
  </w:style>
  <w:style w:type="character" w:styleId="Endnotenzeichen">
    <w:name w:val="endnote reference"/>
    <w:basedOn w:val="Absatz-Standardschriftart"/>
    <w:uiPriority w:val="99"/>
    <w:semiHidden/>
    <w:unhideWhenUsed/>
    <w:rsid w:val="00781CF7"/>
    <w:rPr>
      <w:vertAlign w:val="superscript"/>
    </w:rPr>
  </w:style>
  <w:style w:type="table" w:styleId="Tabellenraster">
    <w:name w:val="Table Grid"/>
    <w:basedOn w:val="NormaleTabelle"/>
    <w:uiPriority w:val="39"/>
    <w:rsid w:val="003B0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B013D"/>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3B013D"/>
    <w:pPr>
      <w:spacing w:after="0"/>
    </w:pPr>
  </w:style>
  <w:style w:type="character" w:styleId="BesuchterLink">
    <w:name w:val="FollowedHyperlink"/>
    <w:basedOn w:val="Absatz-Standardschriftart"/>
    <w:uiPriority w:val="99"/>
    <w:semiHidden/>
    <w:unhideWhenUsed/>
    <w:rsid w:val="007F1C08"/>
    <w:rPr>
      <w:color w:val="800080" w:themeColor="followedHyperlink"/>
      <w:u w:val="single"/>
    </w:rPr>
  </w:style>
  <w:style w:type="character" w:styleId="Kommentarzeichen">
    <w:name w:val="annotation reference"/>
    <w:basedOn w:val="Absatz-Standardschriftart"/>
    <w:uiPriority w:val="99"/>
    <w:semiHidden/>
    <w:unhideWhenUsed/>
    <w:rsid w:val="00726AD8"/>
    <w:rPr>
      <w:sz w:val="16"/>
      <w:szCs w:val="16"/>
    </w:rPr>
  </w:style>
  <w:style w:type="paragraph" w:styleId="Kommentartext">
    <w:name w:val="annotation text"/>
    <w:basedOn w:val="Standard"/>
    <w:link w:val="KommentartextZchn"/>
    <w:uiPriority w:val="99"/>
    <w:semiHidden/>
    <w:unhideWhenUsed/>
    <w:rsid w:val="00726A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6A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726AD8"/>
    <w:rPr>
      <w:b/>
      <w:bCs/>
    </w:rPr>
  </w:style>
  <w:style w:type="character" w:customStyle="1" w:styleId="KommentarthemaZchn">
    <w:name w:val="Kommentarthema Zchn"/>
    <w:basedOn w:val="KommentartextZchn"/>
    <w:link w:val="Kommentarthema"/>
    <w:uiPriority w:val="99"/>
    <w:semiHidden/>
    <w:rsid w:val="00726AD8"/>
    <w:rPr>
      <w:rFonts w:ascii="Times New Roman" w:hAnsi="Times New Roman"/>
      <w:b/>
      <w:bCs/>
      <w:sz w:val="20"/>
      <w:szCs w:val="20"/>
    </w:rPr>
  </w:style>
  <w:style w:type="character" w:styleId="Platzhaltertext">
    <w:name w:val="Placeholder Text"/>
    <w:basedOn w:val="Absatz-Standardschriftart"/>
    <w:uiPriority w:val="99"/>
    <w:semiHidden/>
    <w:rsid w:val="003A29A2"/>
    <w:rPr>
      <w:color w:val="808080"/>
    </w:rPr>
  </w:style>
  <w:style w:type="character" w:customStyle="1" w:styleId="fontstyle31">
    <w:name w:val="fontstyle31"/>
    <w:basedOn w:val="Absatz-Standardschriftart"/>
    <w:rsid w:val="00BA580E"/>
    <w:rPr>
      <w:rFonts w:ascii="AdvOT5fcf1b24+fb" w:hAnsi="AdvOT5fcf1b24+fb" w:hint="default"/>
      <w:b w:val="0"/>
      <w:bCs w:val="0"/>
      <w:i w:val="0"/>
      <w:iCs w:val="0"/>
      <w:color w:val="000000"/>
      <w:sz w:val="16"/>
      <w:szCs w:val="16"/>
    </w:rPr>
  </w:style>
  <w:style w:type="paragraph" w:styleId="StandardWeb">
    <w:name w:val="Normal (Web)"/>
    <w:basedOn w:val="Standard"/>
    <w:uiPriority w:val="99"/>
    <w:semiHidden/>
    <w:unhideWhenUsed/>
    <w:rsid w:val="003260B2"/>
    <w:pPr>
      <w:spacing w:before="100" w:beforeAutospacing="1" w:after="100" w:afterAutospacing="1" w:line="240" w:lineRule="auto"/>
      <w:jc w:val="left"/>
    </w:pPr>
    <w:rPr>
      <w:rFonts w:eastAsia="Times New Roman" w:cs="Times New Roman"/>
      <w:szCs w:val="24"/>
    </w:rPr>
  </w:style>
  <w:style w:type="paragraph" w:styleId="berarbeitung">
    <w:name w:val="Revision"/>
    <w:hidden/>
    <w:uiPriority w:val="99"/>
    <w:semiHidden/>
    <w:rsid w:val="006E0C7B"/>
    <w:pPr>
      <w:spacing w:after="0" w:line="240" w:lineRule="auto"/>
    </w:pPr>
    <w:rPr>
      <w:rFonts w:ascii="Times New Roman" w:hAnsi="Times New Roman"/>
      <w:sz w:val="24"/>
    </w:rPr>
  </w:style>
  <w:style w:type="paragraph" w:customStyle="1" w:styleId="Formatvorlage1">
    <w:name w:val="Formatvorlage1"/>
    <w:basedOn w:val="Listenabsatz"/>
    <w:next w:val="3berschrift"/>
    <w:link w:val="Formatvorlage1Zchn"/>
    <w:qFormat/>
    <w:rsid w:val="00BF464F"/>
    <w:pPr>
      <w:numPr>
        <w:numId w:val="7"/>
      </w:numPr>
      <w:spacing w:after="120"/>
    </w:pPr>
  </w:style>
  <w:style w:type="paragraph" w:customStyle="1" w:styleId="berschrift3temp">
    <w:name w:val="Überschrift 3 temp"/>
    <w:basedOn w:val="Formatvorlage1"/>
    <w:next w:val="3berschrift"/>
    <w:link w:val="berschrift3tempZchn"/>
    <w:qFormat/>
    <w:rsid w:val="007A13E9"/>
  </w:style>
  <w:style w:type="character" w:customStyle="1" w:styleId="ListenabsatzZchn">
    <w:name w:val="Listenabsatz Zchn"/>
    <w:basedOn w:val="Absatz-Standardschriftart"/>
    <w:link w:val="Listenabsatz"/>
    <w:uiPriority w:val="34"/>
    <w:rsid w:val="00BF464F"/>
    <w:rPr>
      <w:rFonts w:ascii="Times New Roman" w:hAnsi="Times New Roman"/>
      <w:sz w:val="24"/>
    </w:rPr>
  </w:style>
  <w:style w:type="character" w:customStyle="1" w:styleId="Formatvorlage1Zchn">
    <w:name w:val="Formatvorlage1 Zchn"/>
    <w:basedOn w:val="ListenabsatzZchn"/>
    <w:link w:val="Formatvorlage1"/>
    <w:rsid w:val="00BF464F"/>
    <w:rPr>
      <w:rFonts w:ascii="Times New Roman" w:hAnsi="Times New Roman"/>
      <w:sz w:val="24"/>
    </w:rPr>
  </w:style>
  <w:style w:type="paragraph" w:customStyle="1" w:styleId="Finalberschrift3">
    <w:name w:val="Final Überschrift 3"/>
    <w:basedOn w:val="berschrift3"/>
    <w:link w:val="Finalberschrift3Zchn"/>
    <w:qFormat/>
    <w:rsid w:val="007A13E9"/>
    <w:pPr>
      <w:spacing w:before="0" w:after="120"/>
    </w:pPr>
    <w:rPr>
      <w:rFonts w:ascii="Times New Roman" w:hAnsi="Times New Roman" w:cs="Times New Roman"/>
      <w:color w:val="auto"/>
    </w:rPr>
  </w:style>
  <w:style w:type="character" w:customStyle="1" w:styleId="berschrift3tempZchn">
    <w:name w:val="Überschrift 3 temp Zchn"/>
    <w:basedOn w:val="Formatvorlage1Zchn"/>
    <w:link w:val="berschrift3temp"/>
    <w:rsid w:val="007A13E9"/>
    <w:rPr>
      <w:rFonts w:ascii="Times New Roman" w:hAnsi="Times New Roman"/>
      <w:sz w:val="24"/>
    </w:rPr>
  </w:style>
  <w:style w:type="paragraph" w:customStyle="1" w:styleId="Anhang1">
    <w:name w:val="Anhang1"/>
    <w:basedOn w:val="berschrift1"/>
    <w:next w:val="Standard"/>
    <w:link w:val="Anhang1Zchn"/>
    <w:qFormat/>
    <w:rsid w:val="00BF54FE"/>
    <w:pPr>
      <w:numPr>
        <w:numId w:val="9"/>
      </w:numPr>
      <w:spacing w:before="40" w:after="240" w:line="240" w:lineRule="auto"/>
    </w:pPr>
    <w:rPr>
      <w:b w:val="0"/>
      <w:sz w:val="28"/>
      <w:szCs w:val="28"/>
    </w:rPr>
  </w:style>
  <w:style w:type="character" w:customStyle="1" w:styleId="Finalberschrift3Zchn">
    <w:name w:val="Final Überschrift 3 Zchn"/>
    <w:basedOn w:val="berschrift3Zchn"/>
    <w:link w:val="Finalberschrift3"/>
    <w:rsid w:val="007A13E9"/>
    <w:rPr>
      <w:rFonts w:ascii="Times New Roman" w:eastAsiaTheme="majorEastAsia" w:hAnsi="Times New Roman" w:cs="Times New Roman"/>
      <w:color w:val="243F60" w:themeColor="accent1" w:themeShade="7F"/>
      <w:sz w:val="24"/>
      <w:szCs w:val="24"/>
    </w:rPr>
  </w:style>
  <w:style w:type="paragraph" w:customStyle="1" w:styleId="Anhang2">
    <w:name w:val="Anhang2"/>
    <w:basedOn w:val="berschrift2"/>
    <w:link w:val="Anhang2Zchn"/>
    <w:qFormat/>
    <w:rsid w:val="00F3600D"/>
    <w:pPr>
      <w:ind w:left="360" w:hanging="360"/>
    </w:pPr>
    <w:rPr>
      <w:b w:val="0"/>
    </w:rPr>
  </w:style>
  <w:style w:type="character" w:customStyle="1" w:styleId="Anhang1Zchn">
    <w:name w:val="Anhang1 Zchn"/>
    <w:basedOn w:val="berschrift1Zchn"/>
    <w:link w:val="Anhang1"/>
    <w:rsid w:val="00BF54FE"/>
    <w:rPr>
      <w:rFonts w:ascii="Times New Roman" w:eastAsiaTheme="majorEastAsia" w:hAnsi="Times New Roman" w:cstheme="majorBidi"/>
      <w:b w:val="0"/>
      <w:sz w:val="28"/>
      <w:szCs w:val="28"/>
    </w:rPr>
  </w:style>
  <w:style w:type="character" w:customStyle="1" w:styleId="Anhang2Zchn">
    <w:name w:val="Anhang2 Zchn"/>
    <w:basedOn w:val="berschrift2Zchn"/>
    <w:link w:val="Anhang2"/>
    <w:rsid w:val="00F3600D"/>
    <w:rPr>
      <w:rFonts w:ascii="Times New Roman" w:eastAsiaTheme="majorEastAsia" w:hAnsi="Times New Roman" w:cstheme="majorBidi"/>
      <w:b w:val="0"/>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269">
      <w:bodyDiv w:val="1"/>
      <w:marLeft w:val="0"/>
      <w:marRight w:val="0"/>
      <w:marTop w:val="0"/>
      <w:marBottom w:val="0"/>
      <w:divBdr>
        <w:top w:val="none" w:sz="0" w:space="0" w:color="auto"/>
        <w:left w:val="none" w:sz="0" w:space="0" w:color="auto"/>
        <w:bottom w:val="none" w:sz="0" w:space="0" w:color="auto"/>
        <w:right w:val="none" w:sz="0" w:space="0" w:color="auto"/>
      </w:divBdr>
    </w:div>
    <w:div w:id="37821391">
      <w:bodyDiv w:val="1"/>
      <w:marLeft w:val="0"/>
      <w:marRight w:val="0"/>
      <w:marTop w:val="0"/>
      <w:marBottom w:val="0"/>
      <w:divBdr>
        <w:top w:val="none" w:sz="0" w:space="0" w:color="auto"/>
        <w:left w:val="none" w:sz="0" w:space="0" w:color="auto"/>
        <w:bottom w:val="none" w:sz="0" w:space="0" w:color="auto"/>
        <w:right w:val="none" w:sz="0" w:space="0" w:color="auto"/>
      </w:divBdr>
    </w:div>
    <w:div w:id="42367348">
      <w:bodyDiv w:val="1"/>
      <w:marLeft w:val="0"/>
      <w:marRight w:val="0"/>
      <w:marTop w:val="0"/>
      <w:marBottom w:val="0"/>
      <w:divBdr>
        <w:top w:val="none" w:sz="0" w:space="0" w:color="auto"/>
        <w:left w:val="none" w:sz="0" w:space="0" w:color="auto"/>
        <w:bottom w:val="none" w:sz="0" w:space="0" w:color="auto"/>
        <w:right w:val="none" w:sz="0" w:space="0" w:color="auto"/>
      </w:divBdr>
    </w:div>
    <w:div w:id="46494727">
      <w:bodyDiv w:val="1"/>
      <w:marLeft w:val="0"/>
      <w:marRight w:val="0"/>
      <w:marTop w:val="0"/>
      <w:marBottom w:val="0"/>
      <w:divBdr>
        <w:top w:val="none" w:sz="0" w:space="0" w:color="auto"/>
        <w:left w:val="none" w:sz="0" w:space="0" w:color="auto"/>
        <w:bottom w:val="none" w:sz="0" w:space="0" w:color="auto"/>
        <w:right w:val="none" w:sz="0" w:space="0" w:color="auto"/>
      </w:divBdr>
    </w:div>
    <w:div w:id="75170915">
      <w:bodyDiv w:val="1"/>
      <w:marLeft w:val="0"/>
      <w:marRight w:val="0"/>
      <w:marTop w:val="0"/>
      <w:marBottom w:val="0"/>
      <w:divBdr>
        <w:top w:val="none" w:sz="0" w:space="0" w:color="auto"/>
        <w:left w:val="none" w:sz="0" w:space="0" w:color="auto"/>
        <w:bottom w:val="none" w:sz="0" w:space="0" w:color="auto"/>
        <w:right w:val="none" w:sz="0" w:space="0" w:color="auto"/>
      </w:divBdr>
    </w:div>
    <w:div w:id="90858576">
      <w:bodyDiv w:val="1"/>
      <w:marLeft w:val="0"/>
      <w:marRight w:val="0"/>
      <w:marTop w:val="0"/>
      <w:marBottom w:val="0"/>
      <w:divBdr>
        <w:top w:val="none" w:sz="0" w:space="0" w:color="auto"/>
        <w:left w:val="none" w:sz="0" w:space="0" w:color="auto"/>
        <w:bottom w:val="none" w:sz="0" w:space="0" w:color="auto"/>
        <w:right w:val="none" w:sz="0" w:space="0" w:color="auto"/>
      </w:divBdr>
    </w:div>
    <w:div w:id="129371902">
      <w:bodyDiv w:val="1"/>
      <w:marLeft w:val="0"/>
      <w:marRight w:val="0"/>
      <w:marTop w:val="0"/>
      <w:marBottom w:val="0"/>
      <w:divBdr>
        <w:top w:val="none" w:sz="0" w:space="0" w:color="auto"/>
        <w:left w:val="none" w:sz="0" w:space="0" w:color="auto"/>
        <w:bottom w:val="none" w:sz="0" w:space="0" w:color="auto"/>
        <w:right w:val="none" w:sz="0" w:space="0" w:color="auto"/>
      </w:divBdr>
    </w:div>
    <w:div w:id="130943408">
      <w:bodyDiv w:val="1"/>
      <w:marLeft w:val="0"/>
      <w:marRight w:val="0"/>
      <w:marTop w:val="0"/>
      <w:marBottom w:val="0"/>
      <w:divBdr>
        <w:top w:val="none" w:sz="0" w:space="0" w:color="auto"/>
        <w:left w:val="none" w:sz="0" w:space="0" w:color="auto"/>
        <w:bottom w:val="none" w:sz="0" w:space="0" w:color="auto"/>
        <w:right w:val="none" w:sz="0" w:space="0" w:color="auto"/>
      </w:divBdr>
    </w:div>
    <w:div w:id="194315534">
      <w:bodyDiv w:val="1"/>
      <w:marLeft w:val="0"/>
      <w:marRight w:val="0"/>
      <w:marTop w:val="0"/>
      <w:marBottom w:val="0"/>
      <w:divBdr>
        <w:top w:val="none" w:sz="0" w:space="0" w:color="auto"/>
        <w:left w:val="none" w:sz="0" w:space="0" w:color="auto"/>
        <w:bottom w:val="none" w:sz="0" w:space="0" w:color="auto"/>
        <w:right w:val="none" w:sz="0" w:space="0" w:color="auto"/>
      </w:divBdr>
    </w:div>
    <w:div w:id="308941123">
      <w:bodyDiv w:val="1"/>
      <w:marLeft w:val="0"/>
      <w:marRight w:val="0"/>
      <w:marTop w:val="0"/>
      <w:marBottom w:val="0"/>
      <w:divBdr>
        <w:top w:val="none" w:sz="0" w:space="0" w:color="auto"/>
        <w:left w:val="none" w:sz="0" w:space="0" w:color="auto"/>
        <w:bottom w:val="none" w:sz="0" w:space="0" w:color="auto"/>
        <w:right w:val="none" w:sz="0" w:space="0" w:color="auto"/>
      </w:divBdr>
    </w:div>
    <w:div w:id="318656486">
      <w:bodyDiv w:val="1"/>
      <w:marLeft w:val="0"/>
      <w:marRight w:val="0"/>
      <w:marTop w:val="0"/>
      <w:marBottom w:val="0"/>
      <w:divBdr>
        <w:top w:val="none" w:sz="0" w:space="0" w:color="auto"/>
        <w:left w:val="none" w:sz="0" w:space="0" w:color="auto"/>
        <w:bottom w:val="none" w:sz="0" w:space="0" w:color="auto"/>
        <w:right w:val="none" w:sz="0" w:space="0" w:color="auto"/>
      </w:divBdr>
    </w:div>
    <w:div w:id="353652119">
      <w:bodyDiv w:val="1"/>
      <w:marLeft w:val="0"/>
      <w:marRight w:val="0"/>
      <w:marTop w:val="0"/>
      <w:marBottom w:val="0"/>
      <w:divBdr>
        <w:top w:val="none" w:sz="0" w:space="0" w:color="auto"/>
        <w:left w:val="none" w:sz="0" w:space="0" w:color="auto"/>
        <w:bottom w:val="none" w:sz="0" w:space="0" w:color="auto"/>
        <w:right w:val="none" w:sz="0" w:space="0" w:color="auto"/>
      </w:divBdr>
    </w:div>
    <w:div w:id="367023794">
      <w:bodyDiv w:val="1"/>
      <w:marLeft w:val="0"/>
      <w:marRight w:val="0"/>
      <w:marTop w:val="0"/>
      <w:marBottom w:val="0"/>
      <w:divBdr>
        <w:top w:val="none" w:sz="0" w:space="0" w:color="auto"/>
        <w:left w:val="none" w:sz="0" w:space="0" w:color="auto"/>
        <w:bottom w:val="none" w:sz="0" w:space="0" w:color="auto"/>
        <w:right w:val="none" w:sz="0" w:space="0" w:color="auto"/>
      </w:divBdr>
    </w:div>
    <w:div w:id="392198648">
      <w:bodyDiv w:val="1"/>
      <w:marLeft w:val="0"/>
      <w:marRight w:val="0"/>
      <w:marTop w:val="0"/>
      <w:marBottom w:val="0"/>
      <w:divBdr>
        <w:top w:val="none" w:sz="0" w:space="0" w:color="auto"/>
        <w:left w:val="none" w:sz="0" w:space="0" w:color="auto"/>
        <w:bottom w:val="none" w:sz="0" w:space="0" w:color="auto"/>
        <w:right w:val="none" w:sz="0" w:space="0" w:color="auto"/>
      </w:divBdr>
    </w:div>
    <w:div w:id="423838358">
      <w:bodyDiv w:val="1"/>
      <w:marLeft w:val="0"/>
      <w:marRight w:val="0"/>
      <w:marTop w:val="0"/>
      <w:marBottom w:val="0"/>
      <w:divBdr>
        <w:top w:val="none" w:sz="0" w:space="0" w:color="auto"/>
        <w:left w:val="none" w:sz="0" w:space="0" w:color="auto"/>
        <w:bottom w:val="none" w:sz="0" w:space="0" w:color="auto"/>
        <w:right w:val="none" w:sz="0" w:space="0" w:color="auto"/>
      </w:divBdr>
    </w:div>
    <w:div w:id="426124734">
      <w:bodyDiv w:val="1"/>
      <w:marLeft w:val="0"/>
      <w:marRight w:val="0"/>
      <w:marTop w:val="0"/>
      <w:marBottom w:val="0"/>
      <w:divBdr>
        <w:top w:val="none" w:sz="0" w:space="0" w:color="auto"/>
        <w:left w:val="none" w:sz="0" w:space="0" w:color="auto"/>
        <w:bottom w:val="none" w:sz="0" w:space="0" w:color="auto"/>
        <w:right w:val="none" w:sz="0" w:space="0" w:color="auto"/>
      </w:divBdr>
    </w:div>
    <w:div w:id="499125751">
      <w:bodyDiv w:val="1"/>
      <w:marLeft w:val="0"/>
      <w:marRight w:val="0"/>
      <w:marTop w:val="0"/>
      <w:marBottom w:val="0"/>
      <w:divBdr>
        <w:top w:val="none" w:sz="0" w:space="0" w:color="auto"/>
        <w:left w:val="none" w:sz="0" w:space="0" w:color="auto"/>
        <w:bottom w:val="none" w:sz="0" w:space="0" w:color="auto"/>
        <w:right w:val="none" w:sz="0" w:space="0" w:color="auto"/>
      </w:divBdr>
    </w:div>
    <w:div w:id="503938876">
      <w:bodyDiv w:val="1"/>
      <w:marLeft w:val="0"/>
      <w:marRight w:val="0"/>
      <w:marTop w:val="0"/>
      <w:marBottom w:val="0"/>
      <w:divBdr>
        <w:top w:val="none" w:sz="0" w:space="0" w:color="auto"/>
        <w:left w:val="none" w:sz="0" w:space="0" w:color="auto"/>
        <w:bottom w:val="none" w:sz="0" w:space="0" w:color="auto"/>
        <w:right w:val="none" w:sz="0" w:space="0" w:color="auto"/>
      </w:divBdr>
    </w:div>
    <w:div w:id="517353028">
      <w:bodyDiv w:val="1"/>
      <w:marLeft w:val="0"/>
      <w:marRight w:val="0"/>
      <w:marTop w:val="0"/>
      <w:marBottom w:val="0"/>
      <w:divBdr>
        <w:top w:val="none" w:sz="0" w:space="0" w:color="auto"/>
        <w:left w:val="none" w:sz="0" w:space="0" w:color="auto"/>
        <w:bottom w:val="none" w:sz="0" w:space="0" w:color="auto"/>
        <w:right w:val="none" w:sz="0" w:space="0" w:color="auto"/>
      </w:divBdr>
    </w:div>
    <w:div w:id="668144358">
      <w:bodyDiv w:val="1"/>
      <w:marLeft w:val="0"/>
      <w:marRight w:val="0"/>
      <w:marTop w:val="0"/>
      <w:marBottom w:val="0"/>
      <w:divBdr>
        <w:top w:val="none" w:sz="0" w:space="0" w:color="auto"/>
        <w:left w:val="none" w:sz="0" w:space="0" w:color="auto"/>
        <w:bottom w:val="none" w:sz="0" w:space="0" w:color="auto"/>
        <w:right w:val="none" w:sz="0" w:space="0" w:color="auto"/>
      </w:divBdr>
    </w:div>
    <w:div w:id="748384011">
      <w:bodyDiv w:val="1"/>
      <w:marLeft w:val="0"/>
      <w:marRight w:val="0"/>
      <w:marTop w:val="0"/>
      <w:marBottom w:val="0"/>
      <w:divBdr>
        <w:top w:val="none" w:sz="0" w:space="0" w:color="auto"/>
        <w:left w:val="none" w:sz="0" w:space="0" w:color="auto"/>
        <w:bottom w:val="none" w:sz="0" w:space="0" w:color="auto"/>
        <w:right w:val="none" w:sz="0" w:space="0" w:color="auto"/>
      </w:divBdr>
    </w:div>
    <w:div w:id="771365792">
      <w:bodyDiv w:val="1"/>
      <w:marLeft w:val="0"/>
      <w:marRight w:val="0"/>
      <w:marTop w:val="0"/>
      <w:marBottom w:val="0"/>
      <w:divBdr>
        <w:top w:val="none" w:sz="0" w:space="0" w:color="auto"/>
        <w:left w:val="none" w:sz="0" w:space="0" w:color="auto"/>
        <w:bottom w:val="none" w:sz="0" w:space="0" w:color="auto"/>
        <w:right w:val="none" w:sz="0" w:space="0" w:color="auto"/>
      </w:divBdr>
    </w:div>
    <w:div w:id="812478346">
      <w:bodyDiv w:val="1"/>
      <w:marLeft w:val="0"/>
      <w:marRight w:val="0"/>
      <w:marTop w:val="0"/>
      <w:marBottom w:val="0"/>
      <w:divBdr>
        <w:top w:val="none" w:sz="0" w:space="0" w:color="auto"/>
        <w:left w:val="none" w:sz="0" w:space="0" w:color="auto"/>
        <w:bottom w:val="none" w:sz="0" w:space="0" w:color="auto"/>
        <w:right w:val="none" w:sz="0" w:space="0" w:color="auto"/>
      </w:divBdr>
    </w:div>
    <w:div w:id="1064570795">
      <w:bodyDiv w:val="1"/>
      <w:marLeft w:val="0"/>
      <w:marRight w:val="0"/>
      <w:marTop w:val="0"/>
      <w:marBottom w:val="0"/>
      <w:divBdr>
        <w:top w:val="none" w:sz="0" w:space="0" w:color="auto"/>
        <w:left w:val="none" w:sz="0" w:space="0" w:color="auto"/>
        <w:bottom w:val="none" w:sz="0" w:space="0" w:color="auto"/>
        <w:right w:val="none" w:sz="0" w:space="0" w:color="auto"/>
      </w:divBdr>
    </w:div>
    <w:div w:id="1139416716">
      <w:bodyDiv w:val="1"/>
      <w:marLeft w:val="0"/>
      <w:marRight w:val="0"/>
      <w:marTop w:val="0"/>
      <w:marBottom w:val="0"/>
      <w:divBdr>
        <w:top w:val="none" w:sz="0" w:space="0" w:color="auto"/>
        <w:left w:val="none" w:sz="0" w:space="0" w:color="auto"/>
        <w:bottom w:val="none" w:sz="0" w:space="0" w:color="auto"/>
        <w:right w:val="none" w:sz="0" w:space="0" w:color="auto"/>
      </w:divBdr>
    </w:div>
    <w:div w:id="1255043711">
      <w:bodyDiv w:val="1"/>
      <w:marLeft w:val="0"/>
      <w:marRight w:val="0"/>
      <w:marTop w:val="0"/>
      <w:marBottom w:val="0"/>
      <w:divBdr>
        <w:top w:val="none" w:sz="0" w:space="0" w:color="auto"/>
        <w:left w:val="none" w:sz="0" w:space="0" w:color="auto"/>
        <w:bottom w:val="none" w:sz="0" w:space="0" w:color="auto"/>
        <w:right w:val="none" w:sz="0" w:space="0" w:color="auto"/>
      </w:divBdr>
    </w:div>
    <w:div w:id="1255242604">
      <w:bodyDiv w:val="1"/>
      <w:marLeft w:val="0"/>
      <w:marRight w:val="0"/>
      <w:marTop w:val="0"/>
      <w:marBottom w:val="0"/>
      <w:divBdr>
        <w:top w:val="none" w:sz="0" w:space="0" w:color="auto"/>
        <w:left w:val="none" w:sz="0" w:space="0" w:color="auto"/>
        <w:bottom w:val="none" w:sz="0" w:space="0" w:color="auto"/>
        <w:right w:val="none" w:sz="0" w:space="0" w:color="auto"/>
      </w:divBdr>
    </w:div>
    <w:div w:id="1271204647">
      <w:bodyDiv w:val="1"/>
      <w:marLeft w:val="0"/>
      <w:marRight w:val="0"/>
      <w:marTop w:val="0"/>
      <w:marBottom w:val="0"/>
      <w:divBdr>
        <w:top w:val="none" w:sz="0" w:space="0" w:color="auto"/>
        <w:left w:val="none" w:sz="0" w:space="0" w:color="auto"/>
        <w:bottom w:val="none" w:sz="0" w:space="0" w:color="auto"/>
        <w:right w:val="none" w:sz="0" w:space="0" w:color="auto"/>
      </w:divBdr>
    </w:div>
    <w:div w:id="1340352745">
      <w:bodyDiv w:val="1"/>
      <w:marLeft w:val="0"/>
      <w:marRight w:val="0"/>
      <w:marTop w:val="0"/>
      <w:marBottom w:val="0"/>
      <w:divBdr>
        <w:top w:val="none" w:sz="0" w:space="0" w:color="auto"/>
        <w:left w:val="none" w:sz="0" w:space="0" w:color="auto"/>
        <w:bottom w:val="none" w:sz="0" w:space="0" w:color="auto"/>
        <w:right w:val="none" w:sz="0" w:space="0" w:color="auto"/>
      </w:divBdr>
    </w:div>
    <w:div w:id="1353219211">
      <w:bodyDiv w:val="1"/>
      <w:marLeft w:val="0"/>
      <w:marRight w:val="0"/>
      <w:marTop w:val="0"/>
      <w:marBottom w:val="0"/>
      <w:divBdr>
        <w:top w:val="none" w:sz="0" w:space="0" w:color="auto"/>
        <w:left w:val="none" w:sz="0" w:space="0" w:color="auto"/>
        <w:bottom w:val="none" w:sz="0" w:space="0" w:color="auto"/>
        <w:right w:val="none" w:sz="0" w:space="0" w:color="auto"/>
      </w:divBdr>
      <w:divsChild>
        <w:div w:id="1400982759">
          <w:marLeft w:val="0"/>
          <w:marRight w:val="0"/>
          <w:marTop w:val="0"/>
          <w:marBottom w:val="0"/>
          <w:divBdr>
            <w:top w:val="none" w:sz="0" w:space="0" w:color="auto"/>
            <w:left w:val="none" w:sz="0" w:space="0" w:color="auto"/>
            <w:bottom w:val="none" w:sz="0" w:space="0" w:color="auto"/>
            <w:right w:val="none" w:sz="0" w:space="0" w:color="auto"/>
          </w:divBdr>
          <w:divsChild>
            <w:div w:id="882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0319">
      <w:bodyDiv w:val="1"/>
      <w:marLeft w:val="0"/>
      <w:marRight w:val="0"/>
      <w:marTop w:val="0"/>
      <w:marBottom w:val="0"/>
      <w:divBdr>
        <w:top w:val="none" w:sz="0" w:space="0" w:color="auto"/>
        <w:left w:val="none" w:sz="0" w:space="0" w:color="auto"/>
        <w:bottom w:val="none" w:sz="0" w:space="0" w:color="auto"/>
        <w:right w:val="none" w:sz="0" w:space="0" w:color="auto"/>
      </w:divBdr>
    </w:div>
    <w:div w:id="1388531338">
      <w:bodyDiv w:val="1"/>
      <w:marLeft w:val="0"/>
      <w:marRight w:val="0"/>
      <w:marTop w:val="0"/>
      <w:marBottom w:val="0"/>
      <w:divBdr>
        <w:top w:val="none" w:sz="0" w:space="0" w:color="auto"/>
        <w:left w:val="none" w:sz="0" w:space="0" w:color="auto"/>
        <w:bottom w:val="none" w:sz="0" w:space="0" w:color="auto"/>
        <w:right w:val="none" w:sz="0" w:space="0" w:color="auto"/>
      </w:divBdr>
    </w:div>
    <w:div w:id="1432049148">
      <w:bodyDiv w:val="1"/>
      <w:marLeft w:val="0"/>
      <w:marRight w:val="0"/>
      <w:marTop w:val="0"/>
      <w:marBottom w:val="0"/>
      <w:divBdr>
        <w:top w:val="none" w:sz="0" w:space="0" w:color="auto"/>
        <w:left w:val="none" w:sz="0" w:space="0" w:color="auto"/>
        <w:bottom w:val="none" w:sz="0" w:space="0" w:color="auto"/>
        <w:right w:val="none" w:sz="0" w:space="0" w:color="auto"/>
      </w:divBdr>
    </w:div>
    <w:div w:id="1494836745">
      <w:bodyDiv w:val="1"/>
      <w:marLeft w:val="0"/>
      <w:marRight w:val="0"/>
      <w:marTop w:val="0"/>
      <w:marBottom w:val="0"/>
      <w:divBdr>
        <w:top w:val="none" w:sz="0" w:space="0" w:color="auto"/>
        <w:left w:val="none" w:sz="0" w:space="0" w:color="auto"/>
        <w:bottom w:val="none" w:sz="0" w:space="0" w:color="auto"/>
        <w:right w:val="none" w:sz="0" w:space="0" w:color="auto"/>
      </w:divBdr>
    </w:div>
    <w:div w:id="1507401778">
      <w:bodyDiv w:val="1"/>
      <w:marLeft w:val="0"/>
      <w:marRight w:val="0"/>
      <w:marTop w:val="0"/>
      <w:marBottom w:val="0"/>
      <w:divBdr>
        <w:top w:val="none" w:sz="0" w:space="0" w:color="auto"/>
        <w:left w:val="none" w:sz="0" w:space="0" w:color="auto"/>
        <w:bottom w:val="none" w:sz="0" w:space="0" w:color="auto"/>
        <w:right w:val="none" w:sz="0" w:space="0" w:color="auto"/>
      </w:divBdr>
    </w:div>
    <w:div w:id="1545287688">
      <w:bodyDiv w:val="1"/>
      <w:marLeft w:val="0"/>
      <w:marRight w:val="0"/>
      <w:marTop w:val="0"/>
      <w:marBottom w:val="0"/>
      <w:divBdr>
        <w:top w:val="none" w:sz="0" w:space="0" w:color="auto"/>
        <w:left w:val="none" w:sz="0" w:space="0" w:color="auto"/>
        <w:bottom w:val="none" w:sz="0" w:space="0" w:color="auto"/>
        <w:right w:val="none" w:sz="0" w:space="0" w:color="auto"/>
      </w:divBdr>
    </w:div>
    <w:div w:id="1597667545">
      <w:bodyDiv w:val="1"/>
      <w:marLeft w:val="0"/>
      <w:marRight w:val="0"/>
      <w:marTop w:val="0"/>
      <w:marBottom w:val="0"/>
      <w:divBdr>
        <w:top w:val="none" w:sz="0" w:space="0" w:color="auto"/>
        <w:left w:val="none" w:sz="0" w:space="0" w:color="auto"/>
        <w:bottom w:val="none" w:sz="0" w:space="0" w:color="auto"/>
        <w:right w:val="none" w:sz="0" w:space="0" w:color="auto"/>
      </w:divBdr>
    </w:div>
    <w:div w:id="1611888805">
      <w:bodyDiv w:val="1"/>
      <w:marLeft w:val="0"/>
      <w:marRight w:val="0"/>
      <w:marTop w:val="0"/>
      <w:marBottom w:val="0"/>
      <w:divBdr>
        <w:top w:val="none" w:sz="0" w:space="0" w:color="auto"/>
        <w:left w:val="none" w:sz="0" w:space="0" w:color="auto"/>
        <w:bottom w:val="none" w:sz="0" w:space="0" w:color="auto"/>
        <w:right w:val="none" w:sz="0" w:space="0" w:color="auto"/>
      </w:divBdr>
    </w:div>
    <w:div w:id="1655717031">
      <w:bodyDiv w:val="1"/>
      <w:marLeft w:val="0"/>
      <w:marRight w:val="0"/>
      <w:marTop w:val="0"/>
      <w:marBottom w:val="0"/>
      <w:divBdr>
        <w:top w:val="none" w:sz="0" w:space="0" w:color="auto"/>
        <w:left w:val="none" w:sz="0" w:space="0" w:color="auto"/>
        <w:bottom w:val="none" w:sz="0" w:space="0" w:color="auto"/>
        <w:right w:val="none" w:sz="0" w:space="0" w:color="auto"/>
      </w:divBdr>
    </w:div>
    <w:div w:id="1693336845">
      <w:bodyDiv w:val="1"/>
      <w:marLeft w:val="0"/>
      <w:marRight w:val="0"/>
      <w:marTop w:val="0"/>
      <w:marBottom w:val="0"/>
      <w:divBdr>
        <w:top w:val="none" w:sz="0" w:space="0" w:color="auto"/>
        <w:left w:val="none" w:sz="0" w:space="0" w:color="auto"/>
        <w:bottom w:val="none" w:sz="0" w:space="0" w:color="auto"/>
        <w:right w:val="none" w:sz="0" w:space="0" w:color="auto"/>
      </w:divBdr>
    </w:div>
    <w:div w:id="1708220805">
      <w:bodyDiv w:val="1"/>
      <w:marLeft w:val="0"/>
      <w:marRight w:val="0"/>
      <w:marTop w:val="0"/>
      <w:marBottom w:val="0"/>
      <w:divBdr>
        <w:top w:val="none" w:sz="0" w:space="0" w:color="auto"/>
        <w:left w:val="none" w:sz="0" w:space="0" w:color="auto"/>
        <w:bottom w:val="none" w:sz="0" w:space="0" w:color="auto"/>
        <w:right w:val="none" w:sz="0" w:space="0" w:color="auto"/>
      </w:divBdr>
    </w:div>
    <w:div w:id="1718242670">
      <w:bodyDiv w:val="1"/>
      <w:marLeft w:val="0"/>
      <w:marRight w:val="0"/>
      <w:marTop w:val="0"/>
      <w:marBottom w:val="0"/>
      <w:divBdr>
        <w:top w:val="none" w:sz="0" w:space="0" w:color="auto"/>
        <w:left w:val="none" w:sz="0" w:space="0" w:color="auto"/>
        <w:bottom w:val="none" w:sz="0" w:space="0" w:color="auto"/>
        <w:right w:val="none" w:sz="0" w:space="0" w:color="auto"/>
      </w:divBdr>
    </w:div>
    <w:div w:id="1907913412">
      <w:bodyDiv w:val="1"/>
      <w:marLeft w:val="0"/>
      <w:marRight w:val="0"/>
      <w:marTop w:val="0"/>
      <w:marBottom w:val="0"/>
      <w:divBdr>
        <w:top w:val="none" w:sz="0" w:space="0" w:color="auto"/>
        <w:left w:val="none" w:sz="0" w:space="0" w:color="auto"/>
        <w:bottom w:val="none" w:sz="0" w:space="0" w:color="auto"/>
        <w:right w:val="none" w:sz="0" w:space="0" w:color="auto"/>
      </w:divBdr>
    </w:div>
    <w:div w:id="1972588934">
      <w:bodyDiv w:val="1"/>
      <w:marLeft w:val="0"/>
      <w:marRight w:val="0"/>
      <w:marTop w:val="0"/>
      <w:marBottom w:val="0"/>
      <w:divBdr>
        <w:top w:val="none" w:sz="0" w:space="0" w:color="auto"/>
        <w:left w:val="none" w:sz="0" w:space="0" w:color="auto"/>
        <w:bottom w:val="none" w:sz="0" w:space="0" w:color="auto"/>
        <w:right w:val="none" w:sz="0" w:space="0" w:color="auto"/>
      </w:divBdr>
    </w:div>
    <w:div w:id="2031419404">
      <w:bodyDiv w:val="1"/>
      <w:marLeft w:val="0"/>
      <w:marRight w:val="0"/>
      <w:marTop w:val="0"/>
      <w:marBottom w:val="0"/>
      <w:divBdr>
        <w:top w:val="none" w:sz="0" w:space="0" w:color="auto"/>
        <w:left w:val="none" w:sz="0" w:space="0" w:color="auto"/>
        <w:bottom w:val="none" w:sz="0" w:space="0" w:color="auto"/>
        <w:right w:val="none" w:sz="0" w:space="0" w:color="auto"/>
      </w:divBdr>
    </w:div>
    <w:div w:id="2032142070">
      <w:bodyDiv w:val="1"/>
      <w:marLeft w:val="0"/>
      <w:marRight w:val="0"/>
      <w:marTop w:val="0"/>
      <w:marBottom w:val="0"/>
      <w:divBdr>
        <w:top w:val="none" w:sz="0" w:space="0" w:color="auto"/>
        <w:left w:val="none" w:sz="0" w:space="0" w:color="auto"/>
        <w:bottom w:val="none" w:sz="0" w:space="0" w:color="auto"/>
        <w:right w:val="none" w:sz="0" w:space="0" w:color="auto"/>
      </w:divBdr>
    </w:div>
    <w:div w:id="205626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c.europa.eu/docsroom/documents/38662/attachments/1/translations/en/renditions/native"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anton\Downloads\Finanzierungsmuster%20von%20Kleinstunternehmen%20im%20Vergleich%20zu%20kleinen%20und%20mittleren%20Unternehmen_vJB.docx"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cb.europa.eu/stats/pdf/surveys/sme/methodological_information_survey_and_user_guide.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Tabelle1!$B$1</c:f>
              <c:strCache>
                <c:ptCount val="1"/>
                <c:pt idx="0">
                  <c:v>Anzahl der Unternehmen</c:v>
                </c:pt>
              </c:strCache>
            </c:strRef>
          </c:tx>
          <c:spPr>
            <a:noFill/>
            <a:ln w="9525">
              <a:solidFill>
                <a:schemeClr val="bg1">
                  <a:lumMod val="65000"/>
                </a:schemeClr>
              </a:solidFill>
            </a:ln>
          </c:spPr>
          <c:dPt>
            <c:idx val="0"/>
            <c:bubble3D val="0"/>
            <c:spPr>
              <a:solidFill>
                <a:schemeClr val="bg1"/>
              </a:solidFill>
              <a:ln w="9525">
                <a:solidFill>
                  <a:schemeClr val="bg1">
                    <a:lumMod val="65000"/>
                  </a:schemeClr>
                </a:solidFill>
              </a:ln>
              <a:effectLst/>
            </c:spPr>
            <c:extLst>
              <c:ext xmlns:c16="http://schemas.microsoft.com/office/drawing/2014/chart" uri="{C3380CC4-5D6E-409C-BE32-E72D297353CC}">
                <c16:uniqueId val="{00000001-1D4C-4322-A62A-B9A2FF324B85}"/>
              </c:ext>
            </c:extLst>
          </c:dPt>
          <c:dPt>
            <c:idx val="1"/>
            <c:bubble3D val="0"/>
            <c:spPr>
              <a:solidFill>
                <a:schemeClr val="bg1">
                  <a:lumMod val="85000"/>
                </a:schemeClr>
              </a:solidFill>
              <a:ln w="9525">
                <a:solidFill>
                  <a:schemeClr val="bg1">
                    <a:lumMod val="65000"/>
                  </a:schemeClr>
                </a:solidFill>
              </a:ln>
              <a:effectLst/>
            </c:spPr>
            <c:extLst>
              <c:ext xmlns:c16="http://schemas.microsoft.com/office/drawing/2014/chart" uri="{C3380CC4-5D6E-409C-BE32-E72D297353CC}">
                <c16:uniqueId val="{00000003-1D4C-4322-A62A-B9A2FF324B85}"/>
              </c:ext>
            </c:extLst>
          </c:dPt>
          <c:dPt>
            <c:idx val="2"/>
            <c:bubble3D val="0"/>
            <c:spPr>
              <a:solidFill>
                <a:schemeClr val="bg1">
                  <a:lumMod val="50000"/>
                </a:schemeClr>
              </a:solidFill>
              <a:ln w="9525">
                <a:solidFill>
                  <a:schemeClr val="bg1">
                    <a:lumMod val="65000"/>
                  </a:schemeClr>
                </a:solidFill>
              </a:ln>
              <a:effectLst/>
            </c:spPr>
            <c:extLst>
              <c:ext xmlns:c16="http://schemas.microsoft.com/office/drawing/2014/chart" uri="{C3380CC4-5D6E-409C-BE32-E72D297353CC}">
                <c16:uniqueId val="{00000005-1D4C-4322-A62A-B9A2FF324B85}"/>
              </c:ext>
            </c:extLst>
          </c:dPt>
          <c:dLbls>
            <c:dLbl>
              <c:idx val="0"/>
              <c:layout>
                <c:manualLayout>
                  <c:x val="-0.14823397620619769"/>
                  <c:y val="0.13660227359039928"/>
                </c:manualLayout>
              </c:layout>
              <c:tx>
                <c:rich>
                  <a:bodyPr/>
                  <a:lstStyle/>
                  <a:p>
                    <a:fld id="{C717765F-BD06-4DE1-95AE-1332509B146F}" type="CATEGORYNAME">
                      <a:rPr lang="en-US"/>
                      <a:pPr/>
                      <a:t>[RUBRIKENNAME]</a:t>
                    </a:fld>
                    <a:endParaRPr lang="en-US" baseline="0"/>
                  </a:p>
                  <a:p>
                    <a:fld id="{2FC10532-1E89-436E-A71E-E000578EEEB5}" type="VALUE">
                      <a:rPr lang="en-US"/>
                      <a:pPr/>
                      <a:t>[WERT]</a:t>
                    </a:fld>
                    <a:endParaRPr lang="en-US" baseline="0"/>
                  </a:p>
                  <a:p>
                    <a:r>
                      <a:rPr lang="en-US"/>
                      <a:t>(37,9%)</a:t>
                    </a:r>
                  </a:p>
                </c:rich>
              </c:tx>
              <c:dLblPos val="bestFit"/>
              <c:showLegendKey val="0"/>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1D4C-4322-A62A-B9A2FF324B85}"/>
                </c:ext>
              </c:extLst>
            </c:dLbl>
            <c:dLbl>
              <c:idx val="1"/>
              <c:layout>
                <c:manualLayout>
                  <c:x val="8.0268109663703568E-2"/>
                  <c:y val="-9.1714813783325314E-2"/>
                </c:manualLayout>
              </c:layout>
              <c:tx>
                <c:rich>
                  <a:bodyPr/>
                  <a:lstStyle/>
                  <a:p>
                    <a:fld id="{2937C7C0-DA41-4C06-8600-D91FB9EB5C2F}" type="CATEGORYNAME">
                      <a:rPr lang="en-US"/>
                      <a:pPr/>
                      <a:t>[RUBRIKENNAME]</a:t>
                    </a:fld>
                    <a:endParaRPr lang="en-US" baseline="0"/>
                  </a:p>
                  <a:p>
                    <a:fld id="{EFAA936E-8F40-4836-965D-6D1538CA45E3}" type="VALUE">
                      <a:rPr lang="en-US"/>
                      <a:pPr/>
                      <a:t>[WERT]</a:t>
                    </a:fld>
                    <a:endParaRPr lang="en-US" baseline="0"/>
                  </a:p>
                  <a:p>
                    <a:r>
                      <a:rPr lang="en-US"/>
                      <a:t>(31,6%)</a:t>
                    </a:r>
                  </a:p>
                </c:rich>
              </c:tx>
              <c:dLblPos val="bestFit"/>
              <c:showLegendKey val="0"/>
              <c:showVal val="1"/>
              <c:showCatName val="1"/>
              <c:showSerName val="0"/>
              <c:showPercent val="1"/>
              <c:showBubbleSize val="0"/>
              <c:separator>
</c:separator>
              <c:extLst>
                <c:ext xmlns:c15="http://schemas.microsoft.com/office/drawing/2012/chart" uri="{CE6537A1-D6FC-4f65-9D91-7224C49458BB}">
                  <c15:layout>
                    <c:manualLayout>
                      <c:w val="0.15079980610761026"/>
                      <c:h val="0.3474922145985771"/>
                    </c:manualLayout>
                  </c15:layout>
                  <c15:dlblFieldTable/>
                  <c15:showDataLabelsRange val="0"/>
                </c:ext>
                <c:ext xmlns:c16="http://schemas.microsoft.com/office/drawing/2014/chart" uri="{C3380CC4-5D6E-409C-BE32-E72D297353CC}">
                  <c16:uniqueId val="{00000003-1D4C-4322-A62A-B9A2FF324B85}"/>
                </c:ext>
              </c:extLst>
            </c:dLbl>
            <c:dLbl>
              <c:idx val="2"/>
              <c:layout>
                <c:manualLayout>
                  <c:x val="0.13112488120274349"/>
                  <c:y val="0.22731093500772209"/>
                </c:manualLayout>
              </c:layout>
              <c:tx>
                <c:rich>
                  <a:bodyPr/>
                  <a:lstStyle/>
                  <a:p>
                    <a:fld id="{1C7FCB45-5BD6-443B-A87B-55B13BB6206E}" type="CATEGORYNAME">
                      <a:rPr lang="en-US"/>
                      <a:pPr/>
                      <a:t>[RUBRIKENNAME]</a:t>
                    </a:fld>
                    <a:endParaRPr lang="en-US" baseline="0"/>
                  </a:p>
                  <a:p>
                    <a:fld id="{A2B16DBC-A83C-47FF-A7CB-E1F51BD3C10C}" type="VALUE">
                      <a:rPr lang="en-US"/>
                      <a:pPr/>
                      <a:t>[WERT]</a:t>
                    </a:fld>
                    <a:endParaRPr lang="en-US" baseline="0"/>
                  </a:p>
                  <a:p>
                    <a:r>
                      <a:rPr lang="en-US"/>
                      <a:t>(30,5%)</a:t>
                    </a:r>
                  </a:p>
                </c:rich>
              </c:tx>
              <c:dLblPos val="bestFit"/>
              <c:showLegendKey val="0"/>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5-1D4C-4322-A62A-B9A2FF324B85}"/>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de-DE"/>
              </a:p>
            </c:txPr>
            <c:dLblPos val="ctr"/>
            <c:showLegendKey val="0"/>
            <c:showVal val="1"/>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Tabelle1!$A$2:$A$4</c:f>
              <c:strCache>
                <c:ptCount val="3"/>
                <c:pt idx="0">
                  <c:v>Kleinst- unternehmen</c:v>
                </c:pt>
                <c:pt idx="1">
                  <c:v>Kleine Unternehmen</c:v>
                </c:pt>
                <c:pt idx="2">
                  <c:v>Mittlere Unternehmen</c:v>
                </c:pt>
              </c:strCache>
            </c:strRef>
          </c:cat>
          <c:val>
            <c:numRef>
              <c:f>Tabelle1!$B$2:$B$4</c:f>
              <c:numCache>
                <c:formatCode>_-* #,##0_-;\-* #,##0_-;_-* "-"??_-;_-@_-</c:formatCode>
                <c:ptCount val="3"/>
                <c:pt idx="0">
                  <c:v>4767</c:v>
                </c:pt>
                <c:pt idx="1">
                  <c:v>3978</c:v>
                </c:pt>
                <c:pt idx="2">
                  <c:v>3833</c:v>
                </c:pt>
              </c:numCache>
            </c:numRef>
          </c:val>
          <c:extLst>
            <c:ext xmlns:c16="http://schemas.microsoft.com/office/drawing/2014/chart" uri="{C3380CC4-5D6E-409C-BE32-E72D297353CC}">
              <c16:uniqueId val="{00000006-1D4C-4322-A62A-B9A2FF324B85}"/>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Tabelle1!$B$1</c:f>
              <c:strCache>
                <c:ptCount val="1"/>
                <c:pt idx="0">
                  <c:v>Anzahl der Unternehmen</c:v>
                </c:pt>
              </c:strCache>
            </c:strRef>
          </c:tx>
          <c:spPr>
            <a:noFill/>
            <a:ln w="9525">
              <a:solidFill>
                <a:schemeClr val="bg1">
                  <a:lumMod val="65000"/>
                </a:schemeClr>
              </a:solidFill>
            </a:ln>
          </c:spPr>
          <c:dPt>
            <c:idx val="0"/>
            <c:bubble3D val="0"/>
            <c:spPr>
              <a:solidFill>
                <a:schemeClr val="bg1"/>
              </a:solidFill>
              <a:ln w="9525">
                <a:solidFill>
                  <a:schemeClr val="bg1">
                    <a:lumMod val="65000"/>
                  </a:schemeClr>
                </a:solidFill>
              </a:ln>
              <a:effectLst/>
            </c:spPr>
            <c:extLst>
              <c:ext xmlns:c16="http://schemas.microsoft.com/office/drawing/2014/chart" uri="{C3380CC4-5D6E-409C-BE32-E72D297353CC}">
                <c16:uniqueId val="{00000001-79F3-4910-9E35-ADC89C152E43}"/>
              </c:ext>
            </c:extLst>
          </c:dPt>
          <c:dPt>
            <c:idx val="1"/>
            <c:bubble3D val="0"/>
            <c:spPr>
              <a:solidFill>
                <a:schemeClr val="bg1">
                  <a:lumMod val="95000"/>
                </a:schemeClr>
              </a:solidFill>
              <a:ln w="9525">
                <a:solidFill>
                  <a:schemeClr val="bg1">
                    <a:lumMod val="65000"/>
                  </a:schemeClr>
                </a:solidFill>
              </a:ln>
              <a:effectLst/>
            </c:spPr>
            <c:extLst>
              <c:ext xmlns:c16="http://schemas.microsoft.com/office/drawing/2014/chart" uri="{C3380CC4-5D6E-409C-BE32-E72D297353CC}">
                <c16:uniqueId val="{00000003-79F3-4910-9E35-ADC89C152E43}"/>
              </c:ext>
            </c:extLst>
          </c:dPt>
          <c:dPt>
            <c:idx val="2"/>
            <c:bubble3D val="0"/>
            <c:spPr>
              <a:solidFill>
                <a:schemeClr val="bg1">
                  <a:lumMod val="50000"/>
                </a:schemeClr>
              </a:solidFill>
              <a:ln w="9525">
                <a:solidFill>
                  <a:schemeClr val="bg1">
                    <a:lumMod val="65000"/>
                  </a:schemeClr>
                </a:solidFill>
              </a:ln>
              <a:effectLst/>
            </c:spPr>
            <c:extLst>
              <c:ext xmlns:c16="http://schemas.microsoft.com/office/drawing/2014/chart" uri="{C3380CC4-5D6E-409C-BE32-E72D297353CC}">
                <c16:uniqueId val="{00000005-79F3-4910-9E35-ADC89C152E43}"/>
              </c:ext>
            </c:extLst>
          </c:dPt>
          <c:dLbls>
            <c:dLbl>
              <c:idx val="0"/>
              <c:tx>
                <c:rich>
                  <a:bodyPr/>
                  <a:lstStyle/>
                  <a:p>
                    <a:fld id="{C717765F-BD06-4DE1-95AE-1332509B146F}" type="CATEGORYNAME">
                      <a:rPr lang="en-US"/>
                      <a:pPr/>
                      <a:t>[RUBRIKENNAME]</a:t>
                    </a:fld>
                    <a:endParaRPr lang="en-US" baseline="0"/>
                  </a:p>
                  <a:p>
                    <a:fld id="{2FC10532-1E89-436E-A71E-E000578EEEB5}" type="VALUE">
                      <a:rPr lang="en-US"/>
                      <a:pPr/>
                      <a:t>[WERT]</a:t>
                    </a:fld>
                    <a:endParaRPr lang="en-US" baseline="0"/>
                  </a:p>
                  <a:p>
                    <a:r>
                      <a:rPr lang="en-US"/>
                      <a:t>(93,2%)</a:t>
                    </a:r>
                  </a:p>
                </c:rich>
              </c:tx>
              <c:dLblPos val="ctr"/>
              <c:showLegendKey val="0"/>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79F3-4910-9E35-ADC89C152E43}"/>
                </c:ext>
              </c:extLst>
            </c:dLbl>
            <c:dLbl>
              <c:idx val="1"/>
              <c:layout>
                <c:manualLayout>
                  <c:x val="-0.25448366609287748"/>
                  <c:y val="0.1157556270096463"/>
                </c:manualLayout>
              </c:layout>
              <c:tx>
                <c:rich>
                  <a:bodyPr/>
                  <a:lstStyle/>
                  <a:p>
                    <a:fld id="{2937C7C0-DA41-4C06-8600-D91FB9EB5C2F}" type="CATEGORYNAME">
                      <a:rPr lang="en-US"/>
                      <a:pPr/>
                      <a:t>[RUBRIKENNAME]</a:t>
                    </a:fld>
                    <a:endParaRPr lang="en-US" baseline="0"/>
                  </a:p>
                  <a:p>
                    <a:fld id="{EFAA936E-8F40-4836-965D-6D1538CA45E3}" type="VALUE">
                      <a:rPr lang="en-US"/>
                      <a:pPr/>
                      <a:t>[WERT]</a:t>
                    </a:fld>
                    <a:r>
                      <a:rPr lang="en-US" baseline="0"/>
                      <a:t> </a:t>
                    </a:r>
                    <a:r>
                      <a:rPr lang="en-US"/>
                      <a:t>(5,9%)</a:t>
                    </a:r>
                  </a:p>
                </c:rich>
              </c:tx>
              <c:dLblPos val="bestFit"/>
              <c:showLegendKey val="0"/>
              <c:showVal val="1"/>
              <c:showCatName val="1"/>
              <c:showSerName val="0"/>
              <c:showPercent val="1"/>
              <c:showBubbleSize val="0"/>
              <c:separator>
</c:separator>
              <c:extLst>
                <c:ext xmlns:c15="http://schemas.microsoft.com/office/drawing/2012/chart" uri="{CE6537A1-D6FC-4f65-9D91-7224C49458BB}">
                  <c15:layout>
                    <c:manualLayout>
                      <c:w val="0.15079980610761026"/>
                      <c:h val="0.3474922145985771"/>
                    </c:manualLayout>
                  </c15:layout>
                  <c15:dlblFieldTable/>
                  <c15:showDataLabelsRange val="0"/>
                </c:ext>
                <c:ext xmlns:c16="http://schemas.microsoft.com/office/drawing/2014/chart" uri="{C3380CC4-5D6E-409C-BE32-E72D297353CC}">
                  <c16:uniqueId val="{00000003-79F3-4910-9E35-ADC89C152E43}"/>
                </c:ext>
              </c:extLst>
            </c:dLbl>
            <c:dLbl>
              <c:idx val="2"/>
              <c:layout>
                <c:manualLayout>
                  <c:x val="-0.23267086766844403"/>
                  <c:y val="3.215940451173507E-3"/>
                </c:manualLayout>
              </c:layout>
              <c:tx>
                <c:rich>
                  <a:bodyPr/>
                  <a:lstStyle/>
                  <a:p>
                    <a:fld id="{1C7FCB45-5BD6-443B-A87B-55B13BB6206E}" type="CATEGORYNAME">
                      <a:rPr lang="en-US"/>
                      <a:pPr/>
                      <a:t>[RUBRIKENNAME]</a:t>
                    </a:fld>
                    <a:endParaRPr lang="en-US" baseline="0"/>
                  </a:p>
                  <a:p>
                    <a:fld id="{A2B16DBC-A83C-47FF-A7CB-E1F51BD3C10C}" type="VALUE">
                      <a:rPr lang="en-US"/>
                      <a:pPr/>
                      <a:t>[WERT]</a:t>
                    </a:fld>
                    <a:endParaRPr lang="en-US" baseline="0"/>
                  </a:p>
                  <a:p>
                    <a:r>
                      <a:rPr lang="en-US"/>
                      <a:t>(0,9%)</a:t>
                    </a:r>
                  </a:p>
                </c:rich>
              </c:tx>
              <c:dLblPos val="bestFit"/>
              <c:showLegendKey val="0"/>
              <c:showVal val="1"/>
              <c:showCatName val="1"/>
              <c:showSerName val="0"/>
              <c:showPercent val="1"/>
              <c:showBubbleSize val="0"/>
              <c:separator>
</c:separator>
              <c:extLst>
                <c:ext xmlns:c15="http://schemas.microsoft.com/office/drawing/2012/chart" uri="{CE6537A1-D6FC-4f65-9D91-7224C49458BB}">
                  <c15:layout>
                    <c:manualLayout>
                      <c:w val="0.1962675714978187"/>
                      <c:h val="0.28540192926045016"/>
                    </c:manualLayout>
                  </c15:layout>
                  <c15:dlblFieldTable/>
                  <c15:showDataLabelsRange val="0"/>
                </c:ext>
                <c:ext xmlns:c16="http://schemas.microsoft.com/office/drawing/2014/chart" uri="{C3380CC4-5D6E-409C-BE32-E72D297353CC}">
                  <c16:uniqueId val="{00000005-79F3-4910-9E35-ADC89C152E43}"/>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de-DE"/>
              </a:p>
            </c:txPr>
            <c:dLblPos val="outEnd"/>
            <c:showLegendKey val="0"/>
            <c:showVal val="1"/>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Tabelle1!$A$2:$A$4</c:f>
              <c:strCache>
                <c:ptCount val="3"/>
                <c:pt idx="0">
                  <c:v>Kleinst- unternehmen</c:v>
                </c:pt>
                <c:pt idx="1">
                  <c:v>Kleine Unternehmen</c:v>
                </c:pt>
                <c:pt idx="2">
                  <c:v>Mittlere Unternehmen</c:v>
                </c:pt>
              </c:strCache>
            </c:strRef>
          </c:cat>
          <c:val>
            <c:numRef>
              <c:f>Tabelle1!$B$2:$B$4</c:f>
              <c:numCache>
                <c:formatCode>#,##0</c:formatCode>
                <c:ptCount val="3"/>
                <c:pt idx="0">
                  <c:v>23323938</c:v>
                </c:pt>
                <c:pt idx="1">
                  <c:v>1472402</c:v>
                </c:pt>
                <c:pt idx="2">
                  <c:v>235668</c:v>
                </c:pt>
              </c:numCache>
            </c:numRef>
          </c:val>
          <c:extLst>
            <c:ext xmlns:c16="http://schemas.microsoft.com/office/drawing/2014/chart" uri="{C3380CC4-5D6E-409C-BE32-E72D297353CC}">
              <c16:uniqueId val="{00000006-79F3-4910-9E35-ADC89C152E43}"/>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Distanz zwischen Cluster nach Wards Kriterion</c:v>
                </c:pt>
              </c:strCache>
            </c:strRef>
          </c:tx>
          <c:spPr>
            <a:ln w="9525" cap="rnd">
              <a:solidFill>
                <a:schemeClr val="tx1"/>
              </a:solidFill>
              <a:round/>
            </a:ln>
            <a:effectLst/>
          </c:spPr>
          <c:marker>
            <c:symbol val="circle"/>
            <c:size val="5"/>
            <c:spPr>
              <a:solidFill>
                <a:schemeClr val="tx1"/>
              </a:solidFill>
              <a:ln w="9525">
                <a:solidFill>
                  <a:schemeClr val="tx1"/>
                </a:solidFill>
              </a:ln>
              <a:effectLst/>
            </c:spPr>
          </c:marker>
          <c:dPt>
            <c:idx val="1"/>
            <c:marker>
              <c:symbol val="circle"/>
              <c:size val="5"/>
              <c:spPr>
                <a:solidFill>
                  <a:schemeClr val="tx1"/>
                </a:solidFill>
                <a:ln w="9525">
                  <a:solidFill>
                    <a:schemeClr val="tx1"/>
                  </a:solidFill>
                </a:ln>
                <a:effectLst/>
              </c:spPr>
            </c:marker>
            <c:bubble3D val="0"/>
            <c:spPr>
              <a:ln w="9525" cap="rnd">
                <a:solidFill>
                  <a:schemeClr val="tx1"/>
                </a:solidFill>
                <a:round/>
              </a:ln>
              <a:effectLst/>
            </c:spPr>
            <c:extLst>
              <c:ext xmlns:c16="http://schemas.microsoft.com/office/drawing/2014/chart" uri="{C3380CC4-5D6E-409C-BE32-E72D297353CC}">
                <c16:uniqueId val="{00000001-773C-4204-A5F0-E45F96215CC7}"/>
              </c:ext>
            </c:extLst>
          </c:dPt>
          <c:dPt>
            <c:idx val="2"/>
            <c:marker>
              <c:symbol val="circle"/>
              <c:size val="5"/>
              <c:spPr>
                <a:solidFill>
                  <a:schemeClr val="tx1"/>
                </a:solidFill>
                <a:ln w="9525">
                  <a:solidFill>
                    <a:schemeClr val="tx1"/>
                  </a:solidFill>
                </a:ln>
                <a:effectLst/>
              </c:spPr>
            </c:marker>
            <c:bubble3D val="0"/>
            <c:spPr>
              <a:ln w="9525" cap="rnd">
                <a:solidFill>
                  <a:schemeClr val="tx1"/>
                </a:solidFill>
                <a:round/>
              </a:ln>
              <a:effectLst/>
            </c:spPr>
            <c:extLst>
              <c:ext xmlns:c16="http://schemas.microsoft.com/office/drawing/2014/chart" uri="{C3380CC4-5D6E-409C-BE32-E72D297353CC}">
                <c16:uniqueId val="{00000003-773C-4204-A5F0-E45F96215CC7}"/>
              </c:ext>
            </c:extLst>
          </c:dPt>
          <c:dPt>
            <c:idx val="3"/>
            <c:marker>
              <c:symbol val="circle"/>
              <c:size val="5"/>
              <c:spPr>
                <a:solidFill>
                  <a:schemeClr val="tx1"/>
                </a:solidFill>
                <a:ln w="9525">
                  <a:solidFill>
                    <a:schemeClr val="tx1"/>
                  </a:solidFill>
                </a:ln>
                <a:effectLst/>
              </c:spPr>
            </c:marker>
            <c:bubble3D val="0"/>
            <c:spPr>
              <a:ln w="9525" cap="rnd">
                <a:solidFill>
                  <a:schemeClr val="tx1"/>
                </a:solidFill>
                <a:round/>
              </a:ln>
              <a:effectLst/>
            </c:spPr>
            <c:extLst>
              <c:ext xmlns:c16="http://schemas.microsoft.com/office/drawing/2014/chart" uri="{C3380CC4-5D6E-409C-BE32-E72D297353CC}">
                <c16:uniqueId val="{00000005-773C-4204-A5F0-E45F96215CC7}"/>
              </c:ext>
            </c:extLst>
          </c:dPt>
          <c:cat>
            <c:numRef>
              <c:f>Tabelle1!$A$2:$A$16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Tabelle1!$B$2:$B$16</c:f>
              <c:numCache>
                <c:formatCode>General</c:formatCode>
                <c:ptCount val="15"/>
                <c:pt idx="1">
                  <c:v>27.65052</c:v>
                </c:pt>
                <c:pt idx="2">
                  <c:v>26.834244000000002</c:v>
                </c:pt>
                <c:pt idx="3">
                  <c:v>23.102903000000001</c:v>
                </c:pt>
                <c:pt idx="4">
                  <c:v>22.773275000000002</c:v>
                </c:pt>
                <c:pt idx="5">
                  <c:v>20.628034</c:v>
                </c:pt>
                <c:pt idx="6">
                  <c:v>18.288865000000001</c:v>
                </c:pt>
                <c:pt idx="7">
                  <c:v>13.612235999999999</c:v>
                </c:pt>
                <c:pt idx="8">
                  <c:v>12.920512</c:v>
                </c:pt>
                <c:pt idx="9">
                  <c:v>11.034287000000001</c:v>
                </c:pt>
                <c:pt idx="10">
                  <c:v>10.666503000000001</c:v>
                </c:pt>
                <c:pt idx="11">
                  <c:v>10.06038</c:v>
                </c:pt>
                <c:pt idx="12">
                  <c:v>9.3936930000000007</c:v>
                </c:pt>
                <c:pt idx="13">
                  <c:v>9.2956260000000004</c:v>
                </c:pt>
                <c:pt idx="14">
                  <c:v>8.7412240000000008</c:v>
                </c:pt>
              </c:numCache>
            </c:numRef>
          </c:val>
          <c:smooth val="0"/>
          <c:extLst>
            <c:ext xmlns:c16="http://schemas.microsoft.com/office/drawing/2014/chart" uri="{C3380CC4-5D6E-409C-BE32-E72D297353CC}">
              <c16:uniqueId val="{00000006-773C-4204-A5F0-E45F96215CC7}"/>
            </c:ext>
          </c:extLst>
        </c:ser>
        <c:dLbls>
          <c:showLegendKey val="0"/>
          <c:showVal val="0"/>
          <c:showCatName val="0"/>
          <c:showSerName val="0"/>
          <c:showPercent val="0"/>
          <c:showBubbleSize val="0"/>
        </c:dLbls>
        <c:marker val="1"/>
        <c:smooth val="0"/>
        <c:axId val="2071595327"/>
        <c:axId val="2071594079"/>
      </c:lineChart>
      <c:catAx>
        <c:axId val="207159532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de-DE"/>
                  <a:t>Anzahl der Cluster </a:t>
                </a:r>
                <a:r>
                  <a:rPr lang="de-DE" sz="900" b="0" i="0" u="none" strike="noStrike" baseline="0">
                    <a:effectLst/>
                    <a:latin typeface="Cambria Math" panose="02040503050406030204" pitchFamily="18" charset="0"/>
                    <a:ea typeface="Cambria Math" panose="02040503050406030204" pitchFamily="18" charset="0"/>
                  </a:rPr>
                  <a:t>𝑘</a:t>
                </a:r>
                <a:endParaRPr lang="de-DE">
                  <a:latin typeface="Cambria Math" panose="02040503050406030204" pitchFamily="18" charset="0"/>
                  <a:ea typeface="Cambria Math" panose="02040503050406030204" pitchFamily="18" charset="0"/>
                </a:endParaRP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de-DE"/>
          </a:p>
        </c:txPr>
        <c:crossAx val="2071594079"/>
        <c:crosses val="autoZero"/>
        <c:auto val="1"/>
        <c:lblAlgn val="ctr"/>
        <c:lblOffset val="100"/>
        <c:noMultiLvlLbl val="0"/>
      </c:catAx>
      <c:valAx>
        <c:axId val="2071594079"/>
        <c:scaling>
          <c:orientation val="minMax"/>
          <c:max val="30"/>
          <c:min val="5"/>
        </c:scaling>
        <c:delete val="0"/>
        <c:axPos val="l"/>
        <c:title>
          <c:tx>
            <c:rich>
              <a:bodyPr rot="-54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de-DE"/>
                  <a:t>Distanz zwischen Cluster nach Wards Kriterium</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out"/>
        <c:minorTickMark val="none"/>
        <c:tickLblPos val="nextTo"/>
        <c:spPr>
          <a:noFill/>
          <a:ln>
            <a:solidFill>
              <a:schemeClr val="bg1">
                <a:lumMod val="65000"/>
              </a:schemeClr>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de-DE"/>
          </a:p>
        </c:txPr>
        <c:crossAx val="2071595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de-DE"/>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Ratkowsky-Lance Index</c:v>
                </c:pt>
              </c:strCache>
            </c:strRef>
          </c:tx>
          <c:spPr>
            <a:ln w="9525" cap="rnd">
              <a:solidFill>
                <a:schemeClr val="tx1"/>
              </a:solidFill>
              <a:round/>
            </a:ln>
            <a:effectLst/>
          </c:spPr>
          <c:marker>
            <c:symbol val="circle"/>
            <c:size val="5"/>
            <c:spPr>
              <a:solidFill>
                <a:schemeClr val="tx1"/>
              </a:solidFill>
              <a:ln w="9525">
                <a:solidFill>
                  <a:schemeClr val="tx1"/>
                </a:solidFill>
              </a:ln>
              <a:effectLst/>
            </c:spPr>
          </c:marker>
          <c:dPt>
            <c:idx val="1"/>
            <c:marker>
              <c:symbol val="circle"/>
              <c:size val="5"/>
              <c:spPr>
                <a:solidFill>
                  <a:schemeClr val="tx1"/>
                </a:solidFill>
                <a:ln w="9525">
                  <a:solidFill>
                    <a:schemeClr val="tx1"/>
                  </a:solidFill>
                </a:ln>
                <a:effectLst/>
              </c:spPr>
            </c:marker>
            <c:bubble3D val="0"/>
            <c:spPr>
              <a:ln w="9525" cap="rnd">
                <a:solidFill>
                  <a:schemeClr val="tx1"/>
                </a:solidFill>
                <a:round/>
              </a:ln>
              <a:effectLst/>
            </c:spPr>
            <c:extLst>
              <c:ext xmlns:c16="http://schemas.microsoft.com/office/drawing/2014/chart" uri="{C3380CC4-5D6E-409C-BE32-E72D297353CC}">
                <c16:uniqueId val="{00000001-EBC6-45C3-948E-A704C76A918B}"/>
              </c:ext>
            </c:extLst>
          </c:dPt>
          <c:dPt>
            <c:idx val="2"/>
            <c:marker>
              <c:symbol val="circle"/>
              <c:size val="5"/>
              <c:spPr>
                <a:solidFill>
                  <a:schemeClr val="tx1"/>
                </a:solidFill>
                <a:ln w="9525">
                  <a:solidFill>
                    <a:schemeClr val="tx1"/>
                  </a:solidFill>
                </a:ln>
                <a:effectLst/>
              </c:spPr>
            </c:marker>
            <c:bubble3D val="0"/>
            <c:spPr>
              <a:ln w="9525" cap="rnd">
                <a:solidFill>
                  <a:schemeClr val="tx1"/>
                </a:solidFill>
                <a:round/>
              </a:ln>
              <a:effectLst/>
            </c:spPr>
            <c:extLst>
              <c:ext xmlns:c16="http://schemas.microsoft.com/office/drawing/2014/chart" uri="{C3380CC4-5D6E-409C-BE32-E72D297353CC}">
                <c16:uniqueId val="{00000003-EBC6-45C3-948E-A704C76A918B}"/>
              </c:ext>
            </c:extLst>
          </c:dPt>
          <c:dPt>
            <c:idx val="3"/>
            <c:marker>
              <c:symbol val="circle"/>
              <c:size val="5"/>
              <c:spPr>
                <a:solidFill>
                  <a:schemeClr val="tx1"/>
                </a:solidFill>
                <a:ln w="9525">
                  <a:solidFill>
                    <a:schemeClr val="tx1"/>
                  </a:solidFill>
                </a:ln>
                <a:effectLst/>
              </c:spPr>
            </c:marker>
            <c:bubble3D val="0"/>
            <c:spPr>
              <a:ln w="9525" cap="rnd">
                <a:solidFill>
                  <a:schemeClr val="tx1"/>
                </a:solidFill>
                <a:round/>
              </a:ln>
              <a:effectLst/>
            </c:spPr>
            <c:extLst>
              <c:ext xmlns:c16="http://schemas.microsoft.com/office/drawing/2014/chart" uri="{C3380CC4-5D6E-409C-BE32-E72D297353CC}">
                <c16:uniqueId val="{00000005-EBC6-45C3-948E-A704C76A918B}"/>
              </c:ext>
            </c:extLst>
          </c:dPt>
          <c:cat>
            <c:numRef>
              <c:f>Tabelle1!$A$2:$A$16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Tabelle1!$B$2:$B$16</c:f>
              <c:numCache>
                <c:formatCode>General</c:formatCode>
                <c:ptCount val="15"/>
                <c:pt idx="1">
                  <c:v>0.18609999999999999</c:v>
                </c:pt>
                <c:pt idx="2">
                  <c:v>0.18210000000000001</c:v>
                </c:pt>
                <c:pt idx="3">
                  <c:v>0.18840000000000001</c:v>
                </c:pt>
                <c:pt idx="4">
                  <c:v>0.2074</c:v>
                </c:pt>
                <c:pt idx="5">
                  <c:v>0.21199999999999999</c:v>
                </c:pt>
                <c:pt idx="6">
                  <c:v>0.2225</c:v>
                </c:pt>
                <c:pt idx="7">
                  <c:v>0.22309999999999999</c:v>
                </c:pt>
                <c:pt idx="8">
                  <c:v>0.21640000000000001</c:v>
                </c:pt>
                <c:pt idx="9">
                  <c:v>0.20780000000000001</c:v>
                </c:pt>
                <c:pt idx="10">
                  <c:v>0.19980000000000001</c:v>
                </c:pt>
                <c:pt idx="11">
                  <c:v>0.21310000000000001</c:v>
                </c:pt>
                <c:pt idx="12">
                  <c:v>0.20649999999999999</c:v>
                </c:pt>
                <c:pt idx="13">
                  <c:v>0.2011</c:v>
                </c:pt>
                <c:pt idx="14">
                  <c:v>0.1961</c:v>
                </c:pt>
              </c:numCache>
            </c:numRef>
          </c:val>
          <c:smooth val="0"/>
          <c:extLst>
            <c:ext xmlns:c16="http://schemas.microsoft.com/office/drawing/2014/chart" uri="{C3380CC4-5D6E-409C-BE32-E72D297353CC}">
              <c16:uniqueId val="{00000006-EBC6-45C3-948E-A704C76A918B}"/>
            </c:ext>
          </c:extLst>
        </c:ser>
        <c:dLbls>
          <c:showLegendKey val="0"/>
          <c:showVal val="0"/>
          <c:showCatName val="0"/>
          <c:showSerName val="0"/>
          <c:showPercent val="0"/>
          <c:showBubbleSize val="0"/>
        </c:dLbls>
        <c:marker val="1"/>
        <c:smooth val="0"/>
        <c:axId val="2071595327"/>
        <c:axId val="2071594079"/>
      </c:lineChart>
      <c:catAx>
        <c:axId val="207159532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de-DE"/>
                  <a:t>Anzahl der Cluster </a:t>
                </a:r>
                <a:r>
                  <a:rPr lang="de-DE">
                    <a:latin typeface="Cambria Math" panose="02040503050406030204" pitchFamily="18" charset="0"/>
                    <a:ea typeface="Cambria Math" panose="02040503050406030204" pitchFamily="18" charset="0"/>
                  </a:rPr>
                  <a:t>k</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de-DE"/>
          </a:p>
        </c:txPr>
        <c:crossAx val="2071594079"/>
        <c:crosses val="autoZero"/>
        <c:auto val="1"/>
        <c:lblAlgn val="ctr"/>
        <c:lblOffset val="100"/>
        <c:noMultiLvlLbl val="0"/>
      </c:catAx>
      <c:valAx>
        <c:axId val="2071594079"/>
        <c:scaling>
          <c:orientation val="minMax"/>
          <c:min val="0.17"/>
        </c:scaling>
        <c:delete val="0"/>
        <c:axPos val="l"/>
        <c:title>
          <c:tx>
            <c:rich>
              <a:bodyPr rot="-54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de-DE"/>
                  <a:t>Ratkowsky</a:t>
                </a:r>
                <a:r>
                  <a:rPr lang="de-DE" baseline="0"/>
                  <a:t> / </a:t>
                </a:r>
                <a:r>
                  <a:rPr lang="de-DE"/>
                  <a:t>Lance Index</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de-DE"/>
            </a:p>
          </c:txPr>
        </c:title>
        <c:numFmt formatCode="#,##0.000" sourceLinked="0"/>
        <c:majorTickMark val="out"/>
        <c:minorTickMark val="none"/>
        <c:tickLblPos val="nextTo"/>
        <c:spPr>
          <a:noFill/>
          <a:ln>
            <a:solidFill>
              <a:schemeClr val="bg1">
                <a:lumMod val="65000"/>
              </a:schemeClr>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de-DE"/>
          </a:p>
        </c:txPr>
        <c:crossAx val="2071595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de-DE"/>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0.0618</cdr:x>
      <cdr:y>0.82474</cdr:y>
    </cdr:from>
    <cdr:to>
      <cdr:x>0.09258</cdr:x>
      <cdr:y>0.87095</cdr:y>
    </cdr:to>
    <cdr:sp macro="" textlink="">
      <cdr:nvSpPr>
        <cdr:cNvPr id="2" name="Textfeld 1"/>
        <cdr:cNvSpPr txBox="1"/>
      </cdr:nvSpPr>
      <cdr:spPr>
        <a:xfrm xmlns:a="http://schemas.openxmlformats.org/drawingml/2006/main">
          <a:off x="323850" y="3048000"/>
          <a:ext cx="161290" cy="170784"/>
        </a:xfrm>
        <a:prstGeom xmlns:a="http://schemas.openxmlformats.org/drawingml/2006/main" prst="rect">
          <a:avLst/>
        </a:prstGeom>
        <a:solidFill xmlns:a="http://schemas.openxmlformats.org/drawingml/2006/main">
          <a:schemeClr val="bg1"/>
        </a:solidFill>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de-DE" sz="900" i="0">
              <a:latin typeface="Times New Roman" panose="02020603050405020304" pitchFamily="18" charset="0"/>
              <a:cs typeface="Times New Roman" panose="02020603050405020304" pitchFamily="18" charset="0"/>
            </a:rPr>
            <a:t>0</a:t>
          </a:r>
        </a:p>
      </cdr:txBody>
    </cdr:sp>
  </cdr:relSizeAnchor>
  <cdr:relSizeAnchor xmlns:cdr="http://schemas.openxmlformats.org/drawingml/2006/chartDrawing">
    <cdr:from>
      <cdr:x>0.07041</cdr:x>
      <cdr:y>0.80801</cdr:y>
    </cdr:from>
    <cdr:to>
      <cdr:x>0.13706</cdr:x>
      <cdr:y>0.82056</cdr:y>
    </cdr:to>
    <cdr:sp macro="" textlink="">
      <cdr:nvSpPr>
        <cdr:cNvPr id="3" name="Rechteck 2"/>
        <cdr:cNvSpPr/>
      </cdr:nvSpPr>
      <cdr:spPr>
        <a:xfrm xmlns:a="http://schemas.openxmlformats.org/drawingml/2006/main">
          <a:off x="368968" y="2986172"/>
          <a:ext cx="349250" cy="46368"/>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de-DE"/>
        </a:p>
      </cdr:txBody>
    </cdr:sp>
  </cdr:relSizeAnchor>
  <cdr:relSizeAnchor xmlns:cdr="http://schemas.openxmlformats.org/drawingml/2006/chartDrawing">
    <cdr:from>
      <cdr:x>0.0922</cdr:x>
      <cdr:y>0.80353</cdr:y>
    </cdr:from>
    <cdr:to>
      <cdr:x>0.11552</cdr:x>
      <cdr:y>0.81339</cdr:y>
    </cdr:to>
    <cdr:cxnSp macro="">
      <cdr:nvCxnSpPr>
        <cdr:cNvPr id="4" name="Gerader Verbinder 3"/>
        <cdr:cNvCxnSpPr/>
      </cdr:nvCxnSpPr>
      <cdr:spPr>
        <a:xfrm xmlns:a="http://schemas.openxmlformats.org/drawingml/2006/main" flipH="1">
          <a:off x="483153" y="2969592"/>
          <a:ext cx="122192" cy="36443"/>
        </a:xfrm>
        <a:prstGeom xmlns:a="http://schemas.openxmlformats.org/drawingml/2006/main" prst="line">
          <a:avLst/>
        </a:prstGeom>
        <a:ln xmlns:a="http://schemas.openxmlformats.org/drawingml/2006/main">
          <a:solidFill>
            <a:schemeClr val="bg1">
              <a:lumMod val="6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0.0922</cdr:x>
      <cdr:y>0.81428</cdr:y>
    </cdr:from>
    <cdr:to>
      <cdr:x>0.11552</cdr:x>
      <cdr:y>0.82414</cdr:y>
    </cdr:to>
    <cdr:cxnSp macro="">
      <cdr:nvCxnSpPr>
        <cdr:cNvPr id="5" name="Gerader Verbinder 4"/>
        <cdr:cNvCxnSpPr/>
      </cdr:nvCxnSpPr>
      <cdr:spPr>
        <a:xfrm xmlns:a="http://schemas.openxmlformats.org/drawingml/2006/main" flipH="1">
          <a:off x="483153" y="3009348"/>
          <a:ext cx="122192" cy="36443"/>
        </a:xfrm>
        <a:prstGeom xmlns:a="http://schemas.openxmlformats.org/drawingml/2006/main" prst="line">
          <a:avLst/>
        </a:prstGeom>
        <a:ln xmlns:a="http://schemas.openxmlformats.org/drawingml/2006/main">
          <a:solidFill>
            <a:schemeClr val="bg1">
              <a:lumMod val="6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0.06336</cdr:x>
      <cdr:y>0.82949</cdr:y>
    </cdr:from>
    <cdr:to>
      <cdr:x>0.11553</cdr:x>
      <cdr:y>0.88218</cdr:y>
    </cdr:to>
    <cdr:sp macro="" textlink="">
      <cdr:nvSpPr>
        <cdr:cNvPr id="2" name="Textfeld 1"/>
        <cdr:cNvSpPr txBox="1"/>
      </cdr:nvSpPr>
      <cdr:spPr>
        <a:xfrm xmlns:a="http://schemas.openxmlformats.org/drawingml/2006/main">
          <a:off x="332014" y="3065537"/>
          <a:ext cx="273352" cy="194733"/>
        </a:xfrm>
        <a:prstGeom xmlns:a="http://schemas.openxmlformats.org/drawingml/2006/main" prst="rect">
          <a:avLst/>
        </a:prstGeom>
        <a:solidFill xmlns:a="http://schemas.openxmlformats.org/drawingml/2006/main">
          <a:schemeClr val="bg1"/>
        </a:solidFill>
      </cdr:spPr>
      <cdr:txBody>
        <a:bodyPr xmlns:a="http://schemas.openxmlformats.org/drawingml/2006/main" vertOverflow="clip" wrap="square" lIns="0" tIns="0" rIns="0" bIns="0" rtlCol="0" anchor="ctr" anchorCtr="0"/>
        <a:lstStyle xmlns:a="http://schemas.openxmlformats.org/drawingml/2006/main"/>
        <a:p xmlns:a="http://schemas.openxmlformats.org/drawingml/2006/main">
          <a:pPr algn="ctr"/>
          <a:r>
            <a:rPr lang="de-DE" sz="900" i="0">
              <a:latin typeface="Times New Roman" panose="02020603050405020304" pitchFamily="18" charset="0"/>
              <a:cs typeface="Times New Roman" panose="02020603050405020304" pitchFamily="18" charset="0"/>
            </a:rPr>
            <a:t>0,000</a:t>
          </a:r>
        </a:p>
      </cdr:txBody>
    </cdr:sp>
  </cdr:relSizeAnchor>
  <cdr:relSizeAnchor xmlns:cdr="http://schemas.openxmlformats.org/drawingml/2006/chartDrawing">
    <cdr:from>
      <cdr:x>0.09707</cdr:x>
      <cdr:y>0.79427</cdr:y>
    </cdr:from>
    <cdr:to>
      <cdr:x>0.16372</cdr:x>
      <cdr:y>0.80681</cdr:y>
    </cdr:to>
    <cdr:sp macro="" textlink="">
      <cdr:nvSpPr>
        <cdr:cNvPr id="4" name="Rechteck 3"/>
        <cdr:cNvSpPr/>
      </cdr:nvSpPr>
      <cdr:spPr>
        <a:xfrm xmlns:a="http://schemas.openxmlformats.org/drawingml/2006/main">
          <a:off x="508668" y="2935372"/>
          <a:ext cx="349250" cy="46368"/>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de-DE"/>
        </a:p>
      </cdr:txBody>
    </cdr:sp>
  </cdr:relSizeAnchor>
  <cdr:relSizeAnchor xmlns:cdr="http://schemas.openxmlformats.org/drawingml/2006/chartDrawing">
    <cdr:from>
      <cdr:x>0.11886</cdr:x>
      <cdr:y>0.78978</cdr:y>
    </cdr:from>
    <cdr:to>
      <cdr:x>0.14218</cdr:x>
      <cdr:y>0.79964</cdr:y>
    </cdr:to>
    <cdr:cxnSp macro="">
      <cdr:nvCxnSpPr>
        <cdr:cNvPr id="6" name="Gerader Verbinder 5"/>
        <cdr:cNvCxnSpPr/>
      </cdr:nvCxnSpPr>
      <cdr:spPr>
        <a:xfrm xmlns:a="http://schemas.openxmlformats.org/drawingml/2006/main" flipH="1">
          <a:off x="622853" y="2918792"/>
          <a:ext cx="122192" cy="36443"/>
        </a:xfrm>
        <a:prstGeom xmlns:a="http://schemas.openxmlformats.org/drawingml/2006/main" prst="line">
          <a:avLst/>
        </a:prstGeom>
        <a:ln xmlns:a="http://schemas.openxmlformats.org/drawingml/2006/main">
          <a:solidFill>
            <a:schemeClr val="bg1">
              <a:lumMod val="6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0.11886</cdr:x>
      <cdr:y>0.80054</cdr:y>
    </cdr:from>
    <cdr:to>
      <cdr:x>0.14218</cdr:x>
      <cdr:y>0.8104</cdr:y>
    </cdr:to>
    <cdr:cxnSp macro="">
      <cdr:nvCxnSpPr>
        <cdr:cNvPr id="8" name="Gerader Verbinder 7"/>
        <cdr:cNvCxnSpPr/>
      </cdr:nvCxnSpPr>
      <cdr:spPr>
        <a:xfrm xmlns:a="http://schemas.openxmlformats.org/drawingml/2006/main" flipH="1">
          <a:off x="622853" y="2958548"/>
          <a:ext cx="122192" cy="36443"/>
        </a:xfrm>
        <a:prstGeom xmlns:a="http://schemas.openxmlformats.org/drawingml/2006/main" prst="line">
          <a:avLst/>
        </a:prstGeom>
        <a:ln xmlns:a="http://schemas.openxmlformats.org/drawingml/2006/main">
          <a:solidFill>
            <a:schemeClr val="bg1">
              <a:lumMod val="6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5D9F4-6A50-44EA-9E41-767BE3986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13896</Words>
  <Characters>87546</Characters>
  <Application>Microsoft Office Word</Application>
  <DocSecurity>0</DocSecurity>
  <Lines>729</Lines>
  <Paragraphs>202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6927618869522508</dc:creator>
  <cp:keywords/>
  <dc:description/>
  <cp:lastModifiedBy>TU-Pseudonym 6927618869522508</cp:lastModifiedBy>
  <cp:revision>65</cp:revision>
  <cp:lastPrinted>2021-11-21T22:52:00Z</cp:lastPrinted>
  <dcterms:created xsi:type="dcterms:W3CDTF">2021-11-21T22:20:00Z</dcterms:created>
  <dcterms:modified xsi:type="dcterms:W3CDTF">2021-11-21T22:53:00Z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id="e2jKIJh6"/&gt;&lt;style id="http://www.zotero.org/styles/wirtschaftsuniversitat-wien-institut-fur-bwl-des-aussenhandels" hasBibliography="1" bibliographyStyleHasBeenSet="1"/&gt;&lt;prefs&gt;&lt;pref name="fieldT</vt:lpwstr>
  </property>
  <property fmtid="{D5CDD505-2E9C-101B-9397-08002B2CF9AE}" pid="3" name="ZOTERO_PREF_2">
    <vt:lpwstr>ype" value="Field"/&gt;&lt;pref name="automaticJournalAbbreviations" value="true"/&gt;&lt;pref name="noteType" value="1"/&gt;&lt;/prefs&gt;&lt;/data&gt;</vt:lpwstr>
  </property>
</Properties>
</file>